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EA3D0">
      <w:pPr>
        <w:keepNext w:val="0"/>
        <w:keepLines w:val="0"/>
        <w:pageBreakBefore w:val="0"/>
        <w:widowControl w:val="0"/>
        <w:kinsoku w:val="0"/>
        <w:wordWrap/>
        <w:overflowPunct w:val="0"/>
        <w:topLinePunct w:val="0"/>
        <w:autoSpaceDE w:val="0"/>
        <w:autoSpaceDN w:val="0"/>
        <w:bidi w:val="0"/>
        <w:adjustRightInd w:val="0"/>
        <w:snapToGrid w:val="0"/>
        <w:spacing w:line="360" w:lineRule="auto"/>
        <w:ind w:firstLine="0" w:firstLineChars="0"/>
        <w:textAlignment w:val="auto"/>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rPr>
        <w:t>附件1：</w:t>
      </w:r>
      <w:r>
        <w:rPr>
          <w:rFonts w:hint="eastAsia" w:asciiTheme="minorEastAsia" w:hAnsiTheme="minorEastAsia" w:eastAsiaTheme="minorEastAsia" w:cstheme="minorEastAsia"/>
          <w:b/>
          <w:bCs/>
          <w:color w:val="auto"/>
          <w:sz w:val="28"/>
          <w:szCs w:val="28"/>
          <w:highlight w:val="none"/>
          <w:lang w:val="en-US" w:eastAsia="zh-CN"/>
        </w:rPr>
        <w:t>采购需求</w:t>
      </w:r>
    </w:p>
    <w:p w14:paraId="742C805A">
      <w:pPr>
        <w:pStyle w:val="8"/>
        <w:ind w:firstLine="420"/>
        <w:rPr>
          <w:rFonts w:hint="eastAsia" w:hAnsi="宋体" w:cs="宋体"/>
          <w:b/>
          <w:sz w:val="24"/>
          <w:szCs w:val="24"/>
          <w:highlight w:val="none"/>
        </w:rPr>
      </w:pPr>
      <w:r>
        <w:rPr>
          <w:rFonts w:hint="eastAsia" w:hAnsi="宋体" w:cs="宋体"/>
          <w:b/>
          <w:sz w:val="24"/>
          <w:szCs w:val="24"/>
          <w:highlight w:val="none"/>
        </w:rPr>
        <w:t>本</w:t>
      </w:r>
      <w:r>
        <w:rPr>
          <w:rFonts w:hint="eastAsia" w:hAnsi="宋体" w:cs="宋体"/>
          <w:b/>
          <w:sz w:val="24"/>
          <w:szCs w:val="24"/>
          <w:highlight w:val="none"/>
          <w:lang w:val="en-US" w:eastAsia="zh-CN"/>
        </w:rPr>
        <w:t>段</w:t>
      </w:r>
      <w:r>
        <w:rPr>
          <w:rFonts w:hint="eastAsia" w:hAnsi="宋体" w:cs="宋体"/>
          <w:b/>
          <w:sz w:val="24"/>
          <w:szCs w:val="24"/>
          <w:highlight w:val="none"/>
        </w:rPr>
        <w:t>中标注“★”号的条款为本项目的实质性要求，供应商应全部满足，否</w:t>
      </w:r>
      <w:r>
        <w:rPr>
          <w:rFonts w:hint="eastAsia" w:hAnsi="宋体" w:cs="宋体"/>
          <w:b/>
          <w:sz w:val="24"/>
          <w:szCs w:val="24"/>
          <w:highlight w:val="none"/>
          <w:u w:val="single"/>
        </w:rPr>
        <w:t>则</w:t>
      </w:r>
      <w:r>
        <w:rPr>
          <w:rFonts w:hint="eastAsia" w:hAnsi="宋体" w:cs="宋体"/>
          <w:b/>
          <w:sz w:val="24"/>
          <w:szCs w:val="24"/>
          <w:highlight w:val="none"/>
        </w:rPr>
        <w:t>其投标文件作无效处理。“▲”符号的条款为本项目的重要参数条款，未标识符号的条款为一般参数条款。</w:t>
      </w:r>
    </w:p>
    <w:p w14:paraId="5E7846F5">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一、采购清单</w:t>
      </w:r>
    </w:p>
    <w:p w14:paraId="05B97E54">
      <w:pPr>
        <w:rPr>
          <w:rFonts w:hint="eastAsia" w:hAnsi="宋体" w:cs="宋体"/>
          <w:sz w:val="24"/>
          <w:szCs w:val="24"/>
          <w:highlight w:val="none"/>
        </w:rPr>
      </w:pPr>
    </w:p>
    <w:tbl>
      <w:tblPr>
        <w:tblStyle w:val="14"/>
        <w:tblW w:w="8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3986"/>
        <w:gridCol w:w="1035"/>
        <w:gridCol w:w="1005"/>
        <w:gridCol w:w="1822"/>
      </w:tblGrid>
      <w:tr w14:paraId="4556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541" w:type="dxa"/>
            <w:vAlign w:val="center"/>
          </w:tcPr>
          <w:p w14:paraId="0AFB96B4">
            <w:pPr>
              <w:widowControl/>
              <w:adjustRightInd w:val="0"/>
              <w:snapToGrid w:val="0"/>
              <w:spacing w:line="300" w:lineRule="exact"/>
              <w:contextualSpacing/>
              <w:jc w:val="center"/>
              <w:rPr>
                <w:rFonts w:hint="eastAsia" w:ascii="宋体" w:hAnsi="宋体" w:cs="宋体"/>
                <w:b/>
                <w:bCs/>
                <w:color w:val="000000"/>
                <w:kern w:val="0"/>
                <w:sz w:val="24"/>
                <w:szCs w:val="24"/>
                <w:highlight w:val="none"/>
              </w:rPr>
            </w:pPr>
            <w:r>
              <w:rPr>
                <w:rFonts w:hint="eastAsia" w:ascii="宋体" w:hAnsi="宋体" w:cs="宋体"/>
                <w:b/>
                <w:bCs/>
                <w:color w:val="000000"/>
                <w:kern w:val="0"/>
                <w:sz w:val="24"/>
                <w:szCs w:val="24"/>
                <w:highlight w:val="none"/>
              </w:rPr>
              <w:t>序号</w:t>
            </w:r>
          </w:p>
        </w:tc>
        <w:tc>
          <w:tcPr>
            <w:tcW w:w="3986" w:type="dxa"/>
            <w:vAlign w:val="center"/>
          </w:tcPr>
          <w:p w14:paraId="76C0A387">
            <w:pPr>
              <w:widowControl/>
              <w:adjustRightInd w:val="0"/>
              <w:snapToGrid w:val="0"/>
              <w:spacing w:line="300" w:lineRule="exact"/>
              <w:contextualSpacing/>
              <w:jc w:val="center"/>
              <w:rPr>
                <w:rFonts w:hint="eastAsia" w:ascii="宋体" w:hAnsi="宋体" w:cs="宋体"/>
                <w:b/>
                <w:bCs/>
                <w:color w:val="000000"/>
                <w:kern w:val="0"/>
                <w:sz w:val="24"/>
                <w:szCs w:val="24"/>
                <w:highlight w:val="none"/>
              </w:rPr>
            </w:pPr>
            <w:r>
              <w:rPr>
                <w:rFonts w:hint="eastAsia" w:ascii="宋体" w:hAnsi="宋体" w:cs="宋体"/>
                <w:b/>
                <w:bCs/>
                <w:color w:val="000000"/>
                <w:kern w:val="0"/>
                <w:sz w:val="24"/>
                <w:szCs w:val="24"/>
                <w:highlight w:val="none"/>
              </w:rPr>
              <w:t>标的名称</w:t>
            </w:r>
          </w:p>
        </w:tc>
        <w:tc>
          <w:tcPr>
            <w:tcW w:w="1035" w:type="dxa"/>
            <w:vAlign w:val="center"/>
          </w:tcPr>
          <w:p w14:paraId="47A13D6A">
            <w:pPr>
              <w:widowControl/>
              <w:adjustRightInd w:val="0"/>
              <w:snapToGrid w:val="0"/>
              <w:spacing w:line="300" w:lineRule="exact"/>
              <w:contextualSpacing/>
              <w:jc w:val="center"/>
              <w:rPr>
                <w:rFonts w:hint="eastAsia" w:ascii="宋体" w:hAnsi="宋体" w:cs="宋体"/>
                <w:b/>
                <w:bCs/>
                <w:color w:val="000000"/>
                <w:kern w:val="0"/>
                <w:sz w:val="24"/>
                <w:szCs w:val="24"/>
                <w:highlight w:val="none"/>
              </w:rPr>
            </w:pPr>
            <w:r>
              <w:rPr>
                <w:rFonts w:hint="eastAsia" w:ascii="宋体" w:hAnsi="宋体" w:cs="宋体"/>
                <w:b/>
                <w:bCs/>
                <w:color w:val="000000"/>
                <w:kern w:val="0"/>
                <w:sz w:val="24"/>
                <w:szCs w:val="24"/>
                <w:highlight w:val="none"/>
              </w:rPr>
              <w:t>单位</w:t>
            </w:r>
          </w:p>
        </w:tc>
        <w:tc>
          <w:tcPr>
            <w:tcW w:w="1005" w:type="dxa"/>
            <w:vAlign w:val="center"/>
          </w:tcPr>
          <w:p w14:paraId="26370EA0">
            <w:pPr>
              <w:widowControl/>
              <w:adjustRightInd w:val="0"/>
              <w:snapToGrid w:val="0"/>
              <w:spacing w:line="300" w:lineRule="exact"/>
              <w:contextualSpacing/>
              <w:jc w:val="center"/>
              <w:rPr>
                <w:rFonts w:hint="eastAsia" w:ascii="宋体" w:hAnsi="宋体" w:cs="宋体"/>
                <w:b/>
                <w:bCs/>
                <w:color w:val="000000"/>
                <w:kern w:val="0"/>
                <w:sz w:val="24"/>
                <w:szCs w:val="24"/>
                <w:highlight w:val="none"/>
              </w:rPr>
            </w:pPr>
            <w:r>
              <w:rPr>
                <w:rFonts w:hint="eastAsia" w:ascii="宋体" w:hAnsi="宋体" w:cs="宋体"/>
                <w:b/>
                <w:bCs/>
                <w:color w:val="000000"/>
                <w:kern w:val="0"/>
                <w:sz w:val="24"/>
                <w:szCs w:val="24"/>
                <w:highlight w:val="none"/>
              </w:rPr>
              <w:t>数量</w:t>
            </w:r>
          </w:p>
        </w:tc>
        <w:tc>
          <w:tcPr>
            <w:tcW w:w="1822" w:type="dxa"/>
            <w:vAlign w:val="center"/>
          </w:tcPr>
          <w:p w14:paraId="21755199">
            <w:pPr>
              <w:widowControl/>
              <w:adjustRightInd w:val="0"/>
              <w:snapToGrid w:val="0"/>
              <w:spacing w:line="300" w:lineRule="exact"/>
              <w:contextualSpacing/>
              <w:jc w:val="center"/>
              <w:rPr>
                <w:rFonts w:hint="eastAsia" w:ascii="宋体" w:hAnsi="宋体" w:cs="宋体"/>
                <w:b/>
                <w:bCs/>
                <w:color w:val="000000"/>
                <w:kern w:val="0"/>
                <w:sz w:val="24"/>
                <w:szCs w:val="24"/>
                <w:highlight w:val="none"/>
              </w:rPr>
            </w:pPr>
            <w:r>
              <w:rPr>
                <w:rFonts w:hint="eastAsia" w:ascii="宋体" w:hAnsi="宋体" w:cs="宋体"/>
                <w:b/>
                <w:bCs/>
                <w:color w:val="000000"/>
                <w:kern w:val="0"/>
                <w:sz w:val="24"/>
                <w:szCs w:val="24"/>
                <w:highlight w:val="none"/>
              </w:rPr>
              <w:t>项目预算</w:t>
            </w:r>
          </w:p>
        </w:tc>
      </w:tr>
      <w:tr w14:paraId="6BE03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541" w:type="dxa"/>
            <w:vAlign w:val="center"/>
          </w:tcPr>
          <w:p w14:paraId="29962F71">
            <w:pPr>
              <w:pStyle w:val="19"/>
              <w:widowControl/>
              <w:adjustRightInd w:val="0"/>
              <w:snapToGrid w:val="0"/>
              <w:spacing w:line="300" w:lineRule="exact"/>
              <w:ind w:firstLine="0" w:firstLineChars="0"/>
              <w:contextualSpacing/>
              <w:jc w:val="center"/>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1</w:t>
            </w:r>
          </w:p>
        </w:tc>
        <w:tc>
          <w:tcPr>
            <w:tcW w:w="3986" w:type="dxa"/>
            <w:vAlign w:val="center"/>
          </w:tcPr>
          <w:p w14:paraId="051E364F">
            <w:pPr>
              <w:pStyle w:val="4"/>
              <w:jc w:val="center"/>
              <w:rPr>
                <w:rFonts w:hint="default" w:ascii="宋体" w:hAnsi="宋体" w:cs="宋体"/>
                <w:color w:val="000000"/>
                <w:sz w:val="24"/>
                <w:szCs w:val="24"/>
                <w:highlight w:val="none"/>
              </w:rPr>
            </w:pPr>
            <w:r>
              <w:rPr>
                <w:rFonts w:hint="eastAsia" w:ascii="宋体" w:hAnsi="宋体" w:cs="宋体"/>
                <w:color w:val="000000"/>
                <w:sz w:val="24"/>
                <w:szCs w:val="24"/>
                <w:highlight w:val="none"/>
                <w:lang w:val="en-US" w:eastAsia="zh-CN"/>
              </w:rPr>
              <w:t>科研试剂耗材线上平台（四次）项目</w:t>
            </w:r>
          </w:p>
        </w:tc>
        <w:tc>
          <w:tcPr>
            <w:tcW w:w="1035" w:type="dxa"/>
            <w:vAlign w:val="center"/>
          </w:tcPr>
          <w:p w14:paraId="4BC83199">
            <w:pPr>
              <w:pStyle w:val="4"/>
              <w:jc w:val="center"/>
              <w:rPr>
                <w:rFonts w:hint="eastAsia" w:ascii="宋体" w:hAnsi="宋体" w:cs="宋体"/>
                <w:color w:val="000000"/>
                <w:sz w:val="24"/>
                <w:szCs w:val="24"/>
                <w:highlight w:val="none"/>
              </w:rPr>
            </w:pPr>
            <w:r>
              <w:rPr>
                <w:rFonts w:hint="eastAsia" w:ascii="宋体" w:hAnsi="宋体" w:cs="宋体"/>
                <w:color w:val="000000"/>
                <w:sz w:val="24"/>
                <w:szCs w:val="24"/>
                <w:highlight w:val="none"/>
              </w:rPr>
              <w:t>套</w:t>
            </w:r>
          </w:p>
        </w:tc>
        <w:tc>
          <w:tcPr>
            <w:tcW w:w="1005" w:type="dxa"/>
            <w:vAlign w:val="center"/>
          </w:tcPr>
          <w:p w14:paraId="28C6E99F">
            <w:pPr>
              <w:pStyle w:val="4"/>
              <w:jc w:val="center"/>
              <w:rPr>
                <w:rFonts w:hint="eastAsia" w:ascii="宋体" w:hAnsi="宋体" w:cs="宋体"/>
                <w:color w:val="000000"/>
                <w:sz w:val="24"/>
                <w:szCs w:val="24"/>
                <w:highlight w:val="none"/>
              </w:rPr>
            </w:pPr>
            <w:r>
              <w:rPr>
                <w:rFonts w:hint="eastAsia" w:ascii="宋体" w:hAnsi="宋体" w:cs="宋体"/>
                <w:color w:val="000000"/>
                <w:sz w:val="24"/>
                <w:szCs w:val="24"/>
                <w:highlight w:val="none"/>
              </w:rPr>
              <w:t>1</w:t>
            </w:r>
          </w:p>
        </w:tc>
        <w:tc>
          <w:tcPr>
            <w:tcW w:w="1822" w:type="dxa"/>
            <w:vAlign w:val="center"/>
          </w:tcPr>
          <w:p w14:paraId="4D2683E8">
            <w:pPr>
              <w:pStyle w:val="4"/>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0元</w:t>
            </w:r>
          </w:p>
        </w:tc>
      </w:tr>
    </w:tbl>
    <w:p w14:paraId="42241E45">
      <w:pPr>
        <w:spacing w:line="360" w:lineRule="auto"/>
        <w:rPr>
          <w:sz w:val="24"/>
          <w:highlight w:val="none"/>
        </w:rPr>
      </w:pPr>
      <w:bookmarkStart w:id="0" w:name="_GoBack"/>
      <w:bookmarkEnd w:id="0"/>
    </w:p>
    <w:p w14:paraId="5544C785">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二、技术功能需求</w:t>
      </w:r>
    </w:p>
    <w:p w14:paraId="1C97FA5A">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（一）核心功能模块</w:t>
      </w:r>
    </w:p>
    <w:p w14:paraId="76A21E9C">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商品管理</w:t>
      </w:r>
    </w:p>
    <w:p w14:paraId="032C130E">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1.分类展示与商品覆盖：支持对技术服务、仪器设备、实验动物、生物试剂、化学试剂、实验耗材等科研物资和服务进行合理分类，满足供应商产品上传及图文并茂展示要求。商品展示页面除提供清晰图片外，还应包含商品名称、品牌、规格参数、技术指标、使用方法、适用场景、供货周期等信息，确保用户能够全面了解商品特性。平台商品品类应覆盖常用产品及国内外主流品牌，包括但不限于Abcam、Sigma-Aldrich、HyClone、Merck、Thermo Fisher Scientific等品牌或同等档次产品；上述品牌仅作为品类覆盖示例，不作为限定品牌条件。</w:t>
      </w:r>
      <w:r>
        <w:rPr>
          <w:rFonts w:hint="eastAsia" w:ascii="Times New Roman" w:hAnsi="Times New Roman" w:cs="Times New Roman"/>
          <w:sz w:val="24"/>
          <w:highlight w:val="none"/>
        </w:rPr>
        <w:t>品牌选择要求：为满足医院科研需求，合同履行期内，针对同一通用实验耗材或通用试剂品类，平台应提供不少于3个不同品牌供采购人比选。</w:t>
      </w:r>
    </w:p>
    <w:p w14:paraId="102B8856">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2.搜索功能：提供模糊搜索及精准搜索，支持按商品名称、品牌、型号、供应商、供货区域、配送范围等条件检索，并支持筛选成都本地或可服务成都地区的供应商。</w:t>
      </w:r>
    </w:p>
    <w:p w14:paraId="508FA299">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3.</w:t>
      </w:r>
      <w:r>
        <w:rPr>
          <w:rFonts w:ascii="Times New Roman" w:hAnsi="Times New Roman" w:cs="Times New Roman"/>
          <w:sz w:val="24"/>
          <w:szCs w:val="24"/>
          <w:highlight w:val="none"/>
        </w:rPr>
        <w:t>订单管理：具备购物车功能，有进度显示和信息推送（邮件、短信、微信），可分类检索、删除、收藏、批量确认订单。</w:t>
      </w:r>
    </w:p>
    <w:p w14:paraId="3BC46190">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4.</w:t>
      </w:r>
      <w:r>
        <w:rPr>
          <w:rFonts w:ascii="Times New Roman" w:hAnsi="Times New Roman" w:cs="Times New Roman"/>
          <w:sz w:val="24"/>
          <w:szCs w:val="24"/>
          <w:highlight w:val="none"/>
        </w:rPr>
        <w:t>退换货模块：出现上商品不符合单位要求等情况需要退货时，提供退换货系统，用户可以与商家协商完成整个退货流程。</w:t>
      </w:r>
    </w:p>
    <w:p w14:paraId="320D6FE5">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5.</w:t>
      </w:r>
      <w:r>
        <w:rPr>
          <w:rFonts w:ascii="Times New Roman" w:hAnsi="Times New Roman" w:cs="Times New Roman"/>
          <w:sz w:val="24"/>
          <w:szCs w:val="24"/>
          <w:highlight w:val="none"/>
        </w:rPr>
        <w:t>评价投诉管理：采购人员可评价商品和供应商服务，查看科研人员对供应商的投诉信息及处理记录。</w:t>
      </w:r>
    </w:p>
    <w:p w14:paraId="042F9921">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6.</w:t>
      </w:r>
      <w:r>
        <w:rPr>
          <w:rFonts w:ascii="Times New Roman" w:hAnsi="Times New Roman" w:cs="Times New Roman"/>
          <w:sz w:val="24"/>
          <w:szCs w:val="24"/>
          <w:highlight w:val="none"/>
        </w:rPr>
        <w:t>询价竞价功能：支持在线发布采购信息，供应商可以在线竞价，采购人可查看所有报价，并支持咨询功能。</w:t>
      </w:r>
    </w:p>
    <w:p w14:paraId="05E615F2">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7.价格监控与比对：建立完善的商品价格动态监控机制，实时监测平台商品价格；支持同品牌、同规格、同型号商品跨供应商价格比对。平台需定期收集可比市场价格及供应商线下价格信息，确保平台商品线上价格不高于可比市场价格及该供应商同期线下价格。若发现价格违规，平台应按照承诺对差价进行双倍返还，维护采购方的经济利益。</w:t>
      </w:r>
    </w:p>
    <w:p w14:paraId="6EF0EB20">
      <w:pPr>
        <w:numPr>
          <w:ilvl w:val="255"/>
          <w:numId w:val="0"/>
        </w:num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供应商管理</w:t>
      </w:r>
    </w:p>
    <w:p w14:paraId="1BF2EE57">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8.资质审核与入网监管：平台运营主体须具有合法有效的营业执照，经营范围应与本项目服务内容相适应，涵盖电子商务平台服务、科研试剂或实验耗材等相关业务；涉及依法须经许可、备案的业务，应具备相应有效资质或许可。平台应具备稳定运行的线上交易网站，能够提供B2B、B2C及第三方电子商务交易服务。平台应对入驻供应商的营业执照、品牌代理或授权、产品质量证明、服务承诺等进行审核，并对供应商入网、商品上架、价格、订单履约、售后及投诉处理等进行全过程监管，确保供应商具备合法经营资质和持续供货服务能力，相关记录可查询、可追溯。</w:t>
      </w:r>
    </w:p>
    <w:p w14:paraId="41C208A8">
      <w:pPr>
        <w:spacing w:line="360" w:lineRule="auto"/>
        <w:ind w:firstLine="480" w:firstLineChars="200"/>
        <w:rPr>
          <w:rFonts w:hint="eastAsia" w:ascii="宋体" w:hAnsi="宋体" w:eastAsia="宋体" w:cs="宋体"/>
          <w:color w:val="000000"/>
          <w:sz w:val="24"/>
          <w:highlight w:val="none"/>
        </w:rPr>
      </w:pPr>
      <w:r>
        <w:rPr>
          <w:rFonts w:hint="eastAsia" w:ascii="Times New Roman" w:hAnsi="Times New Roman" w:cs="Times New Roman"/>
          <w:sz w:val="24"/>
          <w:szCs w:val="24"/>
          <w:highlight w:val="none"/>
        </w:rPr>
        <w:t>▲9.费用要求：平台不得向采购人收取平台使用费、系统建设费、入驻费、交易佣金、运维费或其他类似费用。平台建设方可根据服务情况向入驻供应商收取平台交易服务费，但不得高于交易额的5%；不得以任何形式或理由另行向入驻供应商收取质保金、押金，并须就上述费用要求出具加盖公章的书面承诺。</w:t>
      </w:r>
    </w:p>
    <w:p w14:paraId="270CA35E">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10.等级认证：对供应商进行定期的等级认证。依据供应商在平台的各项表现（包括但不限于销量、售后服务、配送速度、投诉情况）对供应商进行服务能力的整体动态考核与等级认证，并公开等级认证结果。考核未达标的供应商予以清理清退，保证整个平台优质的服务质量，切实维护用户利益。</w:t>
      </w:r>
    </w:p>
    <w:p w14:paraId="6CFB34E0">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11.供应商库规模：供应商库初始规模应不少于1000家，平台内应包含能够向成都地区提供供货及售后服务的供应商，并支持按供货区域、配送能力进行筛选。同时，平台应具备良好的扩展性，能够根据采购方需求持续引入新的供应商，丰富商品种类和品牌选择。（需提供相关证明材料）</w:t>
      </w:r>
    </w:p>
    <w:p w14:paraId="445E766B">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12.供应商增减：平台支持根据采购单位需求以及对供货商的评价进行供货商账号的关停或者开通管理。</w:t>
      </w:r>
    </w:p>
    <w:p w14:paraId="0ABC979E">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13.质量保障与惩戒机制：平台须建立必要的产品质量保障、问题商品处置和供应商惩戒机制。对供应商售卖假冒伪劣或不合格产品、售价高于约定价格、开具虚假发票、虚构交易等行为，应明确具体的责任处理和处罚措施，包括但不限于商品退换、差价赔偿、经济处罚、下架商品、关闭店铺、终止合作等，确保供应商规范、诚信经营；相关调查、处理和整改记录应留痕并可追溯。</w:t>
      </w:r>
    </w:p>
    <w:p w14:paraId="2D1076B9">
      <w:pPr>
        <w:numPr>
          <w:ilvl w:val="255"/>
          <w:numId w:val="0"/>
        </w:num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采购流程</w:t>
      </w:r>
    </w:p>
    <w:p w14:paraId="25C83A63">
      <w:pPr>
        <w:spacing w:line="360" w:lineRule="auto"/>
        <w:ind w:firstLine="480" w:firstLineChars="200"/>
        <w:rPr>
          <w:rFonts w:ascii="Times New Roman" w:hAnsi="Times New Roman" w:cs="Times New Roman"/>
          <w:sz w:val="24"/>
          <w:highlight w:val="none"/>
        </w:rPr>
      </w:pPr>
      <w:r>
        <w:rPr>
          <w:rFonts w:hint="eastAsia" w:ascii="Times New Roman" w:hAnsi="Times New Roman" w:cs="Times New Roman"/>
          <w:sz w:val="24"/>
          <w:szCs w:val="24"/>
          <w:highlight w:val="none"/>
        </w:rPr>
        <w:t>14.采购模式：支持直采、询价竞价（采用暗标形式）、云采购等多种采购模式，并支持与云库房衔接。确需线下采购的，应在平台发起备案审批，审批通过后实施采购，相关记录纳入平台统一管理。</w:t>
      </w:r>
    </w:p>
    <w:p w14:paraId="4BDC4033">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15.审批流程：依据采购方内控管理要求，支持按照组织架构、经费来源、采购金额、物资类别等灵活配置审批节点、审批层级和审批方式，并支持退回、转办、会签等流程；支持微信端审批功能，审批人可通过微信小程序或公众号接收审批通知并进行审批操作。</w:t>
      </w:r>
    </w:p>
    <w:p w14:paraId="02A3CCD1">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▲16.电子签名：针对各级审批，提供电子签名服务，电子签名可作为审批记录直接打印。（需提供相关证明材料）</w:t>
      </w:r>
    </w:p>
    <w:p w14:paraId="27FE01AE">
      <w:pPr>
        <w:spacing w:line="360" w:lineRule="auto"/>
        <w:ind w:firstLine="480" w:firstLineChars="200"/>
        <w:rPr>
          <w:sz w:val="24"/>
          <w:highlight w:val="none"/>
        </w:rPr>
      </w:pPr>
      <w:r>
        <w:rPr>
          <w:rFonts w:ascii="Times New Roman" w:hAnsi="Times New Roman" w:cs="Times New Roman"/>
          <w:sz w:val="24"/>
          <w:highlight w:val="none"/>
        </w:rPr>
        <w:t>▲</w:t>
      </w:r>
      <w:r>
        <w:rPr>
          <w:rFonts w:hint="eastAsia"/>
          <w:sz w:val="24"/>
          <w:highlight w:val="none"/>
        </w:rPr>
        <w:t>17</w:t>
      </w:r>
      <w:r>
        <w:rPr>
          <w:sz w:val="24"/>
          <w:highlight w:val="none"/>
        </w:rPr>
        <w:t>.</w:t>
      </w:r>
      <w:r>
        <w:rPr>
          <w:rFonts w:ascii="Times New Roman" w:hAnsi="Times New Roman" w:cs="Times New Roman"/>
          <w:sz w:val="24"/>
          <w:szCs w:val="24"/>
          <w:highlight w:val="none"/>
        </w:rPr>
        <w:t>危化品</w:t>
      </w:r>
      <w:r>
        <w:rPr>
          <w:rFonts w:hint="eastAsia" w:ascii="Times New Roman" w:hAnsi="Times New Roman" w:cs="Times New Roman"/>
          <w:sz w:val="24"/>
          <w:szCs w:val="24"/>
          <w:highlight w:val="none"/>
        </w:rPr>
        <w:t>采购</w:t>
      </w:r>
      <w:r>
        <w:rPr>
          <w:rFonts w:ascii="Times New Roman" w:hAnsi="Times New Roman" w:cs="Times New Roman"/>
          <w:sz w:val="24"/>
          <w:szCs w:val="24"/>
          <w:highlight w:val="none"/>
        </w:rPr>
        <w:t>管理：针对危化品采购，</w:t>
      </w:r>
      <w:r>
        <w:rPr>
          <w:rFonts w:hint="eastAsia" w:ascii="宋体" w:hAnsi="宋体" w:cs="宋体"/>
          <w:color w:val="000000"/>
          <w:sz w:val="24"/>
          <w:highlight w:val="none"/>
        </w:rPr>
        <w:t>拥有完整的危化品管理，包括危化品的品目审核、采购审批、存量管理、安全巡检及统计等功能。</w:t>
      </w:r>
      <w:r>
        <w:rPr>
          <w:rFonts w:hint="eastAsia" w:ascii="宋体" w:hAnsi="宋体" w:eastAsia="宋体" w:cs="宋体"/>
          <w:color w:val="000000"/>
          <w:sz w:val="24"/>
          <w:highlight w:val="none"/>
        </w:rPr>
        <w:t>（</w:t>
      </w:r>
      <w:r>
        <w:rPr>
          <w:rFonts w:hint="eastAsia" w:ascii="宋体" w:hAnsi="宋体" w:cs="宋体"/>
          <w:color w:val="000000"/>
          <w:sz w:val="24"/>
          <w:highlight w:val="none"/>
        </w:rPr>
        <w:t>需提供相关证明材料</w:t>
      </w:r>
      <w:r>
        <w:rPr>
          <w:rFonts w:hint="eastAsia" w:ascii="宋体" w:hAnsi="宋体" w:eastAsia="宋体" w:cs="宋体"/>
          <w:color w:val="000000"/>
          <w:sz w:val="24"/>
          <w:highlight w:val="none"/>
        </w:rPr>
        <w:t>）</w:t>
      </w:r>
    </w:p>
    <w:p w14:paraId="7AF7326C">
      <w:pPr>
        <w:spacing w:line="360" w:lineRule="auto"/>
        <w:ind w:firstLine="480" w:firstLineChars="200"/>
        <w:rPr>
          <w:sz w:val="24"/>
          <w:highlight w:val="none"/>
        </w:rPr>
      </w:pPr>
      <w:r>
        <w:rPr>
          <w:rFonts w:ascii="Times New Roman" w:hAnsi="Times New Roman" w:cs="Times New Roman"/>
          <w:sz w:val="24"/>
          <w:highlight w:val="none"/>
        </w:rPr>
        <w:t>▲</w:t>
      </w:r>
      <w:r>
        <w:rPr>
          <w:rFonts w:hint="eastAsia"/>
          <w:sz w:val="24"/>
          <w:highlight w:val="none"/>
        </w:rPr>
        <w:t>18.</w:t>
      </w:r>
      <w:r>
        <w:rPr>
          <w:sz w:val="24"/>
          <w:highlight w:val="none"/>
        </w:rPr>
        <w:t>危化品采购备案</w:t>
      </w:r>
      <w:r>
        <w:rPr>
          <w:rFonts w:hint="eastAsia"/>
          <w:sz w:val="24"/>
          <w:highlight w:val="none"/>
        </w:rPr>
        <w:t>：</w:t>
      </w:r>
      <w:r>
        <w:rPr>
          <w:sz w:val="24"/>
          <w:highlight w:val="none"/>
        </w:rPr>
        <w:t>可以实现平台采购管制类化学品后，自动完成公安系统线上快速备案。</w:t>
      </w:r>
      <w:r>
        <w:rPr>
          <w:rFonts w:hint="eastAsia" w:ascii="宋体" w:hAnsi="宋体" w:eastAsia="宋体" w:cs="宋体"/>
          <w:color w:val="000000"/>
          <w:sz w:val="24"/>
          <w:highlight w:val="none"/>
        </w:rPr>
        <w:t>（</w:t>
      </w:r>
      <w:r>
        <w:rPr>
          <w:rFonts w:hint="eastAsia" w:ascii="宋体" w:hAnsi="宋体" w:cs="宋体"/>
          <w:color w:val="000000"/>
          <w:sz w:val="24"/>
          <w:highlight w:val="none"/>
        </w:rPr>
        <w:t>需提供相关证明材料</w:t>
      </w:r>
      <w:r>
        <w:rPr>
          <w:rFonts w:hint="eastAsia" w:ascii="宋体" w:hAnsi="宋体" w:eastAsia="宋体" w:cs="宋体"/>
          <w:color w:val="000000"/>
          <w:sz w:val="24"/>
          <w:highlight w:val="none"/>
        </w:rPr>
        <w:t>）</w:t>
      </w:r>
    </w:p>
    <w:p w14:paraId="699A857D">
      <w:pPr>
        <w:numPr>
          <w:ilvl w:val="255"/>
          <w:numId w:val="0"/>
        </w:numPr>
        <w:spacing w:line="360" w:lineRule="auto"/>
        <w:rPr>
          <w:rFonts w:hint="eastAsia" w:ascii="黑体" w:hAnsi="黑体" w:eastAsia="黑体" w:cs="黑体"/>
          <w:sz w:val="24"/>
          <w:szCs w:val="24"/>
          <w:highlight w:val="none"/>
        </w:rPr>
      </w:pPr>
      <w:r>
        <w:rPr>
          <w:rFonts w:hint="eastAsia" w:ascii="黑体" w:hAnsi="黑体" w:eastAsia="黑体" w:cs="黑体"/>
          <w:b/>
          <w:sz w:val="24"/>
          <w:szCs w:val="24"/>
          <w:highlight w:val="none"/>
        </w:rPr>
        <w:t>部门科室管理</w:t>
      </w:r>
    </w:p>
    <w:p w14:paraId="62045B33">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1</w:t>
      </w:r>
      <w:r>
        <w:rPr>
          <w:rFonts w:hint="eastAsia" w:ascii="Times New Roman" w:hAnsi="Times New Roman" w:cs="Times New Roman"/>
          <w:sz w:val="24"/>
          <w:highlight w:val="none"/>
        </w:rPr>
        <w:t>9</w:t>
      </w:r>
      <w:r>
        <w:rPr>
          <w:rFonts w:ascii="Times New Roman" w:hAnsi="Times New Roman" w:cs="Times New Roman"/>
          <w:sz w:val="24"/>
          <w:highlight w:val="none"/>
        </w:rPr>
        <w:t>.</w:t>
      </w:r>
      <w:r>
        <w:rPr>
          <w:rFonts w:hint="eastAsia" w:ascii="Times New Roman" w:hAnsi="Times New Roman" w:cs="Times New Roman"/>
          <w:sz w:val="24"/>
          <w:szCs w:val="24"/>
          <w:highlight w:val="none"/>
        </w:rPr>
        <w:t>遵循采购方现有组织机构管理模式，实现三级管理（医院－部门科室－人员），通过采购方的系统管理员可以分配部门科室管理者相应的管理权限，部门科室管理者可以完成订单审批功能。采购方的系统管理员拥有最高权限，可进行多方面管理并分配次级管理员。</w:t>
      </w:r>
    </w:p>
    <w:p w14:paraId="4CDBC69C">
      <w:pPr>
        <w:numPr>
          <w:ilvl w:val="255"/>
          <w:numId w:val="0"/>
        </w:num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人员管理</w:t>
      </w:r>
    </w:p>
    <w:p w14:paraId="269CB741">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20</w:t>
      </w:r>
      <w:r>
        <w:rPr>
          <w:rFonts w:ascii="Times New Roman" w:hAnsi="Times New Roman" w:cs="Times New Roman"/>
          <w:sz w:val="24"/>
          <w:highlight w:val="none"/>
        </w:rPr>
        <w:t>.</w:t>
      </w:r>
      <w:r>
        <w:rPr>
          <w:rFonts w:ascii="Times New Roman" w:hAnsi="Times New Roman" w:cs="Times New Roman"/>
          <w:sz w:val="24"/>
          <w:szCs w:val="24"/>
          <w:highlight w:val="none"/>
        </w:rPr>
        <w:t>账号管理：通过</w:t>
      </w:r>
      <w:r>
        <w:rPr>
          <w:rFonts w:hint="eastAsia" w:ascii="Times New Roman" w:hAnsi="Times New Roman" w:cs="Times New Roman"/>
          <w:sz w:val="24"/>
          <w:szCs w:val="24"/>
          <w:highlight w:val="none"/>
        </w:rPr>
        <w:t>采购方</w:t>
      </w:r>
      <w:r>
        <w:rPr>
          <w:rFonts w:ascii="Times New Roman" w:hAnsi="Times New Roman" w:cs="Times New Roman"/>
          <w:sz w:val="24"/>
          <w:szCs w:val="24"/>
          <w:highlight w:val="none"/>
        </w:rPr>
        <w:t>的管理员账号可以实现对基础人员的账号管理，包括账号的增加、修改、编辑、删除、密码重置、启用/停用等。</w:t>
      </w:r>
    </w:p>
    <w:p w14:paraId="6D4B63EA">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21</w:t>
      </w:r>
      <w:r>
        <w:rPr>
          <w:rFonts w:ascii="Times New Roman" w:hAnsi="Times New Roman" w:cs="Times New Roman"/>
          <w:sz w:val="24"/>
          <w:highlight w:val="none"/>
        </w:rPr>
        <w:t>.</w:t>
      </w:r>
      <w:r>
        <w:rPr>
          <w:rFonts w:ascii="Times New Roman" w:hAnsi="Times New Roman" w:cs="Times New Roman"/>
          <w:sz w:val="24"/>
          <w:szCs w:val="24"/>
          <w:highlight w:val="none"/>
        </w:rPr>
        <w:t>课题组管理：课题组负责人（PI）可以为课题组成员分配不同角色和权限，管理内容包括成员管理、经费管理、收货地址管理和个人信息管理等</w:t>
      </w:r>
      <w:r>
        <w:rPr>
          <w:rFonts w:hint="eastAsia" w:ascii="Times New Roman" w:hAnsi="Times New Roman" w:cs="Times New Roman"/>
          <w:sz w:val="24"/>
          <w:szCs w:val="24"/>
          <w:highlight w:val="none"/>
        </w:rPr>
        <w:t>。</w:t>
      </w:r>
    </w:p>
    <w:p w14:paraId="6B079954">
      <w:pPr>
        <w:numPr>
          <w:ilvl w:val="255"/>
          <w:numId w:val="0"/>
        </w:num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经费与预算</w:t>
      </w:r>
    </w:p>
    <w:p w14:paraId="6EBF3F37">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w:t>
      </w:r>
      <w:r>
        <w:rPr>
          <w:rFonts w:hint="eastAsia" w:ascii="Times New Roman" w:hAnsi="Times New Roman" w:cs="Times New Roman"/>
          <w:sz w:val="24"/>
          <w:highlight w:val="none"/>
        </w:rPr>
        <w:t>22</w:t>
      </w:r>
      <w:r>
        <w:rPr>
          <w:rFonts w:ascii="Times New Roman" w:hAnsi="Times New Roman" w:cs="Times New Roman"/>
          <w:sz w:val="24"/>
          <w:highlight w:val="none"/>
        </w:rPr>
        <w:t>.</w:t>
      </w:r>
      <w:r>
        <w:rPr>
          <w:rFonts w:ascii="Times New Roman" w:hAnsi="Times New Roman" w:cs="Times New Roman"/>
          <w:sz w:val="24"/>
          <w:szCs w:val="24"/>
          <w:highlight w:val="none"/>
        </w:rPr>
        <w:t>预算控制：支持按课题或部门设定预算限额，平台在用户下单时自动比对采购金额与预算余额。若采购金额超出预算限额，系统应自动拦截订单，并向采购人员和相关负责人发出提醒，防止经费超支。同时，平台应提供预算使用情况的实时查询功能，方便用户随时了解预算执行进度。</w:t>
      </w:r>
      <w:r>
        <w:rPr>
          <w:rFonts w:hint="eastAsia" w:ascii="宋体" w:hAnsi="宋体" w:eastAsia="宋体" w:cs="宋体"/>
          <w:color w:val="000000"/>
          <w:sz w:val="24"/>
          <w:highlight w:val="none"/>
        </w:rPr>
        <w:t>（</w:t>
      </w:r>
      <w:r>
        <w:rPr>
          <w:rFonts w:hint="eastAsia" w:ascii="宋体" w:hAnsi="宋体" w:cs="宋体"/>
          <w:color w:val="000000"/>
          <w:sz w:val="24"/>
          <w:highlight w:val="none"/>
        </w:rPr>
        <w:t>需提供相关证明材料</w:t>
      </w:r>
      <w:r>
        <w:rPr>
          <w:rFonts w:hint="eastAsia" w:ascii="宋体" w:hAnsi="宋体" w:eastAsia="宋体" w:cs="宋体"/>
          <w:color w:val="000000"/>
          <w:sz w:val="24"/>
          <w:highlight w:val="none"/>
        </w:rPr>
        <w:t>）</w:t>
      </w:r>
    </w:p>
    <w:p w14:paraId="30F6C261">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23</w:t>
      </w:r>
      <w:r>
        <w:rPr>
          <w:rFonts w:ascii="Times New Roman" w:hAnsi="Times New Roman" w:cs="Times New Roman"/>
          <w:sz w:val="24"/>
          <w:highlight w:val="none"/>
        </w:rPr>
        <w:t>.</w:t>
      </w:r>
      <w:r>
        <w:rPr>
          <w:rFonts w:ascii="Times New Roman" w:hAnsi="Times New Roman" w:cs="Times New Roman"/>
          <w:sz w:val="24"/>
          <w:szCs w:val="24"/>
          <w:highlight w:val="none"/>
        </w:rPr>
        <w:t>课题组管理：课题组负责人可以进行课题组采购过程管理，包括但不限于采购经费管理和采购权限管理，课题负责人可随时查看经费使用情况。</w:t>
      </w:r>
    </w:p>
    <w:p w14:paraId="33A56ADA">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24.结算方式：支持电子发票、电子审批等无纸化结算，并支持按订单、按月或周期、分批等多种结算方式，减少纸质文件流转，提高结算效率。经费不足时，可按采购方权限规则更换经费来源进行支付。</w:t>
      </w:r>
    </w:p>
    <w:p w14:paraId="2BE083D9">
      <w:pPr>
        <w:numPr>
          <w:ilvl w:val="255"/>
          <w:numId w:val="0"/>
        </w:num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验收入库</w:t>
      </w:r>
    </w:p>
    <w:p w14:paraId="30C5F20B">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25.验收（验货）方式：支持到货验货和拍照上传，验收人员可记录商品名称、数量、规格型号、批号、有效期、外观、包装及标签等信息，并上传照片作为验收凭证；支持打印出入库单等材料用于财务报销，验收记录应与订单、供应商及结算信息关联并可追溯。</w:t>
      </w:r>
    </w:p>
    <w:p w14:paraId="5C76F8B4">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26</w:t>
      </w:r>
      <w:r>
        <w:rPr>
          <w:rFonts w:ascii="Times New Roman" w:hAnsi="Times New Roman" w:cs="Times New Roman"/>
          <w:sz w:val="24"/>
          <w:highlight w:val="none"/>
        </w:rPr>
        <w:t>.</w:t>
      </w:r>
      <w:r>
        <w:rPr>
          <w:rFonts w:ascii="Times New Roman" w:hAnsi="Times New Roman" w:cs="Times New Roman"/>
          <w:sz w:val="24"/>
          <w:szCs w:val="24"/>
          <w:highlight w:val="none"/>
        </w:rPr>
        <w:t>移动端支持：通过微信小程序/公众号实现采购、审批、验收、查询等全流程操作。用户可在移动端随时随地浏览商品信息、下单采购、提交审批申请、进行验收操作以及查询订单状态、库存信息等。同时，平台应具备消息实时推送功能，及时向用户发送采购进度更新、审批通知、验收提醒等消息，确保用户及时了解采购相关信息，提高采购效率。</w:t>
      </w:r>
    </w:p>
    <w:p w14:paraId="58D7D748">
      <w:pPr>
        <w:numPr>
          <w:ilvl w:val="255"/>
          <w:numId w:val="0"/>
        </w:num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统计模块</w:t>
      </w:r>
    </w:p>
    <w:p w14:paraId="4988162D">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2</w:t>
      </w:r>
      <w:r>
        <w:rPr>
          <w:rFonts w:hint="eastAsia" w:ascii="Times New Roman" w:hAnsi="Times New Roman" w:cs="Times New Roman"/>
          <w:sz w:val="24"/>
          <w:highlight w:val="none"/>
        </w:rPr>
        <w:t>7</w:t>
      </w:r>
      <w:r>
        <w:rPr>
          <w:rFonts w:ascii="Times New Roman" w:hAnsi="Times New Roman" w:cs="Times New Roman"/>
          <w:sz w:val="24"/>
          <w:highlight w:val="none"/>
        </w:rPr>
        <w:t>.</w:t>
      </w:r>
      <w:r>
        <w:rPr>
          <w:rFonts w:ascii="Times New Roman" w:hAnsi="Times New Roman" w:cs="Times New Roman"/>
          <w:sz w:val="24"/>
          <w:szCs w:val="24"/>
          <w:highlight w:val="none"/>
        </w:rPr>
        <w:t>支持对平台生成的采购信息（采购单、结算单、出入库单等）进行综合查询统计并导出，支持多维度统计分析（单位、部门、课题组等）。</w:t>
      </w:r>
    </w:p>
    <w:p w14:paraId="4965DD89">
      <w:pPr>
        <w:spacing w:line="360" w:lineRule="auto"/>
        <w:rPr>
          <w:sz w:val="24"/>
          <w:highlight w:val="none"/>
        </w:rPr>
      </w:pPr>
      <w:r>
        <w:rPr>
          <w:rFonts w:hint="eastAsia" w:ascii="黑体" w:hAnsi="黑体" w:eastAsia="黑体" w:cs="黑体"/>
          <w:b/>
          <w:sz w:val="24"/>
          <w:szCs w:val="24"/>
          <w:highlight w:val="none"/>
        </w:rPr>
        <w:t>（二）增值功能</w:t>
      </w:r>
    </w:p>
    <w:p w14:paraId="5B364C29">
      <w:pPr>
        <w:spacing w:line="360" w:lineRule="auto"/>
        <w:ind w:firstLine="480" w:firstLineChars="200"/>
        <w:rPr>
          <w:sz w:val="24"/>
          <w:highlight w:val="none"/>
        </w:rPr>
      </w:pPr>
      <w:r>
        <w:rPr>
          <w:rFonts w:ascii="Times New Roman" w:hAnsi="Times New Roman" w:cs="Times New Roman"/>
          <w:sz w:val="24"/>
          <w:highlight w:val="none"/>
        </w:rPr>
        <w:t>▲</w:t>
      </w:r>
      <w:r>
        <w:rPr>
          <w:sz w:val="24"/>
          <w:highlight w:val="none"/>
        </w:rPr>
        <w:t>2</w:t>
      </w:r>
      <w:r>
        <w:rPr>
          <w:rFonts w:hint="eastAsia"/>
          <w:sz w:val="24"/>
          <w:highlight w:val="none"/>
        </w:rPr>
        <w:t>8.</w:t>
      </w:r>
      <w:r>
        <w:rPr>
          <w:rFonts w:ascii="Times New Roman" w:hAnsi="Times New Roman" w:cs="Times New Roman"/>
          <w:sz w:val="24"/>
          <w:szCs w:val="24"/>
          <w:highlight w:val="none"/>
        </w:rPr>
        <w:t>风险防控</w:t>
      </w:r>
      <w:r>
        <w:rPr>
          <w:rFonts w:hint="eastAsia" w:ascii="Times New Roman" w:hAnsi="Times New Roman" w:cs="Times New Roman"/>
          <w:sz w:val="24"/>
          <w:szCs w:val="24"/>
          <w:highlight w:val="none"/>
        </w:rPr>
        <w:t>：</w:t>
      </w:r>
      <w:r>
        <w:rPr>
          <w:rFonts w:ascii="Times New Roman" w:hAnsi="Times New Roman" w:cs="Times New Roman"/>
          <w:sz w:val="24"/>
          <w:szCs w:val="24"/>
          <w:highlight w:val="none"/>
        </w:rPr>
        <w:t>利用大数据分析技术对采购行为进行实时监测和风险筛查。建立风险评估模型，设定敏感采购行为的判断标准，如异常的采购频率、过高的采购金额、特定供应商的频繁采购等。一旦发现敏感采购行为，系统自动拦截风险订单，并向采购人员和管理人员发出风险提醒。</w:t>
      </w:r>
      <w:r>
        <w:rPr>
          <w:rFonts w:hint="eastAsia" w:ascii="宋体" w:hAnsi="宋体" w:eastAsia="宋体" w:cs="宋体"/>
          <w:color w:val="000000"/>
          <w:sz w:val="24"/>
          <w:highlight w:val="none"/>
        </w:rPr>
        <w:t>（</w:t>
      </w:r>
      <w:r>
        <w:rPr>
          <w:rFonts w:hint="eastAsia" w:ascii="宋体" w:hAnsi="宋体" w:cs="宋体"/>
          <w:color w:val="000000"/>
          <w:sz w:val="24"/>
          <w:highlight w:val="none"/>
        </w:rPr>
        <w:t>需提供相关证明材料</w:t>
      </w:r>
      <w:r>
        <w:rPr>
          <w:rFonts w:hint="eastAsia" w:ascii="宋体" w:hAnsi="宋体" w:eastAsia="宋体" w:cs="宋体"/>
          <w:color w:val="000000"/>
          <w:sz w:val="24"/>
          <w:highlight w:val="none"/>
        </w:rPr>
        <w:t>）</w:t>
      </w:r>
    </w:p>
    <w:p w14:paraId="4756DE6E">
      <w:pPr>
        <w:spacing w:line="360" w:lineRule="auto"/>
        <w:ind w:firstLine="480" w:firstLineChars="200"/>
        <w:rPr>
          <w:sz w:val="24"/>
          <w:highlight w:val="none"/>
        </w:rPr>
      </w:pPr>
      <w:r>
        <w:rPr>
          <w:rFonts w:ascii="Times New Roman" w:hAnsi="Times New Roman" w:cs="Times New Roman"/>
          <w:sz w:val="24"/>
          <w:highlight w:val="none"/>
        </w:rPr>
        <w:t>▲29.云库房与仓储配送：平台应具备云库房管理功能和服务成都地区的仓储配送能力，可通过自有</w:t>
      </w:r>
      <w:r>
        <w:rPr>
          <w:rFonts w:hint="eastAsia" w:ascii="Times New Roman" w:hAnsi="Times New Roman" w:cs="Times New Roman"/>
          <w:sz w:val="24"/>
          <w:highlight w:val="none"/>
          <w:lang w:eastAsia="zh-CN"/>
        </w:rPr>
        <w:t>、</w:t>
      </w:r>
      <w:r>
        <w:rPr>
          <w:rFonts w:ascii="Times New Roman" w:hAnsi="Times New Roman" w:cs="Times New Roman"/>
          <w:sz w:val="24"/>
          <w:highlight w:val="none"/>
        </w:rPr>
        <w:t>合法合作仓储</w:t>
      </w:r>
      <w:r>
        <w:rPr>
          <w:rFonts w:hint="eastAsia" w:ascii="Times New Roman" w:hAnsi="Times New Roman" w:cs="Times New Roman"/>
          <w:sz w:val="24"/>
          <w:highlight w:val="none"/>
          <w:lang w:val="en-US" w:eastAsia="zh-CN"/>
        </w:rPr>
        <w:t>或</w:t>
      </w:r>
      <w:r>
        <w:rPr>
          <w:rStyle w:val="17"/>
          <w:rFonts w:ascii="宋体" w:hAnsi="宋体" w:eastAsia="宋体" w:cs="宋体"/>
          <w:b w:val="0"/>
          <w:bCs/>
          <w:sz w:val="24"/>
          <w:szCs w:val="24"/>
        </w:rPr>
        <w:t>平台准入的供应商仓储资源</w:t>
      </w:r>
      <w:r>
        <w:rPr>
          <w:rFonts w:ascii="宋体" w:hAnsi="宋体" w:eastAsia="宋体" w:cs="宋体"/>
          <w:sz w:val="24"/>
          <w:szCs w:val="24"/>
        </w:rPr>
        <w:t>，</w:t>
      </w:r>
      <w:r>
        <w:rPr>
          <w:rFonts w:ascii="Times New Roman" w:hAnsi="Times New Roman" w:cs="Times New Roman"/>
          <w:sz w:val="24"/>
          <w:highlight w:val="none"/>
        </w:rPr>
        <w:t>提供日常实验试剂耗材的现货储存、周转、暂存、库存查询及配送服务，以满足采购方对试剂耗材采购时效性和多样性的需求。</w:t>
      </w:r>
      <w:r>
        <w:rPr>
          <w:rFonts w:hint="eastAsia" w:ascii="Times New Roman" w:hAnsi="Times New Roman" w:cs="Times New Roman"/>
          <w:sz w:val="24"/>
          <w:highlight w:val="none"/>
        </w:rPr>
        <w:t>平台对仓储、供货、配送全流程承担主体责任，确保可满足成都本地交付时效要求。</w:t>
      </w:r>
      <w:r>
        <w:rPr>
          <w:rFonts w:ascii="Times New Roman" w:hAnsi="Times New Roman" w:cs="Times New Roman"/>
          <w:sz w:val="24"/>
          <w:highlight w:val="none"/>
        </w:rPr>
        <w:t>（需提供相关证明材料）</w:t>
      </w:r>
    </w:p>
    <w:p w14:paraId="0C1800EE">
      <w:pPr>
        <w:pStyle w:val="2"/>
        <w:spacing w:beforeAutospacing="0" w:afterAutospacing="0" w:line="360" w:lineRule="auto"/>
        <w:rPr>
          <w:sz w:val="24"/>
          <w:szCs w:val="24"/>
          <w:highlight w:val="none"/>
        </w:rPr>
      </w:pPr>
    </w:p>
    <w:p w14:paraId="326BDF3F">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三、数据安全与运维</w:t>
      </w:r>
    </w:p>
    <w:p w14:paraId="20FB71E4">
      <w:pPr>
        <w:spacing w:line="360" w:lineRule="auto"/>
        <w:rPr>
          <w:sz w:val="24"/>
          <w:highlight w:val="none"/>
        </w:rPr>
      </w:pPr>
      <w:r>
        <w:rPr>
          <w:rFonts w:hint="eastAsia" w:ascii="黑体" w:hAnsi="黑体" w:eastAsia="黑体" w:cs="黑体"/>
          <w:b/>
          <w:sz w:val="24"/>
          <w:szCs w:val="24"/>
          <w:highlight w:val="none"/>
        </w:rPr>
        <w:t>（一）数据安全</w:t>
      </w:r>
    </w:p>
    <w:p w14:paraId="352C1DE4">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30.平台资质与数据安全：平台应依法完成ICP备案；涉及经营性互联网信息服务、在线数据处理与交易处理等依法须经许可的业务，应取得相应有效许可或资质。平台应按照不低于网络安全等级保护第三级的要求开展安全防护，并提供与平台服务相关且在有效期内的信息安全证明材料，包括信息安全管理体系认证、网络安全等级保护备案或测评材料等。</w:t>
      </w:r>
    </w:p>
    <w:p w14:paraId="34060022">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31</w:t>
      </w:r>
      <w:r>
        <w:rPr>
          <w:rFonts w:ascii="Times New Roman" w:hAnsi="Times New Roman" w:cs="Times New Roman"/>
          <w:sz w:val="24"/>
          <w:highlight w:val="none"/>
        </w:rPr>
        <w:t>.</w:t>
      </w:r>
      <w:r>
        <w:rPr>
          <w:rFonts w:ascii="Times New Roman" w:hAnsi="Times New Roman" w:cs="Times New Roman"/>
          <w:sz w:val="24"/>
          <w:szCs w:val="24"/>
          <w:highlight w:val="none"/>
        </w:rPr>
        <w:t>数据保密：</w:t>
      </w:r>
      <w:r>
        <w:rPr>
          <w:rFonts w:hint="eastAsia" w:ascii="Times New Roman" w:hAnsi="Times New Roman" w:cs="Times New Roman"/>
          <w:sz w:val="24"/>
          <w:szCs w:val="24"/>
          <w:highlight w:val="none"/>
        </w:rPr>
        <w:t>平台应建立严格的数据访问控制机制，</w:t>
      </w:r>
      <w:r>
        <w:rPr>
          <w:rFonts w:ascii="Times New Roman" w:hAnsi="Times New Roman" w:cs="Times New Roman"/>
          <w:sz w:val="24"/>
          <w:szCs w:val="24"/>
          <w:highlight w:val="none"/>
        </w:rPr>
        <w:t>未经采购方授权，</w:t>
      </w:r>
      <w:r>
        <w:rPr>
          <w:rFonts w:hint="eastAsia" w:ascii="Times New Roman" w:hAnsi="Times New Roman" w:cs="Times New Roman"/>
          <w:sz w:val="24"/>
          <w:szCs w:val="24"/>
          <w:highlight w:val="none"/>
        </w:rPr>
        <w:t>严禁</w:t>
      </w:r>
      <w:r>
        <w:rPr>
          <w:rFonts w:ascii="Times New Roman" w:hAnsi="Times New Roman" w:cs="Times New Roman"/>
          <w:sz w:val="24"/>
          <w:szCs w:val="24"/>
          <w:highlight w:val="none"/>
        </w:rPr>
        <w:t>向第三方披露采购数据。在数据使用和传输过程中，应采取严格的保密措施，确保数据的保密性。</w:t>
      </w:r>
    </w:p>
    <w:p w14:paraId="2DDD3186">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32</w:t>
      </w:r>
      <w:r>
        <w:rPr>
          <w:rFonts w:ascii="Times New Roman" w:hAnsi="Times New Roman" w:cs="Times New Roman"/>
          <w:sz w:val="24"/>
          <w:highlight w:val="none"/>
        </w:rPr>
        <w:t>.</w:t>
      </w:r>
      <w:r>
        <w:rPr>
          <w:rFonts w:ascii="Times New Roman" w:hAnsi="Times New Roman" w:cs="Times New Roman"/>
          <w:sz w:val="24"/>
          <w:szCs w:val="24"/>
          <w:highlight w:val="none"/>
        </w:rPr>
        <w:t>数据备份与追溯：定期（如每日、每周）对采购数据进行备份，备份数据应存储在异地，防止因本地灾难导致数据丢失。同时，建立完善的日志追溯系统，记录所有操作记录、采购流程、审批记录等信息，便于在出现问题时进行追溯和审计。</w:t>
      </w:r>
    </w:p>
    <w:p w14:paraId="166A4C52">
      <w:pPr>
        <w:spacing w:line="360" w:lineRule="auto"/>
        <w:ind w:firstLine="482" w:firstLineChars="200"/>
        <w:rPr>
          <w:rFonts w:hint="default" w:ascii="Segoe UI" w:hAnsi="Segoe UI" w:eastAsia="Segoe UI" w:cs="Segoe UI"/>
          <w:i w:val="0"/>
          <w:iCs w:val="0"/>
          <w:caps w:val="0"/>
          <w:color w:val="0F1115"/>
          <w:spacing w:val="0"/>
          <w:sz w:val="24"/>
          <w:szCs w:val="24"/>
          <w:highlight w:val="none"/>
          <w:shd w:val="clear" w:fill="FFFFFF"/>
        </w:rPr>
      </w:pPr>
      <w:r>
        <w:rPr>
          <w:rFonts w:hint="eastAsia" w:ascii="Segoe UI" w:hAnsi="Segoe UI" w:eastAsia="宋体" w:cs="Segoe UI"/>
          <w:b/>
          <w:bCs/>
          <w:i w:val="0"/>
          <w:iCs w:val="0"/>
          <w:caps w:val="0"/>
          <w:color w:val="0F1115"/>
          <w:spacing w:val="0"/>
          <w:sz w:val="24"/>
          <w:szCs w:val="24"/>
          <w:highlight w:val="none"/>
          <w:shd w:val="clear" w:fill="FFFFFF"/>
          <w:lang w:val="en-US" w:eastAsia="zh-CN"/>
        </w:rPr>
        <w:t>33.</w:t>
      </w:r>
      <w:r>
        <w:rPr>
          <w:rFonts w:ascii="Segoe UI" w:hAnsi="Segoe UI" w:eastAsia="Segoe UI" w:cs="Segoe UI"/>
          <w:b/>
          <w:bCs/>
          <w:i w:val="0"/>
          <w:iCs w:val="0"/>
          <w:caps w:val="0"/>
          <w:color w:val="0F1115"/>
          <w:spacing w:val="0"/>
          <w:sz w:val="24"/>
          <w:szCs w:val="24"/>
          <w:highlight w:val="none"/>
          <w:shd w:val="clear" w:fill="FFFFFF"/>
        </w:rPr>
        <w:t>★采购业务数据同步留存要求</w:t>
      </w:r>
      <w:r>
        <w:rPr>
          <w:rFonts w:hint="default" w:ascii="Segoe UI" w:hAnsi="Segoe UI" w:eastAsia="Segoe UI" w:cs="Segoe UI"/>
          <w:i w:val="0"/>
          <w:iCs w:val="0"/>
          <w:caps w:val="0"/>
          <w:color w:val="0F1115"/>
          <w:spacing w:val="0"/>
          <w:sz w:val="24"/>
          <w:szCs w:val="24"/>
          <w:highlight w:val="none"/>
          <w:shd w:val="clear" w:fill="FFFFFF"/>
        </w:rPr>
        <w:t>：服务商可在服务端正常存储、管理平台侧业务数据，本要求不限制服务商对平台侧自有业务数据的合法使用权。但服务商须采用合理技术手段（包括但不限于API接口、数据库日志同步、数据库镜像、结构化文件传输等），将与本院相关的全部采购业务数据（用户账号、课题信息、采购订单、审批流转、验收退换、发票、库存台账、风险预警等）准实时（延迟≤5分钟）同步完整副本至采购人指定本地数据库；同步所涉开发、配置、调试及维护均由服务商负责，采购人信息化部门仅配合提供必要网络与服务器环境。</w:t>
      </w:r>
    </w:p>
    <w:p w14:paraId="71AA1557">
      <w:pPr>
        <w:spacing w:line="360" w:lineRule="auto"/>
        <w:ind w:firstLine="480" w:firstLineChars="200"/>
        <w:rPr>
          <w:rFonts w:ascii="Times New Roman" w:hAnsi="Times New Roman" w:cs="Times New Roman"/>
          <w:sz w:val="24"/>
          <w:szCs w:val="24"/>
          <w:highlight w:val="none"/>
        </w:rPr>
      </w:pPr>
      <w:r>
        <w:rPr>
          <w:rFonts w:hint="default" w:ascii="Segoe UI" w:hAnsi="Segoe UI" w:eastAsia="Segoe UI" w:cs="Segoe UI"/>
          <w:i w:val="0"/>
          <w:iCs w:val="0"/>
          <w:caps w:val="0"/>
          <w:color w:val="0F1115"/>
          <w:spacing w:val="0"/>
          <w:sz w:val="24"/>
          <w:szCs w:val="24"/>
          <w:highlight w:val="none"/>
          <w:shd w:val="clear" w:fill="FFFFFF"/>
        </w:rPr>
        <w:t>采购人对本地数据副本享有完整的占有、使用及处分权，服务商不得以任何技术手段对本地副本进行删除、篡改、覆盖或锁定。平台端记录变更时，本地副本须按时序追加更新，确保完整历史回溯能力。旨在保障采购人独立开展财务核查、内部审计、纪检监督、项目溯源及跨年度数据分析等工作，服务商不得以数据安全、商业秘密或技术限制为由拒绝或限制采购人访问使用本地数据。服务商须提供详细技术方案（含同步方式、数据字典、字段映射、频率延迟保障、异常恢复等）并出具加盖公章承诺函；数据同步失败、缺失、延迟超标或被远程篡改清除的，视为根本性违约。</w:t>
      </w:r>
    </w:p>
    <w:p w14:paraId="139AE530">
      <w:pPr>
        <w:spacing w:line="360" w:lineRule="auto"/>
        <w:rPr>
          <w:sz w:val="24"/>
          <w:highlight w:val="none"/>
        </w:rPr>
      </w:pPr>
      <w:r>
        <w:rPr>
          <w:rFonts w:hint="eastAsia" w:ascii="黑体" w:hAnsi="黑体" w:eastAsia="黑体" w:cs="黑体"/>
          <w:b/>
          <w:sz w:val="24"/>
          <w:szCs w:val="24"/>
          <w:highlight w:val="none"/>
        </w:rPr>
        <w:t>（二）★运维要求</w:t>
      </w:r>
    </w:p>
    <w:p w14:paraId="5DCA1158">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3</w:t>
      </w:r>
      <w:r>
        <w:rPr>
          <w:rFonts w:hint="eastAsia" w:ascii="Times New Roman" w:hAnsi="Times New Roman" w:cs="Times New Roman"/>
          <w:sz w:val="24"/>
          <w:highlight w:val="none"/>
          <w:lang w:val="en-US" w:eastAsia="zh-CN"/>
        </w:rPr>
        <w:t>4</w:t>
      </w:r>
      <w:r>
        <w:rPr>
          <w:rFonts w:ascii="Times New Roman" w:hAnsi="Times New Roman" w:cs="Times New Roman"/>
          <w:sz w:val="24"/>
          <w:highlight w:val="none"/>
        </w:rPr>
        <w:t>.</w:t>
      </w:r>
      <w:r>
        <w:rPr>
          <w:rFonts w:ascii="Times New Roman" w:hAnsi="Times New Roman" w:cs="Times New Roman"/>
          <w:sz w:val="24"/>
          <w:szCs w:val="24"/>
          <w:highlight w:val="none"/>
        </w:rPr>
        <w:t>系统稳定性：系统必须具备完善的日志监控、错误报告和故障处理机制，确保故障发生时系统能够快速恢复，保证故障停机时间最短。系统应具备一定的故障检测能力，能够实时监测系统运行状态，并在问题发生前发出预警。</w:t>
      </w:r>
    </w:p>
    <w:p w14:paraId="7A80AE45">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3</w:t>
      </w:r>
      <w:r>
        <w:rPr>
          <w:rFonts w:hint="eastAsia" w:ascii="Times New Roman" w:hAnsi="Times New Roman" w:cs="Times New Roman"/>
          <w:sz w:val="24"/>
          <w:highlight w:val="none"/>
          <w:lang w:val="en-US" w:eastAsia="zh-CN"/>
        </w:rPr>
        <w:t>5</w:t>
      </w:r>
      <w:r>
        <w:rPr>
          <w:rFonts w:hint="eastAsia" w:ascii="Times New Roman" w:hAnsi="Times New Roman" w:cs="Times New Roman"/>
          <w:sz w:val="24"/>
          <w:highlight w:val="none"/>
        </w:rPr>
        <w:t>.客服响应：提供7×24小时在线客服和服务专线，并在服务期内提供长期、免费的技术支持。</w:t>
      </w:r>
      <w:r>
        <w:rPr>
          <w:rFonts w:ascii="Times New Roman" w:hAnsi="Times New Roman" w:cs="Times New Roman"/>
          <w:sz w:val="24"/>
          <w:szCs w:val="24"/>
          <w:highlight w:val="none"/>
        </w:rPr>
        <w:t>用户在使用平台过程中遇到问题，可随时联系客服人员，客服人员应在接到咨询后的10分钟内做出初步响应，及时解答用户疑问或记录问题并转交给相关技术人员处理。</w:t>
      </w:r>
    </w:p>
    <w:p w14:paraId="349545F5">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3</w:t>
      </w:r>
      <w:r>
        <w:rPr>
          <w:rFonts w:hint="eastAsia" w:ascii="Times New Roman" w:hAnsi="Times New Roman" w:cs="Times New Roman"/>
          <w:sz w:val="24"/>
          <w:highlight w:val="none"/>
          <w:lang w:val="en-US" w:eastAsia="zh-CN"/>
        </w:rPr>
        <w:t>6</w:t>
      </w:r>
      <w:r>
        <w:rPr>
          <w:rFonts w:ascii="Times New Roman" w:hAnsi="Times New Roman" w:cs="Times New Roman"/>
          <w:sz w:val="24"/>
          <w:highlight w:val="none"/>
        </w:rPr>
        <w:t>.</w:t>
      </w:r>
      <w:r>
        <w:rPr>
          <w:rFonts w:ascii="Times New Roman" w:hAnsi="Times New Roman" w:cs="Times New Roman"/>
          <w:sz w:val="24"/>
          <w:szCs w:val="24"/>
          <w:highlight w:val="none"/>
        </w:rPr>
        <w:t>故障处理：对于平台出现的故障，</w:t>
      </w:r>
      <w:r>
        <w:rPr>
          <w:rFonts w:hint="eastAsia" w:ascii="Times New Roman" w:hAnsi="Times New Roman" w:cs="Times New Roman"/>
          <w:sz w:val="24"/>
          <w:szCs w:val="24"/>
          <w:highlight w:val="none"/>
        </w:rPr>
        <w:t>平台</w:t>
      </w:r>
      <w:r>
        <w:rPr>
          <w:rFonts w:ascii="Times New Roman" w:hAnsi="Times New Roman" w:cs="Times New Roman"/>
          <w:sz w:val="24"/>
          <w:szCs w:val="24"/>
          <w:highlight w:val="none"/>
        </w:rPr>
        <w:t>应在2小时内响应，并在24小时内解决。故障处理过程中，应及时向采购方通报故障原因、处理进度和预计恢复时间。对于重大故障，应启动应急预案，确保平台尽快恢复正常运行，减少对采购工作的影响。</w:t>
      </w:r>
    </w:p>
    <w:p w14:paraId="6312BCC1">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3</w:t>
      </w:r>
      <w:r>
        <w:rPr>
          <w:rFonts w:hint="eastAsia" w:ascii="Times New Roman" w:hAnsi="Times New Roman" w:cs="Times New Roman"/>
          <w:sz w:val="24"/>
          <w:highlight w:val="none"/>
          <w:lang w:val="en-US" w:eastAsia="zh-CN"/>
        </w:rPr>
        <w:t>7</w:t>
      </w:r>
      <w:r>
        <w:rPr>
          <w:rFonts w:ascii="Times New Roman" w:hAnsi="Times New Roman" w:cs="Times New Roman"/>
          <w:sz w:val="24"/>
          <w:highlight w:val="none"/>
        </w:rPr>
        <w:t>.上门维护：每月进行1次上门维护服务，维护内容包括数据备份、系统检测、性能优化等；出现确需现场处理的问题时，维护人员应在接到通知后24小时内到达现场。维护人员应具备相应技术能力，及时发现并解决平台运行中存在的问题，确保平台稳定运行。</w:t>
      </w:r>
    </w:p>
    <w:p w14:paraId="3744C65D">
      <w:pPr>
        <w:spacing w:line="360" w:lineRule="auto"/>
        <w:rPr>
          <w:sz w:val="24"/>
          <w:highlight w:val="none"/>
        </w:rPr>
      </w:pPr>
      <w:r>
        <w:rPr>
          <w:rFonts w:hint="eastAsia" w:ascii="黑体" w:hAnsi="黑体" w:eastAsia="黑体" w:cs="黑体"/>
          <w:b/>
          <w:sz w:val="24"/>
          <w:szCs w:val="24"/>
          <w:highlight w:val="none"/>
        </w:rPr>
        <w:t>（三）扩展要求</w:t>
      </w:r>
    </w:p>
    <w:p w14:paraId="01B33FC2">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▲3</w:t>
      </w:r>
      <w:r>
        <w:rPr>
          <w:rFonts w:hint="eastAsia" w:ascii="Times New Roman" w:hAnsi="Times New Roman" w:cs="Times New Roman"/>
          <w:sz w:val="24"/>
          <w:highlight w:val="none"/>
          <w:lang w:val="en-US" w:eastAsia="zh-CN"/>
        </w:rPr>
        <w:t>8</w:t>
      </w:r>
      <w:r>
        <w:rPr>
          <w:rFonts w:ascii="Times New Roman" w:hAnsi="Times New Roman" w:cs="Times New Roman"/>
          <w:sz w:val="24"/>
          <w:highlight w:val="none"/>
        </w:rPr>
        <w:t>.</w:t>
      </w:r>
      <w:r>
        <w:rPr>
          <w:rFonts w:ascii="Times New Roman" w:hAnsi="Times New Roman" w:cs="Times New Roman"/>
          <w:sz w:val="24"/>
          <w:szCs w:val="24"/>
          <w:highlight w:val="none"/>
        </w:rPr>
        <w:t>平台系统具备二次开发能力，具有较强的应用集成能力和扩展能力，采用开放式标准接口。可以实现财务结算信息化，实现科研人员无纸化结账，且技术成熟，具有成功业绩案例，需在投标文件中提供合同和成功案例方案复印件并加盖公章。</w:t>
      </w:r>
    </w:p>
    <w:p w14:paraId="7D6FE205">
      <w:pPr>
        <w:pStyle w:val="3"/>
        <w:widowControl/>
        <w:shd w:val="clear" w:color="auto" w:fill="FFFFFF"/>
        <w:spacing w:after="60" w:afterAutospacing="0" w:line="360" w:lineRule="auto"/>
        <w:rPr>
          <w:rFonts w:ascii="黑体" w:hAnsi="黑体" w:eastAsia="黑体" w:cs="黑体"/>
          <w:b/>
          <w:bCs/>
          <w:color w:val="auto"/>
          <w:sz w:val="24"/>
          <w:szCs w:val="24"/>
          <w:highlight w:val="none"/>
        </w:rPr>
      </w:pPr>
      <w:r>
        <w:rPr>
          <w:rFonts w:ascii="黑体" w:hAnsi="黑体" w:eastAsia="黑体" w:cs="黑体"/>
          <w:b/>
          <w:bCs/>
          <w:color w:val="auto"/>
          <w:sz w:val="24"/>
          <w:szCs w:val="24"/>
          <w:highlight w:val="none"/>
          <w:shd w:val="clear" w:color="auto" w:fill="FFFFFF"/>
        </w:rPr>
        <w:t>四、</w:t>
      </w:r>
      <w:r>
        <w:rPr>
          <w:rFonts w:ascii="仿宋" w:hAnsi="仿宋" w:eastAsia="仿宋" w:cs="仿宋"/>
          <w:b/>
          <w:bCs/>
          <w:color w:val="auto"/>
          <w:sz w:val="24"/>
          <w:szCs w:val="24"/>
          <w:highlight w:val="none"/>
        </w:rPr>
        <w:t>★</w:t>
      </w:r>
      <w:r>
        <w:rPr>
          <w:rFonts w:ascii="黑体" w:hAnsi="黑体" w:eastAsia="黑体" w:cs="黑体"/>
          <w:b/>
          <w:bCs/>
          <w:color w:val="auto"/>
          <w:sz w:val="24"/>
          <w:szCs w:val="24"/>
          <w:highlight w:val="none"/>
          <w:shd w:val="clear" w:color="auto" w:fill="FFFFFF"/>
        </w:rPr>
        <w:t>商务要求</w:t>
      </w:r>
    </w:p>
    <w:p w14:paraId="256BC856">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（一）服务期限</w:t>
      </w:r>
    </w:p>
    <w:p w14:paraId="149B363A">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本项目服务周期原则上为3年，合同实行“一年一签”。首年度合同自合同签订并平台正式上线运营之日起计算；每一年度合同期满前，由科技教育部组织开展年度履约评价。评价通过且完成内部续签程序后，方可续签下一年度合同；评价不通过或未完成续签程序的，合同期满自然终止，连续服务期限最长不超过3年。服务期内，供应商须持续提供稳定、高效的平台服务及免费技术支持，保障平台正常运行和功能持续优化。</w:t>
      </w:r>
    </w:p>
    <w:p w14:paraId="63D6FDC1">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（二）交付及验收</w:t>
      </w:r>
    </w:p>
    <w:p w14:paraId="7AD10A25">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合同签订后的30日内，供应商需完成平台的部署、调试及上线工作。系统在试运行正常</w:t>
      </w:r>
      <w:r>
        <w:rPr>
          <w:rFonts w:hint="eastAsia" w:ascii="Times New Roman" w:hAnsi="Times New Roman" w:cs="Times New Roman"/>
          <w:sz w:val="24"/>
          <w:szCs w:val="24"/>
          <w:highlight w:val="none"/>
        </w:rPr>
        <w:t>30</w:t>
      </w:r>
      <w:r>
        <w:rPr>
          <w:rFonts w:ascii="Times New Roman" w:hAnsi="Times New Roman" w:cs="Times New Roman"/>
          <w:sz w:val="24"/>
          <w:szCs w:val="24"/>
          <w:highlight w:val="none"/>
        </w:rPr>
        <w:t>日后，由</w:t>
      </w:r>
      <w:r>
        <w:rPr>
          <w:rFonts w:hint="eastAsia" w:ascii="Times New Roman" w:hAnsi="Times New Roman" w:cs="Times New Roman"/>
          <w:sz w:val="24"/>
          <w:szCs w:val="24"/>
          <w:highlight w:val="none"/>
        </w:rPr>
        <w:t>供应商</w:t>
      </w:r>
      <w:r>
        <w:rPr>
          <w:rFonts w:ascii="Times New Roman" w:hAnsi="Times New Roman" w:cs="Times New Roman"/>
          <w:sz w:val="24"/>
          <w:szCs w:val="24"/>
          <w:highlight w:val="none"/>
        </w:rPr>
        <w:t>提出验收申请，由采购人负责部门对系统组织验收。验收时供应商必须提供系统需求说明书、系统使用说明书、操作手册等有关技术文档。</w:t>
      </w:r>
    </w:p>
    <w:p w14:paraId="73F3D715">
      <w:pPr>
        <w:widowControl/>
        <w:spacing w:line="360" w:lineRule="auto"/>
        <w:jc w:val="left"/>
        <w:rPr>
          <w:rFonts w:hint="eastAsia" w:ascii="黑体" w:hAnsi="黑体" w:eastAsia="黑体" w:cs="黑体"/>
          <w:b/>
          <w:sz w:val="24"/>
          <w:szCs w:val="24"/>
          <w:highlight w:val="none"/>
        </w:rPr>
      </w:pPr>
      <w:r>
        <w:rPr>
          <w:rFonts w:hint="eastAsia" w:ascii="黑体" w:hAnsi="黑体" w:eastAsia="黑体" w:cs="黑体"/>
          <w:b/>
          <w:sz w:val="24"/>
          <w:szCs w:val="24"/>
          <w:highlight w:val="none"/>
        </w:rPr>
        <w:t>（三）培训要求：</w:t>
      </w:r>
    </w:p>
    <w:p w14:paraId="182B14D9">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对系统平台使用进行全面培训，提供针对本系统的管理人员和使用人员的培训方案。每年培训，培训方式包含但不限于</w:t>
      </w:r>
      <w:r>
        <w:rPr>
          <w:rFonts w:hint="eastAsia" w:ascii="Times New Roman" w:hAnsi="Times New Roman" w:cs="Times New Roman"/>
          <w:sz w:val="24"/>
          <w:szCs w:val="24"/>
          <w:highlight w:val="none"/>
        </w:rPr>
        <w:t>现场讲课培训、</w:t>
      </w:r>
      <w:r>
        <w:rPr>
          <w:rFonts w:ascii="Times New Roman" w:hAnsi="Times New Roman" w:cs="Times New Roman"/>
          <w:sz w:val="24"/>
          <w:szCs w:val="24"/>
          <w:highlight w:val="none"/>
        </w:rPr>
        <w:t>录制系统操作视频、制定简易的图文版说明书等。</w:t>
      </w:r>
    </w:p>
    <w:p w14:paraId="415CB174">
      <w:pPr>
        <w:numPr>
          <w:ilvl w:val="0"/>
          <w:numId w:val="2"/>
        </w:num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服务要求：</w:t>
      </w:r>
    </w:p>
    <w:p w14:paraId="0E40F336">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平台上线实施时，必须有专业</w:t>
      </w:r>
      <w:r>
        <w:rPr>
          <w:rFonts w:hint="eastAsia" w:ascii="Times New Roman" w:hAnsi="Times New Roman" w:cs="Times New Roman"/>
          <w:sz w:val="24"/>
          <w:szCs w:val="24"/>
          <w:highlight w:val="none"/>
        </w:rPr>
        <w:t>服务团队</w:t>
      </w:r>
      <w:r>
        <w:rPr>
          <w:rFonts w:ascii="Times New Roman" w:hAnsi="Times New Roman" w:cs="Times New Roman"/>
          <w:sz w:val="24"/>
          <w:szCs w:val="24"/>
          <w:highlight w:val="none"/>
        </w:rPr>
        <w:t>，确定</w:t>
      </w:r>
      <w:r>
        <w:rPr>
          <w:rFonts w:hint="eastAsia" w:ascii="Times New Roman" w:hAnsi="Times New Roman" w:cs="Times New Roman"/>
          <w:sz w:val="24"/>
          <w:szCs w:val="24"/>
          <w:highlight w:val="none"/>
        </w:rPr>
        <w:t>1</w:t>
      </w:r>
      <w:r>
        <w:rPr>
          <w:rFonts w:ascii="Times New Roman" w:hAnsi="Times New Roman" w:cs="Times New Roman"/>
          <w:sz w:val="24"/>
          <w:szCs w:val="24"/>
          <w:highlight w:val="none"/>
        </w:rPr>
        <w:t>名项目负责人，制定详细的实施计划。服务团队负责平台的开发、维护、升级等工作，确保平台的技术先进性和稳定性，能够及时响应采购方的技术需求和问题。</w:t>
      </w:r>
    </w:p>
    <w:p w14:paraId="565539BA">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（五）</w:t>
      </w:r>
      <w:r>
        <w:rPr>
          <w:rFonts w:ascii="黑体" w:hAnsi="黑体" w:eastAsia="黑体" w:cs="黑体"/>
          <w:b/>
          <w:sz w:val="24"/>
          <w:szCs w:val="24"/>
          <w:highlight w:val="none"/>
        </w:rPr>
        <w:t>交付地点</w:t>
      </w:r>
      <w:r>
        <w:rPr>
          <w:rFonts w:hint="eastAsia" w:ascii="黑体" w:hAnsi="黑体" w:eastAsia="黑体" w:cs="黑体"/>
          <w:b/>
          <w:sz w:val="24"/>
          <w:szCs w:val="24"/>
          <w:highlight w:val="none"/>
        </w:rPr>
        <w:t>：</w:t>
      </w:r>
    </w:p>
    <w:p w14:paraId="6D278D7C">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采购人指定地点（四川省妇幼保健院）。</w:t>
      </w:r>
    </w:p>
    <w:p w14:paraId="6DB6A0B3">
      <w:pPr>
        <w:widowControl/>
        <w:spacing w:line="360" w:lineRule="auto"/>
        <w:rPr>
          <w:rFonts w:hint="eastAsia" w:ascii="黑体" w:hAnsi="黑体" w:eastAsia="黑体" w:cs="黑体"/>
          <w:sz w:val="24"/>
          <w:szCs w:val="24"/>
          <w:highlight w:val="none"/>
        </w:rPr>
      </w:pPr>
      <w:r>
        <w:rPr>
          <w:rFonts w:hint="eastAsia" w:ascii="黑体" w:hAnsi="黑体" w:eastAsia="黑体" w:cs="黑体"/>
          <w:b/>
          <w:sz w:val="24"/>
          <w:szCs w:val="24"/>
          <w:highlight w:val="none"/>
        </w:rPr>
        <w:t>（六）质保（免费维保）期：与每年度合同期限一致；连续续签期间应无缝衔接，不得因年度合同转换影响平台正常使用。</w:t>
      </w:r>
    </w:p>
    <w:p w14:paraId="6AFE05CD">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★五、平台服务承诺（提供承诺函并加盖公章）</w:t>
      </w:r>
    </w:p>
    <w:p w14:paraId="15B378A6">
      <w:pPr>
        <w:spacing w:line="360" w:lineRule="auto"/>
        <w:rPr>
          <w:sz w:val="24"/>
          <w:highlight w:val="none"/>
        </w:rPr>
      </w:pPr>
      <w:r>
        <w:rPr>
          <w:rFonts w:hint="eastAsia" w:ascii="黑体" w:hAnsi="黑体" w:eastAsia="黑体" w:cs="黑体"/>
          <w:b/>
          <w:sz w:val="24"/>
          <w:szCs w:val="24"/>
          <w:highlight w:val="none"/>
        </w:rPr>
        <w:t>（一）价格保障</w:t>
      </w:r>
    </w:p>
    <w:p w14:paraId="4E54D781">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盈利及收费模式：平台承诺不向采购人收取平台使用费、系统建设费、入驻费、交易佣金、运维费等费用，也不通过赚取商品差价获取利润；如向入驻供应商收取交易服务费，应执行投标承诺费率并做到公开透明，避免因利益驱动导致商品价格虚高，保障采购方经济利益。</w:t>
      </w:r>
    </w:p>
    <w:p w14:paraId="0202263E">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优惠政策：为采购方提供大客户协议价，对于采购量大的客户给予一定的价格优惠。同时，定期开展优惠活动，如团购、限时折扣等，进一步降低采购成本，提高采购方的采购效益。</w:t>
      </w:r>
    </w:p>
    <w:p w14:paraId="2FCC8CE6">
      <w:pPr>
        <w:spacing w:line="360" w:lineRule="auto"/>
        <w:rPr>
          <w:sz w:val="24"/>
          <w:highlight w:val="none"/>
        </w:rPr>
      </w:pPr>
      <w:r>
        <w:rPr>
          <w:rFonts w:hint="eastAsia" w:ascii="黑体" w:hAnsi="黑体" w:eastAsia="黑体" w:cs="黑体"/>
          <w:b/>
          <w:sz w:val="24"/>
          <w:szCs w:val="24"/>
          <w:highlight w:val="none"/>
        </w:rPr>
        <w:t>（二）售后服务</w:t>
      </w:r>
    </w:p>
    <w:p w14:paraId="768DEAF4">
      <w:pPr>
        <w:spacing w:line="360" w:lineRule="auto"/>
        <w:ind w:firstLine="480" w:firstLineChars="200"/>
        <w:rPr>
          <w:rFonts w:hint="eastAsia" w:ascii="Times New Roman" w:hAnsi="Times New Roman" w:eastAsia="宋体" w:cs="Times New Roman"/>
          <w:sz w:val="24"/>
          <w:szCs w:val="24"/>
          <w:highlight w:val="none"/>
          <w:lang w:eastAsia="zh-CN"/>
        </w:rPr>
      </w:pPr>
      <w:r>
        <w:rPr>
          <w:rFonts w:ascii="Times New Roman" w:hAnsi="Times New Roman" w:cs="Times New Roman"/>
          <w:sz w:val="24"/>
          <w:szCs w:val="24"/>
          <w:highlight w:val="none"/>
        </w:rPr>
        <w:t>免费技术支持与维保：每年度合同履行期间，平台服务方须持续提供免费的技术支持、维护和系统升级服务；连续续签期间服务不得中断，确保系统稳定运行。</w:t>
      </w:r>
      <w:r>
        <w:rPr>
          <w:rFonts w:hint="eastAsia" w:ascii="Segoe UI" w:hAnsi="Segoe UI" w:eastAsia="宋体" w:cs="Segoe UI"/>
          <w:i w:val="0"/>
          <w:iCs w:val="0"/>
          <w:caps w:val="0"/>
          <w:color w:val="0F1115"/>
          <w:spacing w:val="0"/>
          <w:sz w:val="24"/>
          <w:szCs w:val="24"/>
          <w:highlight w:val="none"/>
          <w:shd w:val="clear" w:fill="FFFFFF"/>
          <w:lang w:val="en-US" w:eastAsia="zh-CN"/>
        </w:rPr>
        <w:t>平台须</w:t>
      </w:r>
      <w:r>
        <w:rPr>
          <w:rFonts w:ascii="Segoe UI" w:hAnsi="Segoe UI" w:eastAsia="Segoe UI" w:cs="Segoe UI"/>
          <w:i w:val="0"/>
          <w:iCs w:val="0"/>
          <w:caps w:val="0"/>
          <w:color w:val="0F1115"/>
          <w:spacing w:val="0"/>
          <w:sz w:val="24"/>
          <w:szCs w:val="24"/>
          <w:highlight w:val="none"/>
          <w:shd w:val="clear" w:fill="FFFFFF"/>
        </w:rPr>
        <w:t>出具包含数据同步留存承诺的承诺函，并加盖公章。不提供或承诺不完整的，直接判定为无效投标</w:t>
      </w:r>
      <w:r>
        <w:rPr>
          <w:rFonts w:hint="eastAsia" w:ascii="Segoe UI" w:hAnsi="Segoe UI" w:eastAsia="宋体" w:cs="Segoe UI"/>
          <w:i w:val="0"/>
          <w:iCs w:val="0"/>
          <w:caps w:val="0"/>
          <w:color w:val="0F1115"/>
          <w:spacing w:val="0"/>
          <w:sz w:val="24"/>
          <w:szCs w:val="24"/>
          <w:highlight w:val="none"/>
          <w:shd w:val="clear" w:fill="FFFFFF"/>
          <w:lang w:eastAsia="zh-CN"/>
        </w:rPr>
        <w:t>。</w:t>
      </w:r>
    </w:p>
    <w:p w14:paraId="32643BA0">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培训服务：提供免费的培训服务，包括操作手册编写、视频教程制作以及现场培训等多种方式。操作手册应详细介绍平台的功能和使用方法，视频教程应直观展示操作流程，方便用户学习。对于采购方人员变动，供应商应根据需求提供重复培训服务，确保新入职人员能够快速熟悉平台操作。</w:t>
      </w:r>
    </w:p>
    <w:p w14:paraId="32BCBB5F">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系统升级：</w:t>
      </w:r>
      <w:r>
        <w:rPr>
          <w:rFonts w:hint="eastAsia" w:ascii="Times New Roman" w:hAnsi="Times New Roman" w:cs="Times New Roman"/>
          <w:sz w:val="24"/>
          <w:szCs w:val="24"/>
          <w:highlight w:val="none"/>
        </w:rPr>
        <w:t>因采购方制度变化导致采购流程发生变化的，平台免费对系统进行相应的调整、对接、升级改造等工作</w:t>
      </w:r>
      <w:r>
        <w:rPr>
          <w:rFonts w:ascii="Times New Roman" w:hAnsi="Times New Roman" w:cs="Times New Roman"/>
          <w:sz w:val="24"/>
          <w:szCs w:val="24"/>
          <w:highlight w:val="none"/>
        </w:rPr>
        <w:t>。</w:t>
      </w:r>
    </w:p>
    <w:p w14:paraId="1308E1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highlight w:val="none"/>
          <w:lang w:eastAsia="zh-CN"/>
        </w:rPr>
        <w:br w:type="page"/>
      </w:r>
    </w:p>
    <w:p w14:paraId="59918416">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附件2：评分实施细则</w:t>
      </w:r>
    </w:p>
    <w:tbl>
      <w:tblPr>
        <w:tblStyle w:val="1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746"/>
        <w:gridCol w:w="518"/>
        <w:gridCol w:w="5773"/>
      </w:tblGrid>
      <w:tr w14:paraId="32C6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4F61F7E0">
            <w:pPr>
              <w:spacing w:line="360" w:lineRule="auto"/>
              <w:jc w:val="center"/>
              <w:rPr>
                <w:rFonts w:cs="宋体"/>
                <w:b/>
                <w:bCs/>
                <w:color w:val="000000"/>
                <w:sz w:val="24"/>
                <w:highlight w:val="none"/>
              </w:rPr>
            </w:pPr>
            <w:r>
              <w:rPr>
                <w:rFonts w:hint="eastAsia" w:cs="宋体"/>
                <w:b/>
                <w:bCs/>
                <w:color w:val="000000"/>
                <w:sz w:val="24"/>
                <w:highlight w:val="none"/>
              </w:rPr>
              <w:t>序号</w:t>
            </w:r>
          </w:p>
        </w:tc>
        <w:tc>
          <w:tcPr>
            <w:tcW w:w="746" w:type="dxa"/>
          </w:tcPr>
          <w:p w14:paraId="60080084">
            <w:pPr>
              <w:spacing w:line="360" w:lineRule="auto"/>
              <w:jc w:val="center"/>
              <w:rPr>
                <w:rFonts w:cs="宋体"/>
                <w:b/>
                <w:bCs/>
                <w:color w:val="000000"/>
                <w:sz w:val="24"/>
                <w:highlight w:val="none"/>
              </w:rPr>
            </w:pPr>
            <w:r>
              <w:rPr>
                <w:rFonts w:hint="eastAsia" w:cs="宋体"/>
                <w:b/>
                <w:bCs/>
                <w:color w:val="000000"/>
                <w:sz w:val="24"/>
                <w:highlight w:val="none"/>
              </w:rPr>
              <w:t>评审因素</w:t>
            </w:r>
          </w:p>
        </w:tc>
        <w:tc>
          <w:tcPr>
            <w:tcW w:w="518" w:type="dxa"/>
          </w:tcPr>
          <w:p w14:paraId="21213B4E">
            <w:pPr>
              <w:spacing w:line="360" w:lineRule="auto"/>
              <w:jc w:val="center"/>
              <w:rPr>
                <w:rFonts w:cs="宋体"/>
                <w:b/>
                <w:bCs/>
                <w:color w:val="000000"/>
                <w:sz w:val="24"/>
                <w:highlight w:val="none"/>
              </w:rPr>
            </w:pPr>
            <w:r>
              <w:rPr>
                <w:rFonts w:hint="eastAsia" w:cs="宋体"/>
                <w:b/>
                <w:bCs/>
                <w:color w:val="000000"/>
                <w:sz w:val="24"/>
                <w:highlight w:val="none"/>
              </w:rPr>
              <w:t>分值</w:t>
            </w:r>
          </w:p>
        </w:tc>
        <w:tc>
          <w:tcPr>
            <w:tcW w:w="5773" w:type="dxa"/>
          </w:tcPr>
          <w:p w14:paraId="4893D94F">
            <w:pPr>
              <w:spacing w:line="360" w:lineRule="auto"/>
              <w:jc w:val="center"/>
              <w:rPr>
                <w:rFonts w:cs="宋体"/>
                <w:b/>
                <w:bCs/>
                <w:color w:val="000000"/>
                <w:sz w:val="24"/>
                <w:highlight w:val="none"/>
              </w:rPr>
            </w:pPr>
            <w:r>
              <w:rPr>
                <w:rFonts w:hint="eastAsia" w:cs="宋体"/>
                <w:b/>
                <w:bCs/>
                <w:color w:val="000000"/>
                <w:sz w:val="24"/>
                <w:highlight w:val="none"/>
              </w:rPr>
              <w:t>评分标准</w:t>
            </w:r>
          </w:p>
        </w:tc>
      </w:tr>
      <w:tr w14:paraId="6CEAC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56613CCE">
            <w:pPr>
              <w:spacing w:line="360" w:lineRule="auto"/>
              <w:rPr>
                <w:rFonts w:cs="宋体"/>
                <w:color w:val="000000"/>
                <w:szCs w:val="21"/>
                <w:highlight w:val="none"/>
              </w:rPr>
            </w:pPr>
            <w:r>
              <w:rPr>
                <w:rFonts w:hint="eastAsia" w:cs="宋体"/>
                <w:color w:val="000000"/>
                <w:szCs w:val="21"/>
                <w:highlight w:val="none"/>
              </w:rPr>
              <w:t>1</w:t>
            </w:r>
          </w:p>
        </w:tc>
        <w:tc>
          <w:tcPr>
            <w:tcW w:w="746" w:type="dxa"/>
          </w:tcPr>
          <w:p w14:paraId="7C7B7AE7">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报价</w:t>
            </w:r>
          </w:p>
        </w:tc>
        <w:tc>
          <w:tcPr>
            <w:tcW w:w="518" w:type="dxa"/>
          </w:tcPr>
          <w:p w14:paraId="377CCE1C">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15</w:t>
            </w:r>
          </w:p>
        </w:tc>
        <w:tc>
          <w:tcPr>
            <w:tcW w:w="5773" w:type="dxa"/>
            <w:vAlign w:val="center"/>
          </w:tcPr>
          <w:p w14:paraId="33AFD860">
            <w:pPr>
              <w:widowControl/>
              <w:spacing w:line="500" w:lineRule="exact"/>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以满足文件要求且所报入驻供应商交易服务费率最低的最终报价为评审基准价，得15分，其他供应商该部分价格分按照下列公式计算：得分=（评审基准价/交易服务费率）×15，得分精确到小数点后2位。</w:t>
            </w:r>
            <w:r>
              <w:rPr>
                <w:rFonts w:hint="eastAsia" w:asciiTheme="minorEastAsia" w:hAnsiTheme="minorEastAsia" w:cstheme="minorEastAsia"/>
                <w:color w:val="000000"/>
                <w:szCs w:val="21"/>
                <w:highlight w:val="none"/>
              </w:rPr>
              <w:br w:type="textWrapping"/>
            </w:r>
            <w:r>
              <w:rPr>
                <w:rFonts w:hint="eastAsia" w:asciiTheme="minorEastAsia" w:hAnsiTheme="minorEastAsia" w:cstheme="minorEastAsia"/>
                <w:color w:val="000000"/>
                <w:szCs w:val="21"/>
                <w:highlight w:val="none"/>
              </w:rPr>
              <w:t>注：本项目采购人预算为0元，投标人不得向采购人收取平台使用费、系统建设费、入驻费、交易佣金、运维费或其他类似费用。投标人可按投标承诺向入驻供应商收取交易服务费，费率不得高于交易额的5%，否则投标文件无效。</w:t>
            </w:r>
          </w:p>
        </w:tc>
      </w:tr>
      <w:tr w14:paraId="44A8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2F98E739">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w:t>
            </w:r>
          </w:p>
        </w:tc>
        <w:tc>
          <w:tcPr>
            <w:tcW w:w="746" w:type="dxa"/>
          </w:tcPr>
          <w:p w14:paraId="12FD8144">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技术参数</w:t>
            </w:r>
          </w:p>
        </w:tc>
        <w:tc>
          <w:tcPr>
            <w:tcW w:w="518" w:type="dxa"/>
          </w:tcPr>
          <w:p w14:paraId="0D8EEFDB">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43</w:t>
            </w:r>
          </w:p>
        </w:tc>
        <w:tc>
          <w:tcPr>
            <w:tcW w:w="5773" w:type="dxa"/>
          </w:tcPr>
          <w:p w14:paraId="50F2ABBF">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根据响应方对采购需求的技术指标响应程度进行评价打分，其中标注“★”的参数条款需全部满足，否则投标文件无效；标注“</w:t>
            </w:r>
            <w:r>
              <w:rPr>
                <w:rFonts w:ascii="Times New Roman" w:hAnsi="Times New Roman" w:cs="Times New Roman"/>
                <w:sz w:val="24"/>
                <w:highlight w:val="none"/>
              </w:rPr>
              <w:t>▲</w:t>
            </w:r>
            <w:r>
              <w:rPr>
                <w:rFonts w:hint="eastAsia" w:asciiTheme="minorEastAsia" w:hAnsiTheme="minorEastAsia" w:cstheme="minorEastAsia"/>
                <w:color w:val="000000"/>
                <w:szCs w:val="21"/>
                <w:highlight w:val="none"/>
              </w:rPr>
              <w:t>”的为重要参数条款（共10项），每负偏离或者不满足一项扣2分，其他一般参数条款（共23项）不能响应或负偏离每项扣1分。</w:t>
            </w:r>
          </w:p>
        </w:tc>
      </w:tr>
      <w:tr w14:paraId="51893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42175AF6">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w:t>
            </w:r>
          </w:p>
        </w:tc>
        <w:tc>
          <w:tcPr>
            <w:tcW w:w="746" w:type="dxa"/>
          </w:tcPr>
          <w:p w14:paraId="2A2F24D9">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投标人能力评价</w:t>
            </w:r>
          </w:p>
        </w:tc>
        <w:tc>
          <w:tcPr>
            <w:tcW w:w="518" w:type="dxa"/>
          </w:tcPr>
          <w:p w14:paraId="7D6A35C5">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w:t>
            </w:r>
          </w:p>
        </w:tc>
        <w:tc>
          <w:tcPr>
            <w:tcW w:w="5773" w:type="dxa"/>
          </w:tcPr>
          <w:p w14:paraId="6273F9E2">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投标人拥有与本项目建设平台系统相关的计算机软件著作权登记证书，提供证书复印件并加盖投标人公章，每提供一个得1分，最高得2分。</w:t>
            </w:r>
          </w:p>
        </w:tc>
      </w:tr>
      <w:tr w14:paraId="240C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866" w:type="dxa"/>
          </w:tcPr>
          <w:p w14:paraId="512DD9EE">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w:t>
            </w:r>
          </w:p>
        </w:tc>
        <w:tc>
          <w:tcPr>
            <w:tcW w:w="746" w:type="dxa"/>
          </w:tcPr>
          <w:p w14:paraId="6ED573C2">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服务团队评价</w:t>
            </w:r>
          </w:p>
        </w:tc>
        <w:tc>
          <w:tcPr>
            <w:tcW w:w="518" w:type="dxa"/>
          </w:tcPr>
          <w:p w14:paraId="2644E92D">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w:t>
            </w:r>
          </w:p>
        </w:tc>
        <w:tc>
          <w:tcPr>
            <w:tcW w:w="5773" w:type="dxa"/>
          </w:tcPr>
          <w:p w14:paraId="620F1526">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szCs w:val="21"/>
                <w:highlight w:val="none"/>
              </w:rPr>
              <w:t>（1）服务团队负责人具有计算机技术及软件或生物医药类相关专业教育背景得2分，提供证明材料，不提供不得分。</w:t>
            </w:r>
            <w:r>
              <w:rPr>
                <w:rFonts w:hint="eastAsia" w:asciiTheme="minorEastAsia" w:hAnsiTheme="minorEastAsia" w:cstheme="minorEastAsia"/>
                <w:szCs w:val="21"/>
                <w:highlight w:val="none"/>
              </w:rPr>
              <w:br w:type="textWrapping"/>
            </w:r>
            <w:r>
              <w:rPr>
                <w:rFonts w:hint="eastAsia" w:asciiTheme="minorEastAsia" w:hAnsiTheme="minorEastAsia" w:cstheme="minorEastAsia"/>
                <w:szCs w:val="21"/>
                <w:highlight w:val="none"/>
              </w:rPr>
              <w:t>（2）服务团队负责人具有高级证书或者软考类高级证书，得2分，提供证明材料，不提供不得分。</w:t>
            </w:r>
          </w:p>
        </w:tc>
      </w:tr>
      <w:tr w14:paraId="7EF0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6A744E7A">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5</w:t>
            </w:r>
          </w:p>
        </w:tc>
        <w:tc>
          <w:tcPr>
            <w:tcW w:w="746" w:type="dxa"/>
          </w:tcPr>
          <w:p w14:paraId="05C68E74">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售后服务方案评价</w:t>
            </w:r>
          </w:p>
        </w:tc>
        <w:tc>
          <w:tcPr>
            <w:tcW w:w="518" w:type="dxa"/>
          </w:tcPr>
          <w:p w14:paraId="61D821F7">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6</w:t>
            </w:r>
          </w:p>
        </w:tc>
        <w:tc>
          <w:tcPr>
            <w:tcW w:w="5773" w:type="dxa"/>
          </w:tcPr>
          <w:p w14:paraId="6C145B18">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（1）根据投标人针对本项目提供的售后服务方案进行评审，包括但不限于①响应时间及故障处理时间、②售后服务人员情况、③售后巡检、系统运维。</w:t>
            </w:r>
          </w:p>
          <w:p w14:paraId="68FAC4A1">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（2）方案完整、详尽每个要点得2分，合计6分，每有一处缺陷或不足扣1分，扣完为止。</w:t>
            </w:r>
          </w:p>
        </w:tc>
      </w:tr>
      <w:tr w14:paraId="073F0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598EF490">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6</w:t>
            </w:r>
          </w:p>
        </w:tc>
        <w:tc>
          <w:tcPr>
            <w:tcW w:w="746" w:type="dxa"/>
          </w:tcPr>
          <w:p w14:paraId="2F29CFA5">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安装调试培训评价</w:t>
            </w:r>
          </w:p>
        </w:tc>
        <w:tc>
          <w:tcPr>
            <w:tcW w:w="518" w:type="dxa"/>
          </w:tcPr>
          <w:p w14:paraId="1E270D17">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6</w:t>
            </w:r>
          </w:p>
        </w:tc>
        <w:tc>
          <w:tcPr>
            <w:tcW w:w="5773" w:type="dxa"/>
          </w:tcPr>
          <w:p w14:paraId="5AC43C66">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（1）根据投标人针对本项目提供的安装调试培训方案进行评审，包括但不限于①安装调试培训人员情况、②安装调试培训计划、③安装调试培训效果等内容。</w:t>
            </w:r>
          </w:p>
          <w:p w14:paraId="17344DBD">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（2）方案完整、详尽每个要点得2分，合计6分，每有一处缺陷或不足扣1分，扣完为止。</w:t>
            </w:r>
          </w:p>
        </w:tc>
      </w:tr>
      <w:tr w14:paraId="64333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4DF9FFA3">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7</w:t>
            </w:r>
          </w:p>
        </w:tc>
        <w:tc>
          <w:tcPr>
            <w:tcW w:w="746" w:type="dxa"/>
          </w:tcPr>
          <w:p w14:paraId="43CA94AB">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质量保证体系及措施评价</w:t>
            </w:r>
          </w:p>
        </w:tc>
        <w:tc>
          <w:tcPr>
            <w:tcW w:w="518" w:type="dxa"/>
          </w:tcPr>
          <w:p w14:paraId="6506E5C3">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6</w:t>
            </w:r>
          </w:p>
        </w:tc>
        <w:tc>
          <w:tcPr>
            <w:tcW w:w="5773" w:type="dxa"/>
          </w:tcPr>
          <w:p w14:paraId="5DA7CB0D">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（1）根据投标人针对本项目提供的质量保证体系及措施进行评审，包括但不限于①质量保证体系、②质量承诺、质量目标及质量控制的保证措施、③质量管理制度及检查制度等内容。</w:t>
            </w:r>
          </w:p>
          <w:p w14:paraId="03F8E489">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（2）方案完整、详尽每个要点得2分，合计6分，每有一处缺陷或不足扣1分，扣完为止。</w:t>
            </w:r>
          </w:p>
        </w:tc>
      </w:tr>
      <w:tr w14:paraId="49CE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16CF3614">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8</w:t>
            </w:r>
          </w:p>
        </w:tc>
        <w:tc>
          <w:tcPr>
            <w:tcW w:w="746" w:type="dxa"/>
          </w:tcPr>
          <w:p w14:paraId="5E6782F8">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应急预案评价</w:t>
            </w:r>
          </w:p>
        </w:tc>
        <w:tc>
          <w:tcPr>
            <w:tcW w:w="518" w:type="dxa"/>
          </w:tcPr>
          <w:p w14:paraId="10F6F77C">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6</w:t>
            </w:r>
          </w:p>
        </w:tc>
        <w:tc>
          <w:tcPr>
            <w:tcW w:w="5773" w:type="dxa"/>
          </w:tcPr>
          <w:p w14:paraId="7164FF03">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（1）根据投标人针对本项目提供的应急预案进行评审，包括但不限于①网络与信息安全具体内容、②安全事件等级划分合理处置、③管理制度及处理流程、应急事件的评估和改进执行等内容。</w:t>
            </w:r>
          </w:p>
          <w:p w14:paraId="559DC5A1">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（2）方案完整、详尽每个要点得2分，合计6分，每有一处缺陷或不足扣1分，扣完为止。</w:t>
            </w:r>
          </w:p>
        </w:tc>
      </w:tr>
      <w:tr w14:paraId="07768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21907DC0">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9</w:t>
            </w:r>
          </w:p>
        </w:tc>
        <w:tc>
          <w:tcPr>
            <w:tcW w:w="746" w:type="dxa"/>
            <w:vAlign w:val="center"/>
          </w:tcPr>
          <w:p w14:paraId="503B99F2">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szCs w:val="21"/>
                <w:highlight w:val="none"/>
              </w:rPr>
              <w:t>仓储配送能力评价</w:t>
            </w:r>
          </w:p>
        </w:tc>
        <w:tc>
          <w:tcPr>
            <w:tcW w:w="518" w:type="dxa"/>
          </w:tcPr>
          <w:p w14:paraId="4C67C482">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w:t>
            </w:r>
          </w:p>
        </w:tc>
        <w:tc>
          <w:tcPr>
            <w:tcW w:w="5773" w:type="dxa"/>
            <w:vAlign w:val="center"/>
          </w:tcPr>
          <w:p w14:paraId="3C535BF7">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投标人提供仓储配送服务案例，每提供1个有效案例得2分，最高得4分。案例所在地不限，但投标人应在服务方案中说明所依托的自有或合作仓储资源、成都地区配送时效及应急保障措施。（提供合同或其他有效证明材料；采用合作仓储的，应同时提供有效合作证明）</w:t>
            </w:r>
          </w:p>
        </w:tc>
      </w:tr>
      <w:tr w14:paraId="69A1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4D08840F">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10</w:t>
            </w:r>
          </w:p>
        </w:tc>
        <w:tc>
          <w:tcPr>
            <w:tcW w:w="746" w:type="dxa"/>
          </w:tcPr>
          <w:p w14:paraId="07DD0CA9">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同类项目业绩</w:t>
            </w:r>
          </w:p>
        </w:tc>
        <w:tc>
          <w:tcPr>
            <w:tcW w:w="518" w:type="dxa"/>
          </w:tcPr>
          <w:p w14:paraId="66138311">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8</w:t>
            </w:r>
          </w:p>
        </w:tc>
        <w:tc>
          <w:tcPr>
            <w:tcW w:w="5773" w:type="dxa"/>
          </w:tcPr>
          <w:p w14:paraId="1620FEF6">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szCs w:val="21"/>
                <w:highlight w:val="none"/>
              </w:rPr>
              <w:t>投标人自2022年1月1日至今提供类似系统项目业绩，每提供一份业绩合同（以合同复印件为准）得2分，最多得8分。</w:t>
            </w:r>
          </w:p>
        </w:tc>
      </w:tr>
    </w:tbl>
    <w:p w14:paraId="47F20A72">
      <w:pPr>
        <w:spacing w:line="360" w:lineRule="auto"/>
        <w:rPr>
          <w:rFonts w:hint="eastAsia" w:asciiTheme="minorEastAsia" w:hAnsiTheme="minorEastAsia" w:cstheme="minorEastAsia"/>
          <w:color w:val="000000"/>
          <w:szCs w:val="21"/>
          <w:highlight w:val="none"/>
        </w:rPr>
      </w:pPr>
    </w:p>
    <w:p w14:paraId="411BD629">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bCs/>
          <w:color w:val="auto"/>
          <w:kern w:val="0"/>
          <w:sz w:val="28"/>
          <w:szCs w:val="28"/>
          <w:highlight w:val="none"/>
          <w:shd w:val="clear" w:color="auto" w:fill="FFFFFF"/>
        </w:rPr>
      </w:pPr>
    </w:p>
    <w:p w14:paraId="1AA521D6">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bCs/>
          <w:color w:val="auto"/>
          <w:kern w:val="0"/>
          <w:sz w:val="28"/>
          <w:szCs w:val="28"/>
          <w:highlight w:val="none"/>
          <w:shd w:val="clear" w:color="auto" w:fill="FFFFFF"/>
        </w:rPr>
      </w:pPr>
    </w:p>
    <w:p w14:paraId="7E74B83A">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bCs/>
          <w:color w:val="auto"/>
          <w:kern w:val="0"/>
          <w:sz w:val="28"/>
          <w:szCs w:val="28"/>
          <w:highlight w:val="none"/>
          <w:shd w:val="clear" w:color="auto" w:fill="FFFFFF"/>
        </w:rPr>
      </w:pPr>
    </w:p>
    <w:p w14:paraId="3A29E890">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bCs/>
          <w:color w:val="auto"/>
          <w:kern w:val="0"/>
          <w:sz w:val="28"/>
          <w:szCs w:val="28"/>
          <w:highlight w:val="none"/>
          <w:shd w:val="clear" w:color="auto" w:fill="FFFFFF"/>
        </w:rPr>
      </w:pPr>
    </w:p>
    <w:p w14:paraId="062DF54B">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bCs/>
          <w:color w:val="auto"/>
          <w:kern w:val="0"/>
          <w:sz w:val="28"/>
          <w:szCs w:val="28"/>
          <w:highlight w:val="none"/>
          <w:shd w:val="clear" w:color="auto" w:fill="FFFFFF"/>
        </w:rPr>
      </w:pPr>
    </w:p>
    <w:p w14:paraId="5D0F48AE">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附件</w:t>
      </w:r>
      <w:r>
        <w:rPr>
          <w:rFonts w:hint="eastAsia" w:asciiTheme="minorEastAsia" w:hAnsiTheme="minorEastAsia" w:eastAsiaTheme="minorEastAsia" w:cstheme="minorEastAsia"/>
          <w:b/>
          <w:bCs/>
          <w:color w:val="auto"/>
          <w:sz w:val="28"/>
          <w:szCs w:val="28"/>
          <w:highlight w:val="none"/>
          <w:lang w:val="en-US" w:eastAsia="zh-CN"/>
        </w:rPr>
        <w:t>3：</w:t>
      </w:r>
    </w:p>
    <w:p w14:paraId="7C56E314">
      <w:pPr>
        <w:spacing w:line="360" w:lineRule="auto"/>
        <w:jc w:val="center"/>
        <w:rPr>
          <w:rFonts w:hint="eastAsia" w:ascii="宋体" w:hAnsi="宋体" w:eastAsia="宋体" w:cs="宋体"/>
          <w:b/>
          <w:bCs w:val="0"/>
          <w:color w:val="auto"/>
          <w:kern w:val="0"/>
          <w:sz w:val="28"/>
          <w:szCs w:val="28"/>
          <w:highlight w:val="none"/>
          <w:shd w:val="clear" w:color="auto" w:fill="FFFFFF"/>
        </w:rPr>
      </w:pPr>
      <w:r>
        <w:rPr>
          <w:rFonts w:hint="eastAsia" w:ascii="宋体" w:hAnsi="宋体" w:eastAsia="宋体" w:cs="宋体"/>
          <w:b/>
          <w:bCs w:val="0"/>
          <w:color w:val="auto"/>
          <w:kern w:val="0"/>
          <w:sz w:val="28"/>
          <w:szCs w:val="28"/>
          <w:highlight w:val="none"/>
          <w:shd w:val="clear" w:color="auto" w:fill="FFFFFF"/>
          <w:lang w:val="en-US" w:eastAsia="zh-CN"/>
        </w:rPr>
        <w:t>资格证明</w:t>
      </w:r>
      <w:r>
        <w:rPr>
          <w:rFonts w:hint="eastAsia" w:ascii="宋体" w:hAnsi="宋体" w:eastAsia="宋体" w:cs="宋体"/>
          <w:b/>
          <w:bCs w:val="0"/>
          <w:color w:val="auto"/>
          <w:kern w:val="0"/>
          <w:sz w:val="28"/>
          <w:szCs w:val="28"/>
          <w:highlight w:val="none"/>
          <w:shd w:val="clear" w:color="auto" w:fill="FFFFFF"/>
        </w:rPr>
        <w:t>文件装订顺序</w:t>
      </w:r>
    </w:p>
    <w:p w14:paraId="027281A7">
      <w:pPr>
        <w:keepNext w:val="0"/>
        <w:keepLines w:val="0"/>
        <w:pageBreakBefore w:val="0"/>
        <w:widowControl/>
        <w:kinsoku/>
        <w:wordWrap/>
        <w:overflowPunct/>
        <w:topLinePunct w:val="0"/>
        <w:autoSpaceDE/>
        <w:autoSpaceDN/>
        <w:bidi w:val="0"/>
        <w:adjustRightInd w:val="0"/>
        <w:snapToGrid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rPr>
      </w:pPr>
      <w:r>
        <w:rPr>
          <w:rFonts w:hint="eastAsia" w:ascii="宋体" w:hAnsi="宋体" w:eastAsia="宋体" w:cs="宋体"/>
          <w:color w:val="auto"/>
          <w:spacing w:val="8"/>
          <w:kern w:val="0"/>
          <w:sz w:val="28"/>
          <w:szCs w:val="28"/>
          <w:highlight w:val="none"/>
          <w:shd w:val="clear" w:color="auto" w:fill="FFFFFF"/>
        </w:rPr>
        <w:t>1.封面（注明包号、</w:t>
      </w:r>
      <w:r>
        <w:rPr>
          <w:rFonts w:hint="eastAsia" w:ascii="宋体" w:hAnsi="宋体" w:eastAsia="宋体" w:cs="宋体"/>
          <w:color w:val="auto"/>
          <w:spacing w:val="8"/>
          <w:kern w:val="0"/>
          <w:sz w:val="28"/>
          <w:szCs w:val="28"/>
          <w:highlight w:val="none"/>
          <w:shd w:val="clear" w:color="auto" w:fill="FFFFFF"/>
          <w:lang w:val="en-US" w:eastAsia="zh-CN"/>
        </w:rPr>
        <w:t>项目名称</w:t>
      </w:r>
      <w:r>
        <w:rPr>
          <w:rFonts w:hint="eastAsia" w:ascii="宋体" w:hAnsi="宋体" w:eastAsia="宋体" w:cs="宋体"/>
          <w:color w:val="auto"/>
          <w:spacing w:val="8"/>
          <w:kern w:val="0"/>
          <w:sz w:val="28"/>
          <w:szCs w:val="28"/>
          <w:highlight w:val="none"/>
          <w:shd w:val="clear" w:color="auto" w:fill="FFFFFF"/>
        </w:rPr>
        <w:t>、公司名称、联系人、联系电话、加盖公司印章）。</w:t>
      </w:r>
    </w:p>
    <w:p w14:paraId="3CA6D096">
      <w:pPr>
        <w:keepNext w:val="0"/>
        <w:keepLines w:val="0"/>
        <w:pageBreakBefore w:val="0"/>
        <w:widowControl/>
        <w:kinsoku/>
        <w:wordWrap/>
        <w:overflowPunct/>
        <w:topLinePunct w:val="0"/>
        <w:autoSpaceDE/>
        <w:autoSpaceDN/>
        <w:bidi w:val="0"/>
        <w:adjustRightInd w:val="0"/>
        <w:snapToGrid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rPr>
      </w:pPr>
      <w:r>
        <w:rPr>
          <w:rFonts w:hint="eastAsia" w:ascii="宋体" w:hAnsi="宋体" w:eastAsia="宋体" w:cs="宋体"/>
          <w:color w:val="auto"/>
          <w:spacing w:val="8"/>
          <w:kern w:val="0"/>
          <w:sz w:val="28"/>
          <w:szCs w:val="28"/>
          <w:highlight w:val="none"/>
          <w:shd w:val="clear" w:color="auto" w:fill="FFFFFF"/>
        </w:rPr>
        <w:t>2.目录。</w:t>
      </w:r>
    </w:p>
    <w:p w14:paraId="1A18F91C">
      <w:pPr>
        <w:keepNext w:val="0"/>
        <w:keepLines w:val="0"/>
        <w:pageBreakBefore w:val="0"/>
        <w:widowControl/>
        <w:kinsoku/>
        <w:wordWrap/>
        <w:overflowPunct/>
        <w:topLinePunct w:val="0"/>
        <w:autoSpaceDE/>
        <w:autoSpaceDN/>
        <w:bidi w:val="0"/>
        <w:adjustRightInd w:val="0"/>
        <w:snapToGrid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rPr>
      </w:pPr>
      <w:r>
        <w:rPr>
          <w:rFonts w:hint="eastAsia" w:ascii="宋体" w:hAnsi="宋体" w:eastAsia="宋体" w:cs="宋体"/>
          <w:color w:val="auto"/>
          <w:spacing w:val="8"/>
          <w:kern w:val="0"/>
          <w:sz w:val="28"/>
          <w:szCs w:val="28"/>
          <w:highlight w:val="none"/>
          <w:shd w:val="clear" w:color="auto" w:fill="FFFFFF"/>
        </w:rPr>
        <w:t>3.有效的营业执照（副本）复印件。</w:t>
      </w:r>
    </w:p>
    <w:p w14:paraId="48A7B9A1">
      <w:pPr>
        <w:keepNext w:val="0"/>
        <w:keepLines w:val="0"/>
        <w:pageBreakBefore w:val="0"/>
        <w:widowControl/>
        <w:kinsoku/>
        <w:wordWrap/>
        <w:overflowPunct/>
        <w:topLinePunct w:val="0"/>
        <w:autoSpaceDE/>
        <w:autoSpaceDN/>
        <w:bidi w:val="0"/>
        <w:adjustRightInd w:val="0"/>
        <w:snapToGrid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rPr>
      </w:pPr>
      <w:r>
        <w:rPr>
          <w:rFonts w:hint="eastAsia" w:ascii="宋体" w:hAnsi="宋体" w:eastAsia="宋体" w:cs="宋体"/>
          <w:color w:val="auto"/>
          <w:spacing w:val="8"/>
          <w:kern w:val="0"/>
          <w:sz w:val="28"/>
          <w:szCs w:val="28"/>
          <w:highlight w:val="none"/>
          <w:shd w:val="clear" w:color="auto" w:fill="FFFFFF"/>
        </w:rPr>
        <w:t>4.</w:t>
      </w:r>
      <w:r>
        <w:rPr>
          <w:rFonts w:hint="eastAsia" w:ascii="宋体" w:hAnsi="宋体" w:eastAsia="宋体" w:cs="宋体"/>
          <w:color w:val="auto"/>
          <w:spacing w:val="8"/>
          <w:kern w:val="0"/>
          <w:sz w:val="28"/>
          <w:szCs w:val="28"/>
          <w:highlight w:val="none"/>
          <w:shd w:val="clear" w:color="auto" w:fill="FFFFFF"/>
          <w:lang w:eastAsia="zh-CN"/>
        </w:rPr>
        <w:t>授权参加本次采购活动的供应商代表证明。(供应商代表为“授权代表”时，提供授权委托书（</w:t>
      </w:r>
      <w:r>
        <w:rPr>
          <w:rFonts w:hint="eastAsia" w:ascii="宋体" w:hAnsi="宋体" w:eastAsia="宋体" w:cs="宋体"/>
          <w:color w:val="auto"/>
          <w:spacing w:val="8"/>
          <w:kern w:val="0"/>
          <w:sz w:val="28"/>
          <w:szCs w:val="28"/>
          <w:highlight w:val="none"/>
          <w:shd w:val="clear" w:color="auto" w:fill="FFFFFF"/>
          <w:lang w:val="en-US" w:eastAsia="zh-CN"/>
        </w:rPr>
        <w:t>格式见附件5-5</w:t>
      </w:r>
      <w:r>
        <w:rPr>
          <w:rFonts w:hint="eastAsia" w:ascii="宋体" w:hAnsi="宋体" w:eastAsia="宋体" w:cs="宋体"/>
          <w:color w:val="auto"/>
          <w:spacing w:val="8"/>
          <w:kern w:val="0"/>
          <w:sz w:val="28"/>
          <w:szCs w:val="28"/>
          <w:highlight w:val="none"/>
          <w:shd w:val="clear" w:color="auto" w:fill="FFFFFF"/>
          <w:lang w:eastAsia="zh-CN"/>
        </w:rPr>
        <w:t>）及</w:t>
      </w:r>
      <w:r>
        <w:rPr>
          <w:rFonts w:hint="eastAsia" w:ascii="宋体" w:hAnsi="宋体" w:eastAsia="宋体" w:cs="宋体"/>
          <w:color w:val="auto"/>
          <w:spacing w:val="8"/>
          <w:kern w:val="0"/>
          <w:sz w:val="28"/>
          <w:szCs w:val="28"/>
          <w:highlight w:val="none"/>
          <w:shd w:val="clear" w:color="auto" w:fill="FFFFFF"/>
          <w:lang w:val="en-US" w:eastAsia="zh-CN"/>
        </w:rPr>
        <w:t>双方</w:t>
      </w:r>
      <w:r>
        <w:rPr>
          <w:rFonts w:hint="eastAsia" w:ascii="宋体" w:hAnsi="宋体" w:eastAsia="宋体" w:cs="宋体"/>
          <w:color w:val="auto"/>
          <w:spacing w:val="8"/>
          <w:kern w:val="0"/>
          <w:sz w:val="28"/>
          <w:szCs w:val="28"/>
          <w:highlight w:val="none"/>
          <w:shd w:val="clear" w:color="auto" w:fill="FFFFFF"/>
          <w:lang w:eastAsia="zh-CN"/>
        </w:rPr>
        <w:t>身份证复印件；供应商代表为“法定代表人（单位负责人）”时，提供法定代表人（单位负责人）身份证</w:t>
      </w:r>
      <w:r>
        <w:rPr>
          <w:rFonts w:hint="eastAsia" w:ascii="宋体" w:hAnsi="宋体" w:eastAsia="宋体" w:cs="宋体"/>
          <w:color w:val="auto"/>
          <w:spacing w:val="8"/>
          <w:kern w:val="0"/>
          <w:sz w:val="28"/>
          <w:szCs w:val="28"/>
          <w:highlight w:val="none"/>
          <w:shd w:val="clear" w:color="auto" w:fill="FFFFFF"/>
          <w:lang w:val="en-US" w:eastAsia="zh-CN"/>
        </w:rPr>
        <w:t>明</w:t>
      </w:r>
      <w:r>
        <w:rPr>
          <w:rFonts w:hint="eastAsia" w:ascii="宋体" w:hAnsi="宋体" w:eastAsia="宋体" w:cs="宋体"/>
          <w:color w:val="auto"/>
          <w:spacing w:val="8"/>
          <w:kern w:val="0"/>
          <w:sz w:val="28"/>
          <w:szCs w:val="28"/>
          <w:highlight w:val="none"/>
          <w:shd w:val="clear" w:color="auto" w:fill="FFFFFF"/>
          <w:lang w:eastAsia="zh-CN"/>
        </w:rPr>
        <w:t>（</w:t>
      </w:r>
      <w:r>
        <w:rPr>
          <w:rFonts w:hint="eastAsia" w:ascii="宋体" w:hAnsi="宋体" w:eastAsia="宋体" w:cs="宋体"/>
          <w:color w:val="auto"/>
          <w:spacing w:val="8"/>
          <w:kern w:val="0"/>
          <w:sz w:val="28"/>
          <w:szCs w:val="28"/>
          <w:highlight w:val="none"/>
          <w:shd w:val="clear" w:color="auto" w:fill="FFFFFF"/>
          <w:lang w:val="en-US" w:eastAsia="zh-CN"/>
        </w:rPr>
        <w:t>格式见附件5-6</w:t>
      </w:r>
      <w:r>
        <w:rPr>
          <w:rFonts w:hint="eastAsia" w:ascii="宋体" w:hAnsi="宋体" w:eastAsia="宋体" w:cs="宋体"/>
          <w:color w:val="auto"/>
          <w:spacing w:val="8"/>
          <w:kern w:val="0"/>
          <w:sz w:val="28"/>
          <w:szCs w:val="28"/>
          <w:highlight w:val="none"/>
          <w:shd w:val="clear" w:color="auto" w:fill="FFFFFF"/>
          <w:lang w:eastAsia="zh-CN"/>
        </w:rPr>
        <w:t>）)</w:t>
      </w:r>
      <w:r>
        <w:rPr>
          <w:rFonts w:hint="eastAsia" w:ascii="宋体" w:hAnsi="宋体" w:eastAsia="宋体" w:cs="宋体"/>
          <w:color w:val="auto"/>
          <w:spacing w:val="8"/>
          <w:kern w:val="0"/>
          <w:sz w:val="28"/>
          <w:szCs w:val="28"/>
          <w:highlight w:val="none"/>
          <w:shd w:val="clear" w:color="auto" w:fill="FFFFFF"/>
        </w:rPr>
        <w:t>。</w:t>
      </w:r>
    </w:p>
    <w:p w14:paraId="121F71D9">
      <w:pPr>
        <w:pStyle w:val="12"/>
        <w:widowControl/>
        <w:adjustRightInd w:val="0"/>
        <w:snapToGrid w:val="0"/>
        <w:spacing w:beforeAutospacing="0" w:afterAutospacing="0" w:line="360" w:lineRule="auto"/>
        <w:ind w:firstLine="592" w:firstLineChars="200"/>
        <w:jc w:val="both"/>
        <w:rPr>
          <w:rFonts w:hint="eastAsia" w:ascii="宋体" w:hAnsi="宋体" w:eastAsia="宋体" w:cs="宋体"/>
          <w:color w:val="auto"/>
          <w:spacing w:val="8"/>
          <w:kern w:val="0"/>
          <w:sz w:val="28"/>
          <w:szCs w:val="28"/>
          <w:highlight w:val="none"/>
          <w:shd w:val="clear" w:color="auto" w:fill="FFFFFF"/>
          <w:lang w:val="en-US" w:eastAsia="zh-CN"/>
        </w:rPr>
      </w:pPr>
      <w:r>
        <w:rPr>
          <w:rFonts w:hint="eastAsia" w:ascii="宋体" w:hAnsi="宋体" w:eastAsia="宋体" w:cs="宋体"/>
          <w:color w:val="auto"/>
          <w:spacing w:val="8"/>
          <w:kern w:val="0"/>
          <w:sz w:val="28"/>
          <w:szCs w:val="28"/>
          <w:highlight w:val="none"/>
          <w:shd w:val="clear" w:color="auto" w:fill="FFFFFF"/>
          <w:lang w:val="en-US" w:eastAsia="zh-CN"/>
        </w:rPr>
        <w:t>5.</w:t>
      </w:r>
      <w:r>
        <w:rPr>
          <w:rFonts w:hint="eastAsia" w:ascii="宋体" w:hAnsi="宋体" w:eastAsia="宋体" w:cs="宋体"/>
          <w:color w:val="auto"/>
          <w:sz w:val="28"/>
          <w:szCs w:val="28"/>
          <w:highlight w:val="none"/>
          <w:shd w:val="clear" w:color="auto" w:fill="FFFFFF"/>
        </w:rPr>
        <w:t>具有良好的商业信誉和健全的财务会计制度</w:t>
      </w:r>
      <w:r>
        <w:rPr>
          <w:rFonts w:hint="eastAsia" w:ascii="宋体" w:hAnsi="宋体" w:eastAsia="宋体" w:cs="宋体"/>
          <w:color w:val="auto"/>
          <w:sz w:val="28"/>
          <w:szCs w:val="28"/>
          <w:highlight w:val="none"/>
          <w:shd w:val="clear" w:color="auto" w:fill="FFFFFF"/>
          <w:lang w:eastAsia="zh-CN"/>
        </w:rPr>
        <w:t>，</w:t>
      </w:r>
      <w:r>
        <w:rPr>
          <w:rFonts w:hint="eastAsia" w:ascii="宋体" w:hAnsi="宋体" w:eastAsia="宋体" w:cs="宋体"/>
          <w:b/>
          <w:bCs/>
          <w:color w:val="auto"/>
          <w:sz w:val="28"/>
          <w:szCs w:val="28"/>
          <w:highlight w:val="none"/>
          <w:lang w:eastAsia="zh-CN"/>
        </w:rPr>
        <w:t>提供承诺函原件并加盖供应商公章。</w:t>
      </w:r>
    </w:p>
    <w:p w14:paraId="718C2C31">
      <w:pPr>
        <w:keepNext w:val="0"/>
        <w:keepLines w:val="0"/>
        <w:pageBreakBefore w:val="0"/>
        <w:widowControl/>
        <w:kinsoku/>
        <w:wordWrap/>
        <w:overflowPunct/>
        <w:topLinePunct w:val="0"/>
        <w:autoSpaceDE/>
        <w:autoSpaceDN/>
        <w:bidi w:val="0"/>
        <w:adjustRightInd w:val="0"/>
        <w:snapToGrid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lang w:val="en-US" w:eastAsia="zh-CN"/>
        </w:rPr>
      </w:pPr>
      <w:r>
        <w:rPr>
          <w:rFonts w:hint="eastAsia" w:ascii="宋体" w:hAnsi="宋体" w:eastAsia="宋体" w:cs="宋体"/>
          <w:color w:val="auto"/>
          <w:spacing w:val="8"/>
          <w:kern w:val="0"/>
          <w:sz w:val="28"/>
          <w:szCs w:val="28"/>
          <w:highlight w:val="none"/>
          <w:shd w:val="clear" w:color="auto" w:fill="FFFFFF"/>
          <w:lang w:val="en-US" w:eastAsia="zh-CN"/>
        </w:rPr>
        <w:t>6.具有履行合同所必须的设备和专业技术能力，</w:t>
      </w:r>
      <w:r>
        <w:rPr>
          <w:rFonts w:hint="eastAsia" w:ascii="宋体" w:hAnsi="宋体" w:eastAsia="宋体" w:cs="宋体"/>
          <w:b/>
          <w:bCs/>
          <w:color w:val="auto"/>
          <w:spacing w:val="8"/>
          <w:kern w:val="0"/>
          <w:sz w:val="28"/>
          <w:szCs w:val="28"/>
          <w:highlight w:val="none"/>
          <w:shd w:val="clear" w:color="auto" w:fill="FFFFFF"/>
          <w:lang w:val="en-US" w:eastAsia="zh-CN"/>
        </w:rPr>
        <w:t>提供承诺函原件并加盖供应商公章</w:t>
      </w:r>
      <w:r>
        <w:rPr>
          <w:rFonts w:hint="eastAsia" w:ascii="宋体" w:hAnsi="宋体" w:eastAsia="宋体" w:cs="宋体"/>
          <w:color w:val="auto"/>
          <w:spacing w:val="8"/>
          <w:kern w:val="0"/>
          <w:sz w:val="28"/>
          <w:szCs w:val="28"/>
          <w:highlight w:val="none"/>
          <w:shd w:val="clear" w:color="auto" w:fill="FFFFFF"/>
          <w:lang w:val="en-US" w:eastAsia="zh-CN"/>
        </w:rPr>
        <w:t>。</w:t>
      </w:r>
    </w:p>
    <w:p w14:paraId="7E30495C">
      <w:pPr>
        <w:keepNext w:val="0"/>
        <w:keepLines w:val="0"/>
        <w:pageBreakBefore w:val="0"/>
        <w:widowControl/>
        <w:kinsoku/>
        <w:wordWrap/>
        <w:overflowPunct/>
        <w:topLinePunct w:val="0"/>
        <w:autoSpaceDE/>
        <w:autoSpaceDN/>
        <w:bidi w:val="0"/>
        <w:adjustRightInd w:val="0"/>
        <w:snapToGrid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lang w:val="en-US" w:eastAsia="zh-CN"/>
        </w:rPr>
      </w:pPr>
      <w:r>
        <w:rPr>
          <w:rFonts w:hint="eastAsia" w:ascii="宋体" w:hAnsi="宋体" w:eastAsia="宋体" w:cs="宋体"/>
          <w:color w:val="auto"/>
          <w:spacing w:val="8"/>
          <w:kern w:val="0"/>
          <w:sz w:val="28"/>
          <w:szCs w:val="28"/>
          <w:highlight w:val="none"/>
          <w:shd w:val="clear" w:color="auto" w:fill="FFFFFF"/>
          <w:lang w:val="en-US" w:eastAsia="zh-CN"/>
        </w:rPr>
        <w:t>7.具有依法缴纳税收和社会保障资金的良好记录，</w:t>
      </w:r>
      <w:r>
        <w:rPr>
          <w:rFonts w:hint="eastAsia" w:ascii="宋体" w:hAnsi="宋体" w:eastAsia="宋体" w:cs="宋体"/>
          <w:b/>
          <w:bCs/>
          <w:color w:val="auto"/>
          <w:spacing w:val="8"/>
          <w:kern w:val="0"/>
          <w:sz w:val="28"/>
          <w:szCs w:val="28"/>
          <w:highlight w:val="none"/>
          <w:shd w:val="clear" w:color="auto" w:fill="FFFFFF"/>
          <w:lang w:val="en-US" w:eastAsia="zh-CN"/>
        </w:rPr>
        <w:t>提供承诺函原件并加盖供应商公章</w:t>
      </w:r>
      <w:r>
        <w:rPr>
          <w:rFonts w:hint="eastAsia" w:ascii="宋体" w:hAnsi="宋体" w:eastAsia="宋体" w:cs="宋体"/>
          <w:color w:val="auto"/>
          <w:spacing w:val="8"/>
          <w:kern w:val="0"/>
          <w:sz w:val="28"/>
          <w:szCs w:val="28"/>
          <w:highlight w:val="none"/>
          <w:shd w:val="clear" w:color="auto" w:fill="FFFFFF"/>
          <w:lang w:val="en-US" w:eastAsia="zh-CN"/>
        </w:rPr>
        <w:t>。</w:t>
      </w:r>
    </w:p>
    <w:p w14:paraId="03EC2955">
      <w:pPr>
        <w:keepNext w:val="0"/>
        <w:keepLines w:val="0"/>
        <w:pageBreakBefore w:val="0"/>
        <w:widowControl/>
        <w:kinsoku/>
        <w:wordWrap/>
        <w:overflowPunct/>
        <w:topLinePunct w:val="0"/>
        <w:autoSpaceDE/>
        <w:autoSpaceDN/>
        <w:bidi w:val="0"/>
        <w:adjustRightInd w:val="0"/>
        <w:snapToGrid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lang w:val="en-US" w:eastAsia="zh-CN"/>
        </w:rPr>
      </w:pPr>
      <w:r>
        <w:rPr>
          <w:rFonts w:hint="eastAsia" w:ascii="宋体" w:hAnsi="宋体" w:eastAsia="宋体" w:cs="宋体"/>
          <w:color w:val="auto"/>
          <w:spacing w:val="8"/>
          <w:kern w:val="0"/>
          <w:sz w:val="28"/>
          <w:szCs w:val="28"/>
          <w:highlight w:val="none"/>
          <w:shd w:val="clear" w:color="auto" w:fill="FFFFFF"/>
          <w:lang w:val="en-US" w:eastAsia="zh-CN"/>
        </w:rPr>
        <w:t>8.参加本次采购活动前三年内，在经营活动中没有重大违法记录；没有因安全事故、质量事故、违规等被政府有关部门记录，</w:t>
      </w:r>
      <w:r>
        <w:rPr>
          <w:rFonts w:hint="eastAsia" w:ascii="宋体" w:hAnsi="宋体" w:eastAsia="宋体" w:cs="宋体"/>
          <w:b/>
          <w:bCs/>
          <w:color w:val="auto"/>
          <w:spacing w:val="8"/>
          <w:kern w:val="0"/>
          <w:sz w:val="28"/>
          <w:szCs w:val="28"/>
          <w:highlight w:val="none"/>
          <w:shd w:val="clear" w:color="auto" w:fill="FFFFFF"/>
          <w:lang w:val="en-US" w:eastAsia="zh-CN"/>
        </w:rPr>
        <w:t>提供承诺函原件并加盖供应商公章</w:t>
      </w:r>
      <w:r>
        <w:rPr>
          <w:rFonts w:hint="eastAsia" w:ascii="宋体" w:hAnsi="宋体" w:eastAsia="宋体" w:cs="宋体"/>
          <w:color w:val="auto"/>
          <w:spacing w:val="8"/>
          <w:kern w:val="0"/>
          <w:sz w:val="28"/>
          <w:szCs w:val="28"/>
          <w:highlight w:val="none"/>
          <w:shd w:val="clear" w:color="auto" w:fill="FFFFFF"/>
          <w:lang w:val="en-US" w:eastAsia="zh-CN"/>
        </w:rPr>
        <w:t>。</w:t>
      </w:r>
    </w:p>
    <w:p w14:paraId="63D79B0C">
      <w:pPr>
        <w:pStyle w:val="6"/>
        <w:keepNext w:val="0"/>
        <w:keepLines w:val="0"/>
        <w:pageBreakBefore w:val="0"/>
        <w:kinsoku/>
        <w:wordWrap/>
        <w:overflowPunct/>
        <w:topLinePunct w:val="0"/>
        <w:autoSpaceDE/>
        <w:autoSpaceDN/>
        <w:bidi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lang w:val="en-US" w:eastAsia="zh-CN"/>
        </w:rPr>
      </w:pPr>
      <w:r>
        <w:rPr>
          <w:rFonts w:hint="eastAsia" w:ascii="宋体" w:hAnsi="宋体" w:eastAsia="宋体" w:cs="宋体"/>
          <w:color w:val="auto"/>
          <w:spacing w:val="8"/>
          <w:kern w:val="0"/>
          <w:sz w:val="28"/>
          <w:szCs w:val="28"/>
          <w:highlight w:val="none"/>
          <w:shd w:val="clear" w:color="auto" w:fill="FFFFFF"/>
          <w:lang w:val="en-US" w:eastAsia="zh-CN"/>
        </w:rPr>
        <w:t>9.供应商负责人为同一人或者存在控股、管理关系的不同单位，均视为同一参会供应商，不得重复参加采购，</w:t>
      </w:r>
      <w:r>
        <w:rPr>
          <w:rFonts w:hint="eastAsia" w:ascii="宋体" w:hAnsi="宋体" w:eastAsia="宋体" w:cs="宋体"/>
          <w:b/>
          <w:bCs/>
          <w:color w:val="auto"/>
          <w:spacing w:val="8"/>
          <w:kern w:val="0"/>
          <w:sz w:val="28"/>
          <w:szCs w:val="28"/>
          <w:highlight w:val="none"/>
          <w:shd w:val="clear" w:color="auto" w:fill="FFFFFF"/>
          <w:lang w:val="en-US" w:eastAsia="zh-CN"/>
        </w:rPr>
        <w:t>提供承诺函原件并加盖供应商公章</w:t>
      </w:r>
      <w:r>
        <w:rPr>
          <w:rFonts w:hint="eastAsia" w:ascii="宋体" w:hAnsi="宋体" w:eastAsia="宋体" w:cs="宋体"/>
          <w:color w:val="auto"/>
          <w:spacing w:val="8"/>
          <w:kern w:val="0"/>
          <w:sz w:val="28"/>
          <w:szCs w:val="28"/>
          <w:highlight w:val="none"/>
          <w:shd w:val="clear" w:color="auto" w:fill="FFFFFF"/>
          <w:lang w:val="en-US" w:eastAsia="zh-CN"/>
        </w:rPr>
        <w:t>。</w:t>
      </w:r>
    </w:p>
    <w:p w14:paraId="1B2149F7">
      <w:pPr>
        <w:pStyle w:val="6"/>
        <w:keepNext w:val="0"/>
        <w:keepLines w:val="0"/>
        <w:pageBreakBefore w:val="0"/>
        <w:kinsoku/>
        <w:wordWrap/>
        <w:overflowPunct/>
        <w:topLinePunct w:val="0"/>
        <w:autoSpaceDE/>
        <w:autoSpaceDN/>
        <w:bidi w:val="0"/>
        <w:spacing w:line="360" w:lineRule="auto"/>
        <w:ind w:firstLine="632" w:firstLineChars="200"/>
        <w:textAlignment w:val="auto"/>
        <w:rPr>
          <w:rFonts w:hint="eastAsia" w:ascii="宋体" w:hAnsi="宋体" w:eastAsia="宋体" w:cs="宋体"/>
          <w:color w:val="auto"/>
          <w:spacing w:val="8"/>
          <w:kern w:val="0"/>
          <w:sz w:val="30"/>
          <w:szCs w:val="30"/>
          <w:highlight w:val="none"/>
          <w:shd w:val="clear" w:color="auto" w:fill="FFFFFF"/>
          <w:lang w:val="en-US" w:eastAsia="zh-CN"/>
        </w:rPr>
      </w:pPr>
    </w:p>
    <w:p w14:paraId="78148F5F">
      <w:pPr>
        <w:pStyle w:val="6"/>
        <w:keepNext w:val="0"/>
        <w:keepLines w:val="0"/>
        <w:pageBreakBefore w:val="0"/>
        <w:kinsoku/>
        <w:wordWrap/>
        <w:overflowPunct/>
        <w:topLinePunct w:val="0"/>
        <w:autoSpaceDE/>
        <w:autoSpaceDN/>
        <w:bidi w:val="0"/>
        <w:spacing w:line="360" w:lineRule="auto"/>
        <w:ind w:firstLine="632" w:firstLineChars="200"/>
        <w:textAlignment w:val="auto"/>
        <w:rPr>
          <w:rFonts w:hint="eastAsia" w:ascii="宋体" w:hAnsi="宋体" w:eastAsia="宋体" w:cs="宋体"/>
          <w:color w:val="auto"/>
          <w:spacing w:val="8"/>
          <w:kern w:val="0"/>
          <w:sz w:val="30"/>
          <w:szCs w:val="30"/>
          <w:highlight w:val="none"/>
          <w:shd w:val="clear" w:color="auto" w:fill="FFFFFF"/>
          <w:lang w:val="en-US" w:eastAsia="zh-CN"/>
        </w:rPr>
      </w:pPr>
    </w:p>
    <w:p w14:paraId="2F5DFFB3">
      <w:pPr>
        <w:pStyle w:val="6"/>
        <w:keepNext w:val="0"/>
        <w:keepLines w:val="0"/>
        <w:pageBreakBefore w:val="0"/>
        <w:kinsoku/>
        <w:wordWrap/>
        <w:overflowPunct/>
        <w:topLinePunct w:val="0"/>
        <w:autoSpaceDE/>
        <w:autoSpaceDN/>
        <w:bidi w:val="0"/>
        <w:spacing w:line="360" w:lineRule="auto"/>
        <w:ind w:firstLine="632" w:firstLineChars="200"/>
        <w:textAlignment w:val="auto"/>
        <w:rPr>
          <w:rFonts w:hint="eastAsia" w:ascii="宋体" w:hAnsi="宋体" w:eastAsia="宋体" w:cs="宋体"/>
          <w:color w:val="auto"/>
          <w:spacing w:val="8"/>
          <w:kern w:val="0"/>
          <w:sz w:val="30"/>
          <w:szCs w:val="30"/>
          <w:highlight w:val="none"/>
          <w:shd w:val="clear" w:color="auto" w:fill="FFFFFF"/>
          <w:lang w:val="en-US" w:eastAsia="zh-CN"/>
        </w:rPr>
      </w:pPr>
    </w:p>
    <w:p w14:paraId="2996052F">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附件</w:t>
      </w:r>
      <w:r>
        <w:rPr>
          <w:rFonts w:hint="eastAsia" w:asciiTheme="minorEastAsia" w:hAnsiTheme="minorEastAsia" w:eastAsiaTheme="minorEastAsia" w:cstheme="minorEastAsia"/>
          <w:b/>
          <w:bCs/>
          <w:color w:val="auto"/>
          <w:sz w:val="28"/>
          <w:szCs w:val="28"/>
          <w:highlight w:val="none"/>
          <w:lang w:val="en-US" w:eastAsia="zh-CN"/>
        </w:rPr>
        <w:t>4：</w:t>
      </w:r>
    </w:p>
    <w:p w14:paraId="27B180F9">
      <w:pPr>
        <w:keepNext w:val="0"/>
        <w:keepLines w:val="0"/>
        <w:pageBreakBefore w:val="0"/>
        <w:kinsoku/>
        <w:overflowPunct/>
        <w:topLinePunct w:val="0"/>
        <w:autoSpaceDE/>
        <w:autoSpaceDN/>
        <w:bidi w:val="0"/>
        <w:spacing w:line="360" w:lineRule="auto"/>
        <w:ind w:firstLine="562" w:firstLineChars="200"/>
        <w:jc w:val="cente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采购</w:t>
      </w:r>
      <w:r>
        <w:rPr>
          <w:rFonts w:hint="eastAsia" w:asciiTheme="minorEastAsia" w:hAnsiTheme="minorEastAsia" w:eastAsiaTheme="minorEastAsia" w:cstheme="minorEastAsia"/>
          <w:b/>
          <w:bCs/>
          <w:color w:val="auto"/>
          <w:sz w:val="28"/>
          <w:szCs w:val="28"/>
          <w:highlight w:val="none"/>
          <w:lang w:val="en-US" w:eastAsia="zh-CN"/>
        </w:rPr>
        <w:t>响应</w:t>
      </w:r>
      <w:r>
        <w:rPr>
          <w:rFonts w:hint="eastAsia" w:asciiTheme="minorEastAsia" w:hAnsiTheme="minorEastAsia" w:eastAsiaTheme="minorEastAsia" w:cstheme="minorEastAsia"/>
          <w:b/>
          <w:bCs/>
          <w:color w:val="auto"/>
          <w:sz w:val="28"/>
          <w:szCs w:val="28"/>
          <w:highlight w:val="none"/>
        </w:rPr>
        <w:t>文件装订顺序</w:t>
      </w:r>
    </w:p>
    <w:p w14:paraId="5A4EFB56">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rPr>
      </w:pPr>
    </w:p>
    <w:p w14:paraId="23849530">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rPr>
      </w:pPr>
      <w:r>
        <w:rPr>
          <w:rFonts w:hint="eastAsia" w:asciiTheme="minorEastAsia" w:hAnsiTheme="minorEastAsia" w:eastAsiaTheme="minorEastAsia" w:cstheme="minorEastAsia"/>
          <w:b w:val="0"/>
          <w:bCs w:val="0"/>
          <w:color w:val="auto"/>
          <w:sz w:val="28"/>
          <w:szCs w:val="28"/>
          <w:highlight w:val="none"/>
        </w:rPr>
        <w:t>1.封面（注明包号、</w:t>
      </w:r>
      <w:r>
        <w:rPr>
          <w:rFonts w:hint="eastAsia" w:asciiTheme="minorEastAsia" w:hAnsiTheme="minorEastAsia" w:eastAsiaTheme="minorEastAsia" w:cstheme="minorEastAsia"/>
          <w:b w:val="0"/>
          <w:bCs w:val="0"/>
          <w:color w:val="auto"/>
          <w:sz w:val="28"/>
          <w:szCs w:val="28"/>
          <w:highlight w:val="none"/>
          <w:lang w:val="en-US" w:eastAsia="zh-CN"/>
        </w:rPr>
        <w:t>项目名称</w:t>
      </w:r>
      <w:r>
        <w:rPr>
          <w:rFonts w:hint="eastAsia" w:asciiTheme="minorEastAsia" w:hAnsiTheme="minorEastAsia" w:eastAsiaTheme="minorEastAsia" w:cstheme="minorEastAsia"/>
          <w:b w:val="0"/>
          <w:bCs w:val="0"/>
          <w:color w:val="auto"/>
          <w:sz w:val="28"/>
          <w:szCs w:val="28"/>
          <w:highlight w:val="none"/>
        </w:rPr>
        <w:t>、公司名称、联系人、联系电话、加盖公司印章）。</w:t>
      </w:r>
    </w:p>
    <w:p w14:paraId="4A00B9CC">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rPr>
      </w:pPr>
      <w:r>
        <w:rPr>
          <w:rFonts w:hint="eastAsia" w:asciiTheme="minorEastAsia" w:hAnsiTheme="minorEastAsia" w:eastAsiaTheme="minorEastAsia" w:cstheme="minorEastAsia"/>
          <w:b w:val="0"/>
          <w:bCs w:val="0"/>
          <w:color w:val="auto"/>
          <w:sz w:val="28"/>
          <w:szCs w:val="28"/>
          <w:highlight w:val="none"/>
        </w:rPr>
        <w:t>2.目录。</w:t>
      </w:r>
    </w:p>
    <w:p w14:paraId="3A85184D">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rPr>
      </w:pPr>
      <w:r>
        <w:rPr>
          <w:rFonts w:hint="eastAsia" w:asciiTheme="minorEastAsia" w:hAnsiTheme="minorEastAsia" w:eastAsiaTheme="minorEastAsia" w:cstheme="minorEastAsia"/>
          <w:b w:val="0"/>
          <w:bCs w:val="0"/>
          <w:color w:val="auto"/>
          <w:sz w:val="28"/>
          <w:szCs w:val="28"/>
          <w:highlight w:val="none"/>
        </w:rPr>
        <w:t>3.报价一览表（格式见附件</w:t>
      </w:r>
      <w:r>
        <w:rPr>
          <w:rFonts w:hint="eastAsia" w:asciiTheme="minorEastAsia" w:hAnsiTheme="minorEastAsia" w:eastAsiaTheme="minorEastAsia" w:cstheme="minorEastAsia"/>
          <w:b w:val="0"/>
          <w:bCs w:val="0"/>
          <w:color w:val="auto"/>
          <w:sz w:val="28"/>
          <w:szCs w:val="28"/>
          <w:highlight w:val="none"/>
          <w:lang w:val="en-US" w:eastAsia="zh-CN"/>
        </w:rPr>
        <w:t>5-1</w:t>
      </w:r>
      <w:r>
        <w:rPr>
          <w:rFonts w:hint="eastAsia" w:asciiTheme="minorEastAsia" w:hAnsiTheme="minorEastAsia" w:eastAsiaTheme="minorEastAsia" w:cstheme="minorEastAsia"/>
          <w:b w:val="0"/>
          <w:bCs w:val="0"/>
          <w:color w:val="auto"/>
          <w:sz w:val="28"/>
          <w:szCs w:val="28"/>
          <w:highlight w:val="none"/>
        </w:rPr>
        <w:t>）。</w:t>
      </w:r>
    </w:p>
    <w:p w14:paraId="1781CE28">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rPr>
        <w:t>4.技术</w:t>
      </w:r>
      <w:r>
        <w:rPr>
          <w:rFonts w:hint="eastAsia" w:asciiTheme="minorEastAsia" w:hAnsiTheme="minorEastAsia" w:eastAsiaTheme="minorEastAsia" w:cstheme="minorEastAsia"/>
          <w:b w:val="0"/>
          <w:bCs w:val="0"/>
          <w:color w:val="auto"/>
          <w:sz w:val="28"/>
          <w:szCs w:val="28"/>
          <w:highlight w:val="none"/>
          <w:lang w:eastAsia="zh-CN"/>
        </w:rPr>
        <w:t>、</w:t>
      </w:r>
      <w:r>
        <w:rPr>
          <w:rFonts w:hint="eastAsia" w:asciiTheme="minorEastAsia" w:hAnsiTheme="minorEastAsia" w:eastAsiaTheme="minorEastAsia" w:cstheme="minorEastAsia"/>
          <w:b w:val="0"/>
          <w:bCs w:val="0"/>
          <w:color w:val="auto"/>
          <w:sz w:val="28"/>
          <w:szCs w:val="28"/>
          <w:highlight w:val="none"/>
        </w:rPr>
        <w:t>商务要求偏离表（格式见附件</w:t>
      </w:r>
      <w:r>
        <w:rPr>
          <w:rFonts w:hint="eastAsia" w:asciiTheme="minorEastAsia" w:hAnsiTheme="minorEastAsia" w:eastAsiaTheme="minorEastAsia" w:cstheme="minorEastAsia"/>
          <w:b w:val="0"/>
          <w:bCs w:val="0"/>
          <w:color w:val="auto"/>
          <w:sz w:val="28"/>
          <w:szCs w:val="28"/>
          <w:highlight w:val="none"/>
          <w:lang w:val="en-US" w:eastAsia="zh-CN"/>
        </w:rPr>
        <w:t>5</w:t>
      </w:r>
      <w:r>
        <w:rPr>
          <w:rFonts w:hint="eastAsia" w:asciiTheme="minorEastAsia" w:hAnsiTheme="minorEastAsia" w:eastAsiaTheme="minorEastAsia" w:cstheme="minorEastAsia"/>
          <w:b w:val="0"/>
          <w:bCs w:val="0"/>
          <w:color w:val="auto"/>
          <w:sz w:val="28"/>
          <w:szCs w:val="28"/>
          <w:highlight w:val="none"/>
        </w:rPr>
        <w:t>-</w:t>
      </w:r>
      <w:r>
        <w:rPr>
          <w:rFonts w:hint="eastAsia" w:asciiTheme="minorEastAsia" w:hAnsiTheme="minorEastAsia" w:eastAsiaTheme="minorEastAsia" w:cstheme="minorEastAsia"/>
          <w:b w:val="0"/>
          <w:bCs w:val="0"/>
          <w:color w:val="auto"/>
          <w:sz w:val="28"/>
          <w:szCs w:val="28"/>
          <w:highlight w:val="none"/>
          <w:lang w:val="en-US" w:eastAsia="zh-CN"/>
        </w:rPr>
        <w:t>3</w:t>
      </w:r>
      <w:r>
        <w:rPr>
          <w:rFonts w:hint="eastAsia" w:asciiTheme="minorEastAsia" w:hAnsiTheme="minorEastAsia" w:eastAsiaTheme="minorEastAsia" w:cstheme="minorEastAsia"/>
          <w:b w:val="0"/>
          <w:bCs w:val="0"/>
          <w:color w:val="auto"/>
          <w:sz w:val="28"/>
          <w:szCs w:val="28"/>
          <w:highlight w:val="none"/>
        </w:rPr>
        <w:t>）</w:t>
      </w:r>
      <w:r>
        <w:rPr>
          <w:rFonts w:hint="eastAsia" w:asciiTheme="minorEastAsia" w:hAnsiTheme="minorEastAsia" w:eastAsiaTheme="minorEastAsia" w:cstheme="minorEastAsia"/>
          <w:b w:val="0"/>
          <w:bCs w:val="0"/>
          <w:color w:val="auto"/>
          <w:sz w:val="28"/>
          <w:szCs w:val="28"/>
          <w:highlight w:val="none"/>
          <w:lang w:eastAsia="zh-CN"/>
        </w:rPr>
        <w:t>。</w:t>
      </w:r>
    </w:p>
    <w:p w14:paraId="04B8DB98">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rPr>
      </w:pPr>
      <w:r>
        <w:rPr>
          <w:rFonts w:hint="eastAsia" w:asciiTheme="minorEastAsia" w:hAnsiTheme="minorEastAsia" w:eastAsiaTheme="minorEastAsia" w:cstheme="minorEastAsia"/>
          <w:b w:val="0"/>
          <w:bCs w:val="0"/>
          <w:color w:val="auto"/>
          <w:sz w:val="28"/>
          <w:szCs w:val="28"/>
          <w:highlight w:val="none"/>
          <w:lang w:val="en-US" w:eastAsia="zh-CN"/>
        </w:rPr>
        <w:t>5.</w:t>
      </w:r>
      <w:r>
        <w:rPr>
          <w:rFonts w:hint="eastAsia" w:asciiTheme="minorEastAsia" w:hAnsiTheme="minorEastAsia" w:eastAsiaTheme="minorEastAsia" w:cstheme="minorEastAsia"/>
          <w:b w:val="0"/>
          <w:bCs w:val="0"/>
          <w:color w:val="auto"/>
          <w:sz w:val="28"/>
          <w:szCs w:val="28"/>
          <w:highlight w:val="none"/>
        </w:rPr>
        <w:t>售后服务承诺</w:t>
      </w:r>
      <w:r>
        <w:rPr>
          <w:rFonts w:hint="eastAsia" w:asciiTheme="minorEastAsia" w:hAnsiTheme="minorEastAsia" w:eastAsiaTheme="minorEastAsia" w:cstheme="minorEastAsia"/>
          <w:b w:val="0"/>
          <w:bCs w:val="0"/>
          <w:color w:val="auto"/>
          <w:sz w:val="28"/>
          <w:szCs w:val="28"/>
          <w:highlight w:val="none"/>
          <w:lang w:val="en-US" w:eastAsia="zh-CN"/>
        </w:rPr>
        <w:t>。</w:t>
      </w:r>
    </w:p>
    <w:p w14:paraId="5D9ED5B9">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val="en-US" w:eastAsia="zh-CN"/>
        </w:rPr>
        <w:t>6.反商业贿赂承诺书（</w:t>
      </w:r>
      <w:r>
        <w:rPr>
          <w:rFonts w:hint="eastAsia" w:asciiTheme="minorEastAsia" w:hAnsiTheme="minorEastAsia" w:eastAsiaTheme="minorEastAsia" w:cstheme="minorEastAsia"/>
          <w:b w:val="0"/>
          <w:bCs w:val="0"/>
          <w:color w:val="auto"/>
          <w:sz w:val="28"/>
          <w:szCs w:val="28"/>
          <w:highlight w:val="none"/>
        </w:rPr>
        <w:t>格式见附件</w:t>
      </w:r>
      <w:r>
        <w:rPr>
          <w:rFonts w:hint="eastAsia" w:asciiTheme="minorEastAsia" w:hAnsiTheme="minorEastAsia" w:eastAsiaTheme="minorEastAsia" w:cstheme="minorEastAsia"/>
          <w:b w:val="0"/>
          <w:bCs w:val="0"/>
          <w:color w:val="auto"/>
          <w:sz w:val="28"/>
          <w:szCs w:val="28"/>
          <w:highlight w:val="none"/>
          <w:lang w:val="en-US" w:eastAsia="zh-CN"/>
        </w:rPr>
        <w:t>6）</w:t>
      </w:r>
      <w:r>
        <w:rPr>
          <w:rFonts w:hint="eastAsia" w:asciiTheme="minorEastAsia" w:hAnsiTheme="minorEastAsia" w:eastAsiaTheme="minorEastAsia" w:cstheme="minorEastAsia"/>
          <w:b w:val="0"/>
          <w:bCs w:val="0"/>
          <w:color w:val="auto"/>
          <w:sz w:val="28"/>
          <w:szCs w:val="28"/>
          <w:highlight w:val="none"/>
          <w:lang w:eastAsia="zh-CN"/>
        </w:rPr>
        <w:t>。</w:t>
      </w:r>
    </w:p>
    <w:p w14:paraId="789B5C7D">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lang w:val="en-US" w:eastAsia="zh-CN"/>
        </w:rPr>
      </w:pPr>
      <w:r>
        <w:rPr>
          <w:rFonts w:hint="eastAsia" w:asciiTheme="minorEastAsia" w:hAnsiTheme="minorEastAsia" w:eastAsiaTheme="minorEastAsia" w:cstheme="minorEastAsia"/>
          <w:b w:val="0"/>
          <w:bCs w:val="0"/>
          <w:color w:val="auto"/>
          <w:sz w:val="28"/>
          <w:szCs w:val="28"/>
          <w:highlight w:val="none"/>
          <w:lang w:val="en-US" w:eastAsia="zh-CN"/>
        </w:rPr>
        <w:t>7.禁止围标、串标情况承诺函（</w:t>
      </w:r>
      <w:r>
        <w:rPr>
          <w:rFonts w:hint="eastAsia" w:asciiTheme="minorEastAsia" w:hAnsiTheme="minorEastAsia" w:eastAsiaTheme="minorEastAsia" w:cstheme="minorEastAsia"/>
          <w:b w:val="0"/>
          <w:bCs w:val="0"/>
          <w:color w:val="auto"/>
          <w:sz w:val="28"/>
          <w:szCs w:val="28"/>
          <w:highlight w:val="none"/>
        </w:rPr>
        <w:t>格式见附件</w:t>
      </w:r>
      <w:r>
        <w:rPr>
          <w:rFonts w:hint="eastAsia" w:asciiTheme="minorEastAsia" w:hAnsiTheme="minorEastAsia" w:eastAsiaTheme="minorEastAsia" w:cstheme="minorEastAsia"/>
          <w:b w:val="0"/>
          <w:bCs w:val="0"/>
          <w:color w:val="auto"/>
          <w:sz w:val="28"/>
          <w:szCs w:val="28"/>
          <w:highlight w:val="none"/>
          <w:lang w:val="en-US" w:eastAsia="zh-CN"/>
        </w:rPr>
        <w:t>7）。</w:t>
      </w:r>
    </w:p>
    <w:p w14:paraId="0F18997C">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lang w:val="en-US" w:eastAsia="zh-CN"/>
        </w:rPr>
      </w:pPr>
      <w:r>
        <w:rPr>
          <w:rFonts w:hint="eastAsia" w:asciiTheme="minorEastAsia" w:hAnsiTheme="minorEastAsia" w:eastAsiaTheme="minorEastAsia" w:cstheme="minorEastAsia"/>
          <w:b w:val="0"/>
          <w:bCs w:val="0"/>
          <w:color w:val="auto"/>
          <w:sz w:val="28"/>
          <w:szCs w:val="28"/>
          <w:highlight w:val="none"/>
          <w:lang w:val="en-US" w:eastAsia="zh-CN"/>
        </w:rPr>
        <w:t>8.供应商遵守招标采购纪律承诺书（</w:t>
      </w:r>
      <w:r>
        <w:rPr>
          <w:rFonts w:hint="eastAsia" w:asciiTheme="minorEastAsia" w:hAnsiTheme="minorEastAsia" w:eastAsiaTheme="minorEastAsia" w:cstheme="minorEastAsia"/>
          <w:b w:val="0"/>
          <w:bCs w:val="0"/>
          <w:color w:val="auto"/>
          <w:sz w:val="28"/>
          <w:szCs w:val="28"/>
          <w:highlight w:val="none"/>
        </w:rPr>
        <w:t>格式见附件</w:t>
      </w:r>
      <w:r>
        <w:rPr>
          <w:rFonts w:hint="eastAsia" w:asciiTheme="minorEastAsia" w:hAnsiTheme="minorEastAsia" w:eastAsiaTheme="minorEastAsia" w:cstheme="minorEastAsia"/>
          <w:b w:val="0"/>
          <w:bCs w:val="0"/>
          <w:color w:val="auto"/>
          <w:sz w:val="28"/>
          <w:szCs w:val="28"/>
          <w:highlight w:val="none"/>
          <w:lang w:val="en-US" w:eastAsia="zh-CN"/>
        </w:rPr>
        <w:t>8）。</w:t>
      </w:r>
    </w:p>
    <w:p w14:paraId="2F8E679D">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val="en-US" w:eastAsia="zh-CN"/>
        </w:rPr>
        <w:t>9.行业相关</w:t>
      </w:r>
      <w:r>
        <w:rPr>
          <w:rFonts w:hint="eastAsia" w:asciiTheme="minorEastAsia" w:hAnsiTheme="minorEastAsia" w:eastAsiaTheme="minorEastAsia" w:cstheme="minorEastAsia"/>
          <w:b w:val="0"/>
          <w:bCs w:val="0"/>
          <w:color w:val="auto"/>
          <w:sz w:val="28"/>
          <w:szCs w:val="28"/>
          <w:highlight w:val="none"/>
        </w:rPr>
        <w:t>规范或标准</w:t>
      </w:r>
      <w:r>
        <w:rPr>
          <w:rFonts w:hint="eastAsia" w:asciiTheme="minorEastAsia" w:hAnsiTheme="minorEastAsia" w:eastAsiaTheme="minorEastAsia" w:cstheme="minorEastAsia"/>
          <w:b w:val="0"/>
          <w:bCs w:val="0"/>
          <w:color w:val="auto"/>
          <w:sz w:val="28"/>
          <w:szCs w:val="28"/>
          <w:highlight w:val="none"/>
          <w:lang w:eastAsia="zh-CN"/>
        </w:rPr>
        <w:t>（</w:t>
      </w:r>
      <w:r>
        <w:rPr>
          <w:rFonts w:hint="eastAsia" w:asciiTheme="minorEastAsia" w:hAnsiTheme="minorEastAsia" w:eastAsiaTheme="minorEastAsia" w:cstheme="minorEastAsia"/>
          <w:b w:val="0"/>
          <w:bCs w:val="0"/>
          <w:color w:val="auto"/>
          <w:sz w:val="28"/>
          <w:szCs w:val="28"/>
          <w:highlight w:val="none"/>
          <w:lang w:val="en-US" w:eastAsia="zh-CN"/>
        </w:rPr>
        <w:t>如有</w:t>
      </w:r>
      <w:r>
        <w:rPr>
          <w:rFonts w:hint="eastAsia" w:asciiTheme="minorEastAsia" w:hAnsiTheme="minorEastAsia" w:eastAsiaTheme="minorEastAsia" w:cstheme="minorEastAsia"/>
          <w:b w:val="0"/>
          <w:bCs w:val="0"/>
          <w:color w:val="auto"/>
          <w:sz w:val="28"/>
          <w:szCs w:val="28"/>
          <w:highlight w:val="none"/>
          <w:lang w:eastAsia="zh-CN"/>
        </w:rPr>
        <w:t>）。</w:t>
      </w:r>
    </w:p>
    <w:p w14:paraId="2E5660D9">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lang w:val="en-US" w:eastAsia="zh-CN"/>
        </w:rPr>
      </w:pPr>
      <w:r>
        <w:rPr>
          <w:rFonts w:hint="eastAsia" w:asciiTheme="minorEastAsia" w:hAnsiTheme="minorEastAsia" w:eastAsiaTheme="minorEastAsia" w:cstheme="minorEastAsia"/>
          <w:b w:val="0"/>
          <w:bCs w:val="0"/>
          <w:color w:val="auto"/>
          <w:sz w:val="28"/>
          <w:szCs w:val="28"/>
          <w:highlight w:val="none"/>
          <w:lang w:val="en-US" w:eastAsia="zh-CN"/>
        </w:rPr>
        <w:t>10.供应商认为需要提供的其它资料</w:t>
      </w:r>
      <w:r>
        <w:rPr>
          <w:rFonts w:hint="eastAsia" w:asciiTheme="minorEastAsia" w:hAnsiTheme="minorEastAsia" w:eastAsiaTheme="minorEastAsia" w:cstheme="minorEastAsia"/>
          <w:b w:val="0"/>
          <w:bCs w:val="0"/>
          <w:color w:val="auto"/>
          <w:sz w:val="28"/>
          <w:szCs w:val="28"/>
          <w:highlight w:val="none"/>
          <w:lang w:eastAsia="zh-CN"/>
        </w:rPr>
        <w:t>。</w:t>
      </w:r>
    </w:p>
    <w:p w14:paraId="6EDAB91A">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val="en-US" w:eastAsia="zh-CN"/>
        </w:rPr>
        <w:t>11.</w:t>
      </w:r>
      <w:r>
        <w:rPr>
          <w:rFonts w:hint="eastAsia" w:asciiTheme="minorEastAsia" w:hAnsiTheme="minorEastAsia" w:eastAsiaTheme="minorEastAsia" w:cstheme="minorEastAsia"/>
          <w:b w:val="0"/>
          <w:bCs w:val="0"/>
          <w:color w:val="auto"/>
          <w:sz w:val="28"/>
          <w:szCs w:val="28"/>
          <w:highlight w:val="none"/>
        </w:rPr>
        <w:t>封底</w:t>
      </w:r>
      <w:r>
        <w:rPr>
          <w:rFonts w:hint="eastAsia" w:asciiTheme="minorEastAsia" w:hAnsiTheme="minorEastAsia" w:eastAsiaTheme="minorEastAsia" w:cstheme="minorEastAsia"/>
          <w:b w:val="0"/>
          <w:bCs w:val="0"/>
          <w:color w:val="auto"/>
          <w:sz w:val="28"/>
          <w:szCs w:val="28"/>
          <w:highlight w:val="none"/>
          <w:lang w:eastAsia="zh-CN"/>
        </w:rPr>
        <w:t>。</w:t>
      </w:r>
    </w:p>
    <w:p w14:paraId="5C8D2F49">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注：请务必按以上顺序装订资料，如有非中文资料，请同时提供中文翻译件。</w:t>
      </w:r>
    </w:p>
    <w:p w14:paraId="33D5289D">
      <w:pPr>
        <w:pStyle w:val="6"/>
        <w:keepNext w:val="0"/>
        <w:keepLines w:val="0"/>
        <w:pageBreakBefore w:val="0"/>
        <w:kinsoku/>
        <w:wordWrap/>
        <w:overflowPunct/>
        <w:topLinePunct w:val="0"/>
        <w:autoSpaceDE/>
        <w:autoSpaceDN/>
        <w:bidi w:val="0"/>
        <w:spacing w:line="360" w:lineRule="auto"/>
        <w:ind w:firstLine="632" w:firstLineChars="200"/>
        <w:textAlignment w:val="auto"/>
        <w:rPr>
          <w:rFonts w:hint="eastAsia" w:ascii="宋体" w:hAnsi="宋体" w:eastAsia="宋体" w:cs="宋体"/>
          <w:color w:val="auto"/>
          <w:spacing w:val="8"/>
          <w:kern w:val="0"/>
          <w:sz w:val="30"/>
          <w:szCs w:val="30"/>
          <w:highlight w:val="none"/>
          <w:shd w:val="clear" w:color="auto" w:fill="FFFFFF"/>
          <w:lang w:val="en-US" w:eastAsia="zh-CN"/>
        </w:rPr>
      </w:pPr>
    </w:p>
    <w:p w14:paraId="38B431C8">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p>
    <w:p w14:paraId="73642931">
      <w:pPr>
        <w:keepNext w:val="0"/>
        <w:keepLines w:val="0"/>
        <w:pageBreakBefore w:val="0"/>
        <w:kinsoku/>
        <w:overflowPunct/>
        <w:topLinePunct w:val="0"/>
        <w:autoSpaceDE/>
        <w:autoSpaceDN/>
        <w:bidi w:val="0"/>
        <w:adjustRightInd w:val="0"/>
        <w:snapToGrid w:val="0"/>
        <w:spacing w:line="360" w:lineRule="auto"/>
        <w:ind w:firstLine="560" w:firstLineChars="200"/>
        <w:rPr>
          <w:rFonts w:hint="eastAsia" w:asciiTheme="minorEastAsia" w:hAnsiTheme="minorEastAsia" w:eastAsiaTheme="minorEastAsia" w:cstheme="minorEastAsia"/>
          <w:color w:val="auto"/>
          <w:sz w:val="28"/>
          <w:szCs w:val="28"/>
          <w:highlight w:val="none"/>
        </w:rPr>
      </w:pPr>
    </w:p>
    <w:p w14:paraId="64D104B0">
      <w:pPr>
        <w:keepNext w:val="0"/>
        <w:keepLines w:val="0"/>
        <w:pageBreakBefore w:val="0"/>
        <w:kinsoku/>
        <w:overflowPunct/>
        <w:topLinePunct w:val="0"/>
        <w:autoSpaceDE/>
        <w:autoSpaceDN/>
        <w:bidi w:val="0"/>
        <w:adjustRightInd w:val="0"/>
        <w:snapToGrid w:val="0"/>
        <w:spacing w:line="360" w:lineRule="auto"/>
        <w:ind w:firstLine="560" w:firstLineChars="200"/>
        <w:rPr>
          <w:rFonts w:hint="eastAsia" w:asciiTheme="minorEastAsia" w:hAnsiTheme="minorEastAsia" w:eastAsiaTheme="minorEastAsia" w:cstheme="minorEastAsia"/>
          <w:color w:val="auto"/>
          <w:sz w:val="28"/>
          <w:szCs w:val="28"/>
          <w:highlight w:val="none"/>
        </w:rPr>
      </w:pPr>
    </w:p>
    <w:p w14:paraId="4F9F6212">
      <w:pPr>
        <w:keepNext w:val="0"/>
        <w:keepLines w:val="0"/>
        <w:pageBreakBefore w:val="0"/>
        <w:kinsoku/>
        <w:overflowPunct/>
        <w:topLinePunct w:val="0"/>
        <w:autoSpaceDE/>
        <w:autoSpaceDN/>
        <w:bidi w:val="0"/>
        <w:adjustRightInd w:val="0"/>
        <w:snapToGrid w:val="0"/>
        <w:spacing w:line="360" w:lineRule="auto"/>
        <w:ind w:firstLine="560" w:firstLineChars="200"/>
        <w:rPr>
          <w:rFonts w:hint="eastAsia" w:asciiTheme="minorEastAsia" w:hAnsiTheme="minorEastAsia" w:eastAsiaTheme="minorEastAsia" w:cstheme="minorEastAsia"/>
          <w:color w:val="auto"/>
          <w:sz w:val="28"/>
          <w:szCs w:val="28"/>
          <w:highlight w:val="none"/>
        </w:rPr>
      </w:pPr>
    </w:p>
    <w:p w14:paraId="4A62E9BE">
      <w:pPr>
        <w:keepNext w:val="0"/>
        <w:keepLines w:val="0"/>
        <w:pageBreakBefore w:val="0"/>
        <w:kinsoku/>
        <w:overflowPunct/>
        <w:topLinePunct w:val="0"/>
        <w:autoSpaceDE/>
        <w:autoSpaceDN/>
        <w:bidi w:val="0"/>
        <w:adjustRightInd w:val="0"/>
        <w:snapToGrid w:val="0"/>
        <w:spacing w:line="360" w:lineRule="auto"/>
        <w:ind w:firstLine="560" w:firstLineChars="200"/>
        <w:rPr>
          <w:rFonts w:hint="eastAsia" w:asciiTheme="minorEastAsia" w:hAnsiTheme="minorEastAsia" w:eastAsiaTheme="minorEastAsia" w:cstheme="minorEastAsia"/>
          <w:color w:val="auto"/>
          <w:sz w:val="28"/>
          <w:szCs w:val="28"/>
          <w:highlight w:val="none"/>
        </w:rPr>
      </w:pPr>
    </w:p>
    <w:p w14:paraId="1966DDB1">
      <w:pPr>
        <w:keepNext w:val="0"/>
        <w:keepLines w:val="0"/>
        <w:pageBreakBefore w:val="0"/>
        <w:kinsoku/>
        <w:overflowPunct/>
        <w:topLinePunct w:val="0"/>
        <w:autoSpaceDE/>
        <w:autoSpaceDN/>
        <w:bidi w:val="0"/>
        <w:adjustRightInd w:val="0"/>
        <w:snapToGrid w:val="0"/>
        <w:spacing w:line="360" w:lineRule="auto"/>
        <w:ind w:firstLine="560" w:firstLineChars="200"/>
        <w:rPr>
          <w:rFonts w:hint="eastAsia" w:asciiTheme="minorEastAsia" w:hAnsiTheme="minorEastAsia" w:eastAsiaTheme="minorEastAsia" w:cstheme="minorEastAsia"/>
          <w:color w:val="auto"/>
          <w:sz w:val="28"/>
          <w:szCs w:val="28"/>
          <w:highlight w:val="none"/>
        </w:rPr>
      </w:pPr>
    </w:p>
    <w:p w14:paraId="37CF2C68">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eastAsia="zh-CN"/>
        </w:rPr>
        <w:t>附件</w:t>
      </w:r>
      <w:r>
        <w:rPr>
          <w:rFonts w:hint="eastAsia" w:asciiTheme="minorEastAsia" w:hAnsiTheme="minorEastAsia" w:cstheme="minorEastAsia"/>
          <w:b/>
          <w:bCs/>
          <w:color w:val="auto"/>
          <w:sz w:val="28"/>
          <w:szCs w:val="28"/>
          <w:highlight w:val="none"/>
          <w:lang w:val="en-US" w:eastAsia="zh-CN"/>
        </w:rPr>
        <w:t>5</w:t>
      </w:r>
      <w:r>
        <w:rPr>
          <w:rFonts w:hint="eastAsia" w:asciiTheme="minorEastAsia" w:hAnsiTheme="minorEastAsia" w:eastAsiaTheme="minorEastAsia" w:cstheme="minorEastAsia"/>
          <w:b/>
          <w:bCs/>
          <w:color w:val="auto"/>
          <w:sz w:val="28"/>
          <w:szCs w:val="28"/>
          <w:highlight w:val="none"/>
        </w:rPr>
        <w:t>：主要表格</w:t>
      </w:r>
      <w:r>
        <w:rPr>
          <w:rFonts w:hint="eastAsia" w:asciiTheme="minorEastAsia" w:hAnsiTheme="minorEastAsia" w:eastAsiaTheme="minorEastAsia" w:cstheme="minorEastAsia"/>
          <w:b/>
          <w:bCs/>
          <w:color w:val="auto"/>
          <w:sz w:val="28"/>
          <w:szCs w:val="28"/>
          <w:highlight w:val="none"/>
          <w:lang w:val="en-US" w:eastAsia="zh-CN"/>
        </w:rPr>
        <w:t>格式</w:t>
      </w:r>
    </w:p>
    <w:p w14:paraId="2F20C895">
      <w:pPr>
        <w:keepNext w:val="0"/>
        <w:keepLines w:val="0"/>
        <w:pageBreakBefore w:val="0"/>
        <w:widowControl/>
        <w:shd w:val="clear" w:color="auto" w:fill="FFFFFF"/>
        <w:kinsoku/>
        <w:wordWrap w:val="0"/>
        <w:overflowPunct/>
        <w:topLinePunct w:val="0"/>
        <w:autoSpaceDE/>
        <w:autoSpaceDN/>
        <w:bidi w:val="0"/>
        <w:spacing w:line="360" w:lineRule="auto"/>
        <w:ind w:firstLine="562" w:firstLineChars="200"/>
        <w:jc w:val="left"/>
        <w:rPr>
          <w:rFonts w:hint="eastAsia" w:asciiTheme="minorEastAsia" w:hAnsiTheme="minorEastAsia" w:eastAsiaTheme="minorEastAsia" w:cstheme="minorEastAsia"/>
          <w:color w:val="auto"/>
          <w:kern w:val="0"/>
          <w:sz w:val="28"/>
          <w:szCs w:val="28"/>
          <w:highlight w:val="none"/>
          <w:u w:val="single"/>
          <w:lang w:val="en-US" w:eastAsia="zh-CN"/>
        </w:rPr>
      </w:pPr>
      <w:r>
        <w:rPr>
          <w:rFonts w:hint="eastAsia" w:asciiTheme="minorEastAsia" w:hAnsiTheme="minorEastAsia" w:eastAsiaTheme="minorEastAsia" w:cstheme="minorEastAsia"/>
          <w:b/>
          <w:bCs/>
          <w:color w:val="auto"/>
          <w:kern w:val="0"/>
          <w:sz w:val="28"/>
          <w:szCs w:val="28"/>
          <w:highlight w:val="none"/>
          <w:lang w:eastAsia="zh-CN"/>
        </w:rPr>
        <w:t>附件</w:t>
      </w:r>
      <w:r>
        <w:rPr>
          <w:rFonts w:hint="eastAsia" w:asciiTheme="minorEastAsia" w:hAnsiTheme="minorEastAsia" w:cstheme="minorEastAsia"/>
          <w:b/>
          <w:bCs/>
          <w:color w:val="auto"/>
          <w:kern w:val="0"/>
          <w:sz w:val="28"/>
          <w:szCs w:val="28"/>
          <w:highlight w:val="none"/>
          <w:lang w:val="en-US" w:eastAsia="zh-CN"/>
        </w:rPr>
        <w:t>5</w:t>
      </w:r>
      <w:r>
        <w:rPr>
          <w:rFonts w:hint="eastAsia" w:asciiTheme="minorEastAsia" w:hAnsiTheme="minorEastAsia" w:eastAsiaTheme="minorEastAsia" w:cstheme="minorEastAsia"/>
          <w:b/>
          <w:bCs/>
          <w:color w:val="auto"/>
          <w:kern w:val="0"/>
          <w:sz w:val="28"/>
          <w:szCs w:val="28"/>
          <w:highlight w:val="none"/>
        </w:rPr>
        <w:t>-1：</w:t>
      </w:r>
    </w:p>
    <w:p w14:paraId="385E91C9">
      <w:pPr>
        <w:keepNext w:val="0"/>
        <w:keepLines w:val="0"/>
        <w:pageBreakBefore w:val="0"/>
        <w:widowControl/>
        <w:kinsoku/>
        <w:wordWrap/>
        <w:overflowPunct/>
        <w:topLinePunct w:val="0"/>
        <w:autoSpaceDE/>
        <w:autoSpaceDN/>
        <w:bidi w:val="0"/>
        <w:snapToGrid/>
        <w:spacing w:beforeAutospacing="0" w:afterAutospacing="0" w:line="360" w:lineRule="auto"/>
        <w:ind w:firstLine="560" w:firstLineChars="200"/>
        <w:jc w:val="center"/>
        <w:textAlignment w:val="auto"/>
        <w:rPr>
          <w:rFonts w:hint="eastAsia" w:asciiTheme="minorEastAsia" w:hAnsiTheme="minorEastAsia" w:cstheme="minorEastAsia"/>
          <w:color w:val="auto"/>
          <w:kern w:val="0"/>
          <w:sz w:val="28"/>
          <w:szCs w:val="28"/>
          <w:highlight w:val="none"/>
          <w:u w:val="none"/>
          <w:lang w:val="en-US" w:eastAsia="zh-CN"/>
        </w:rPr>
      </w:pPr>
      <w:r>
        <w:rPr>
          <w:rFonts w:hint="eastAsia" w:asciiTheme="minorEastAsia" w:hAnsiTheme="minorEastAsia" w:cstheme="minorEastAsia"/>
          <w:color w:val="auto"/>
          <w:kern w:val="0"/>
          <w:sz w:val="28"/>
          <w:szCs w:val="28"/>
          <w:highlight w:val="none"/>
          <w:u w:val="none"/>
          <w:lang w:val="en-US" w:eastAsia="zh-CN"/>
        </w:rPr>
        <w:t>科研试剂耗材线上平台</w:t>
      </w:r>
    </w:p>
    <w:p w14:paraId="2AD988E7">
      <w:pPr>
        <w:keepNext w:val="0"/>
        <w:keepLines w:val="0"/>
        <w:pageBreakBefore w:val="0"/>
        <w:widowControl/>
        <w:kinsoku/>
        <w:wordWrap/>
        <w:overflowPunct/>
        <w:topLinePunct w:val="0"/>
        <w:autoSpaceDE/>
        <w:autoSpaceDN/>
        <w:bidi w:val="0"/>
        <w:snapToGrid/>
        <w:spacing w:beforeAutospacing="0" w:afterAutospacing="0" w:line="360" w:lineRule="auto"/>
        <w:ind w:firstLine="560" w:firstLineChars="200"/>
        <w:jc w:val="center"/>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kern w:val="0"/>
          <w:sz w:val="28"/>
          <w:szCs w:val="28"/>
          <w:highlight w:val="none"/>
          <w:lang w:val="en-US" w:eastAsia="zh-CN"/>
        </w:rPr>
        <w:t>报价一览表</w:t>
      </w:r>
    </w:p>
    <w:tbl>
      <w:tblPr>
        <w:tblStyle w:val="14"/>
        <w:tblW w:w="9597" w:type="dxa"/>
        <w:jc w:val="center"/>
        <w:tblLayout w:type="fixed"/>
        <w:tblCellMar>
          <w:top w:w="0" w:type="dxa"/>
          <w:left w:w="0" w:type="dxa"/>
          <w:bottom w:w="0" w:type="dxa"/>
          <w:right w:w="0" w:type="dxa"/>
        </w:tblCellMar>
      </w:tblPr>
      <w:tblGrid>
        <w:gridCol w:w="722"/>
        <w:gridCol w:w="1909"/>
        <w:gridCol w:w="1895"/>
        <w:gridCol w:w="1558"/>
        <w:gridCol w:w="1589"/>
        <w:gridCol w:w="1924"/>
      </w:tblGrid>
      <w:tr w14:paraId="0296474D">
        <w:tblPrEx>
          <w:tblCellMar>
            <w:top w:w="0" w:type="dxa"/>
            <w:left w:w="0" w:type="dxa"/>
            <w:bottom w:w="0" w:type="dxa"/>
            <w:right w:w="0" w:type="dxa"/>
          </w:tblCellMar>
        </w:tblPrEx>
        <w:trPr>
          <w:trHeight w:val="1493"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0B698">
            <w:pPr>
              <w:keepNext w:val="0"/>
              <w:keepLines w:val="0"/>
              <w:pageBreakBefore w:val="0"/>
              <w:widowControl/>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bidi="ar"/>
              </w:rPr>
              <w:t>序号</w:t>
            </w:r>
          </w:p>
        </w:tc>
        <w:tc>
          <w:tcPr>
            <w:tcW w:w="1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E553A">
            <w:pPr>
              <w:keepNext w:val="0"/>
              <w:keepLines w:val="0"/>
              <w:pageBreakBefore w:val="0"/>
              <w:widowControl/>
              <w:kinsoku/>
              <w:wordWrap/>
              <w:overflowPunct/>
              <w:topLinePunct w:val="0"/>
              <w:autoSpaceDE/>
              <w:autoSpaceDN/>
              <w:bidi w:val="0"/>
              <w:spacing w:line="360" w:lineRule="auto"/>
              <w:jc w:val="center"/>
              <w:textAlignment w:val="center"/>
              <w:rPr>
                <w:rFonts w:hint="default"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cstheme="minorEastAsia"/>
                <w:b/>
                <w:bCs/>
                <w:color w:val="auto"/>
                <w:kern w:val="0"/>
                <w:sz w:val="24"/>
                <w:szCs w:val="24"/>
                <w:highlight w:val="none"/>
                <w:lang w:val="en-US" w:eastAsia="zh-CN" w:bidi="ar"/>
              </w:rPr>
              <w:t>报价项目</w:t>
            </w:r>
          </w:p>
        </w:tc>
        <w:tc>
          <w:tcPr>
            <w:tcW w:w="1895" w:type="dxa"/>
            <w:tcBorders>
              <w:top w:val="single" w:color="000000"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64DA2E3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color w:val="auto"/>
                <w:kern w:val="0"/>
                <w:sz w:val="24"/>
                <w:szCs w:val="24"/>
                <w:highlight w:val="none"/>
                <w:lang w:val="en-US" w:eastAsia="zh-CN" w:bidi="ar"/>
              </w:rPr>
            </w:pPr>
            <w:r>
              <w:rPr>
                <w:rFonts w:asciiTheme="minorEastAsia" w:hAnsiTheme="minorEastAsia" w:eastAsiaTheme="minorEastAsia" w:cstheme="minorEastAsia"/>
                <w:b/>
                <w:bCs/>
                <w:color w:val="auto"/>
                <w:kern w:val="0"/>
                <w:sz w:val="24"/>
                <w:szCs w:val="24"/>
                <w:highlight w:val="none"/>
                <w:lang w:bidi="ar"/>
              </w:rPr>
              <w:t>费用承担主体</w:t>
            </w:r>
          </w:p>
        </w:tc>
        <w:tc>
          <w:tcPr>
            <w:tcW w:w="1558"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41330B0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b/>
                <w:bCs/>
                <w:color w:val="auto"/>
                <w:kern w:val="0"/>
                <w:sz w:val="24"/>
                <w:szCs w:val="24"/>
                <w:highlight w:val="none"/>
                <w:vertAlign w:val="baseline"/>
                <w:lang w:val="en-US" w:eastAsia="zh-CN" w:bidi="ar"/>
              </w:rPr>
            </w:pPr>
            <w:r>
              <w:rPr>
                <w:rFonts w:asciiTheme="minorEastAsia" w:hAnsiTheme="minorEastAsia" w:eastAsiaTheme="minorEastAsia" w:cstheme="minorEastAsia"/>
                <w:b/>
                <w:bCs/>
                <w:color w:val="auto"/>
                <w:kern w:val="0"/>
                <w:sz w:val="24"/>
                <w:szCs w:val="24"/>
                <w:highlight w:val="none"/>
                <w:lang w:bidi="ar"/>
              </w:rPr>
              <w:t>计费基数</w:t>
            </w:r>
          </w:p>
        </w:tc>
        <w:tc>
          <w:tcPr>
            <w:tcW w:w="1589"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73C88C41">
            <w:pPr>
              <w:keepNext w:val="0"/>
              <w:keepLines w:val="0"/>
              <w:pageBreakBefore w:val="0"/>
              <w:widowControl/>
              <w:kinsoku/>
              <w:wordWrap/>
              <w:overflowPunct/>
              <w:topLinePunct w:val="0"/>
              <w:autoSpaceDE/>
              <w:autoSpaceDN/>
              <w:bidi w:val="0"/>
              <w:adjustRightInd/>
              <w:snapToGrid/>
              <w:spacing w:after="0" w:line="360" w:lineRule="auto"/>
              <w:jc w:val="center"/>
              <w:textAlignment w:val="center"/>
              <w:rPr>
                <w:rFonts w:hint="default" w:asciiTheme="minorEastAsia" w:hAnsiTheme="minorEastAsia" w:eastAsiaTheme="minorEastAsia" w:cstheme="minorEastAsia"/>
                <w:b/>
                <w:bCs/>
                <w:color w:val="auto"/>
                <w:kern w:val="0"/>
                <w:sz w:val="24"/>
                <w:szCs w:val="24"/>
                <w:highlight w:val="none"/>
                <w:lang w:val="en-US" w:eastAsia="zh-CN" w:bidi="ar"/>
              </w:rPr>
            </w:pPr>
            <w:r>
              <w:rPr>
                <w:rFonts w:asciiTheme="minorEastAsia" w:hAnsiTheme="minorEastAsia" w:eastAsiaTheme="minorEastAsia" w:cstheme="minorEastAsia"/>
                <w:b/>
                <w:bCs/>
                <w:color w:val="auto"/>
                <w:kern w:val="0"/>
                <w:sz w:val="24"/>
                <w:szCs w:val="24"/>
                <w:highlight w:val="none"/>
                <w:lang w:bidi="ar"/>
              </w:rPr>
              <w:t>最高</w:t>
            </w:r>
            <w:r>
              <w:rPr>
                <w:rFonts w:hint="default" w:asciiTheme="minorEastAsia" w:hAnsiTheme="minorEastAsia" w:cstheme="minorEastAsia"/>
                <w:b/>
                <w:bCs/>
                <w:color w:val="auto"/>
                <w:kern w:val="0"/>
                <w:sz w:val="24"/>
                <w:szCs w:val="24"/>
                <w:highlight w:val="none"/>
                <w:lang w:val="en-US" w:eastAsia="zh-CN" w:bidi="ar"/>
              </w:rPr>
              <w:t>费率</w:t>
            </w:r>
            <w:r>
              <w:rPr>
                <w:rFonts w:asciiTheme="minorEastAsia" w:hAnsiTheme="minorEastAsia" w:eastAsiaTheme="minorEastAsia" w:cstheme="minorEastAsia"/>
                <w:b/>
                <w:bCs/>
                <w:color w:val="auto"/>
                <w:kern w:val="0"/>
                <w:sz w:val="24"/>
                <w:szCs w:val="24"/>
                <w:highlight w:val="none"/>
                <w:lang w:bidi="ar"/>
              </w:rPr>
              <w:t>限价</w:t>
            </w:r>
          </w:p>
        </w:tc>
        <w:tc>
          <w:tcPr>
            <w:tcW w:w="192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585AD7A">
            <w:pPr>
              <w:keepNext w:val="0"/>
              <w:keepLines w:val="0"/>
              <w:pageBreakBefore w:val="0"/>
              <w:widowControl/>
              <w:kinsoku/>
              <w:wordWrap/>
              <w:overflowPunct/>
              <w:topLinePunct w:val="0"/>
              <w:autoSpaceDE/>
              <w:autoSpaceDN/>
              <w:bidi w:val="0"/>
              <w:spacing w:line="360" w:lineRule="auto"/>
              <w:ind w:firstLine="0" w:firstLineChars="0"/>
              <w:jc w:val="center"/>
              <w:textAlignment w:val="center"/>
              <w:rPr>
                <w:rFonts w:hint="default" w:asciiTheme="minorEastAsia" w:hAnsiTheme="minorEastAsia" w:eastAsiaTheme="minorEastAsia" w:cstheme="minorEastAsia"/>
                <w:b/>
                <w:bCs/>
                <w:color w:val="auto"/>
                <w:kern w:val="0"/>
                <w:sz w:val="24"/>
                <w:szCs w:val="24"/>
                <w:highlight w:val="none"/>
                <w:lang w:bidi="ar"/>
              </w:rPr>
            </w:pPr>
            <w:r>
              <w:rPr>
                <w:rFonts w:asciiTheme="minorEastAsia" w:hAnsiTheme="minorEastAsia" w:eastAsiaTheme="minorEastAsia" w:cstheme="minorEastAsia"/>
                <w:b/>
                <w:bCs/>
                <w:color w:val="auto"/>
                <w:kern w:val="0"/>
                <w:sz w:val="24"/>
                <w:szCs w:val="24"/>
                <w:highlight w:val="none"/>
                <w:lang w:bidi="ar"/>
              </w:rPr>
              <w:t>投标交易服务费率（%）</w:t>
            </w:r>
          </w:p>
        </w:tc>
      </w:tr>
      <w:tr w14:paraId="0FE1A212">
        <w:tblPrEx>
          <w:tblCellMar>
            <w:top w:w="0" w:type="dxa"/>
            <w:left w:w="0" w:type="dxa"/>
            <w:bottom w:w="0" w:type="dxa"/>
            <w:right w:w="0" w:type="dxa"/>
          </w:tblCellMar>
        </w:tblPrEx>
        <w:trPr>
          <w:trHeight w:val="743"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34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cstheme="minorEastAsia"/>
                <w:color w:val="auto"/>
                <w:sz w:val="24"/>
                <w:szCs w:val="24"/>
                <w:highlight w:val="none"/>
                <w:vertAlign w:val="baseline"/>
                <w:lang w:val="en-US" w:eastAsia="zh-CN"/>
              </w:rPr>
              <w:t>1</w:t>
            </w:r>
          </w:p>
        </w:tc>
        <w:tc>
          <w:tcPr>
            <w:tcW w:w="1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96676">
            <w:pPr>
              <w:widowControl/>
              <w:spacing w:line="440" w:lineRule="exact"/>
              <w:jc w:val="center"/>
              <w:rPr>
                <w:rFonts w:hint="eastAsia" w:asciiTheme="minorEastAsia" w:hAnsiTheme="minorEastAsia" w:eastAsiaTheme="minorEastAsia" w:cstheme="minorEastAsia"/>
                <w:color w:val="000000"/>
                <w:kern w:val="2"/>
                <w:sz w:val="24"/>
                <w:szCs w:val="24"/>
                <w:lang w:val="en-US" w:eastAsia="zh-CN" w:bidi="ar-SA"/>
              </w:rPr>
            </w:pPr>
            <w:r>
              <w:rPr>
                <w:rFonts w:ascii="宋体" w:hAnsi="宋体" w:eastAsia="宋体" w:cs="宋体"/>
                <w:sz w:val="24"/>
                <w:szCs w:val="24"/>
              </w:rPr>
              <w:t>入驻供应商交易服务费率</w:t>
            </w:r>
          </w:p>
        </w:tc>
        <w:tc>
          <w:tcPr>
            <w:tcW w:w="1895" w:type="dxa"/>
            <w:tcBorders>
              <w:top w:val="single" w:color="000000"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6733626F">
            <w:pPr>
              <w:keepNext w:val="0"/>
              <w:keepLines w:val="0"/>
              <w:pageBreakBefore w:val="0"/>
              <w:widowControl/>
              <w:kinsoku/>
              <w:overflowPunct/>
              <w:topLinePunct w:val="0"/>
              <w:autoSpaceDE/>
              <w:autoSpaceDN/>
              <w:bidi w:val="0"/>
              <w:spacing w:line="360" w:lineRule="auto"/>
              <w:jc w:val="center"/>
              <w:rPr>
                <w:rFonts w:hint="default" w:asciiTheme="minorEastAsia" w:hAnsiTheme="minorEastAsia" w:eastAsiaTheme="minorEastAsia" w:cstheme="minorEastAsia"/>
                <w:color w:val="000000"/>
                <w:sz w:val="24"/>
                <w:szCs w:val="24"/>
                <w:lang w:val="en-US" w:eastAsia="zh-CN"/>
              </w:rPr>
            </w:pPr>
            <w:r>
              <w:rPr>
                <w:rFonts w:ascii="宋体" w:hAnsi="宋体" w:eastAsia="宋体" w:cs="宋体"/>
                <w:sz w:val="24"/>
                <w:szCs w:val="24"/>
              </w:rPr>
              <w:t>入驻供应商</w:t>
            </w:r>
          </w:p>
        </w:tc>
        <w:tc>
          <w:tcPr>
            <w:tcW w:w="1558"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37820BC9">
            <w:pPr>
              <w:keepNext w:val="0"/>
              <w:keepLines w:val="0"/>
              <w:pageBreakBefore w:val="0"/>
              <w:widowControl/>
              <w:kinsoku/>
              <w:overflowPunct/>
              <w:topLinePunct w:val="0"/>
              <w:autoSpaceDE/>
              <w:autoSpaceDN/>
              <w:bidi w:val="0"/>
              <w:spacing w:line="360" w:lineRule="auto"/>
              <w:jc w:val="center"/>
              <w:rPr>
                <w:rFonts w:hint="default" w:asciiTheme="minorEastAsia" w:hAnsiTheme="minorEastAsia" w:cstheme="minorEastAsia"/>
                <w:color w:val="000000"/>
                <w:sz w:val="24"/>
                <w:szCs w:val="24"/>
                <w:lang w:val="en-US" w:eastAsia="zh-CN"/>
              </w:rPr>
            </w:pPr>
            <w:r>
              <w:rPr>
                <w:rFonts w:ascii="宋体" w:hAnsi="宋体" w:eastAsia="宋体" w:cs="宋体"/>
                <w:sz w:val="24"/>
                <w:szCs w:val="24"/>
              </w:rPr>
              <w:t>实际完成结算的有效订单含税成交金额</w:t>
            </w:r>
          </w:p>
        </w:tc>
        <w:tc>
          <w:tcPr>
            <w:tcW w:w="1589"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7934090">
            <w:pPr>
              <w:keepNext w:val="0"/>
              <w:keepLines w:val="0"/>
              <w:pageBreakBefore w:val="0"/>
              <w:widowControl/>
              <w:kinsoku/>
              <w:overflowPunct/>
              <w:topLinePunct w:val="0"/>
              <w:autoSpaceDE/>
              <w:autoSpaceDN/>
              <w:bidi w:val="0"/>
              <w:adjustRightInd w:val="0"/>
              <w:snapToGrid w:val="0"/>
              <w:spacing w:after="0" w:line="360" w:lineRule="auto"/>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ascii="宋体" w:hAnsi="宋体" w:eastAsia="宋体" w:cs="宋体"/>
                <w:sz w:val="24"/>
                <w:szCs w:val="24"/>
              </w:rPr>
              <w:t>5.00%</w:t>
            </w:r>
          </w:p>
        </w:tc>
        <w:tc>
          <w:tcPr>
            <w:tcW w:w="192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A816726">
            <w:pPr>
              <w:keepNext w:val="0"/>
              <w:keepLines w:val="0"/>
              <w:pageBreakBefore w:val="0"/>
              <w:widowControl/>
              <w:kinsoku/>
              <w:wordWrap/>
              <w:overflowPunct/>
              <w:topLinePunct w:val="0"/>
              <w:autoSpaceDE/>
              <w:autoSpaceDN/>
              <w:bidi w:val="0"/>
              <w:adjustRightInd/>
              <w:snapToGrid/>
              <w:spacing w:line="360" w:lineRule="auto"/>
              <w:ind w:firstLine="720" w:firstLineChars="300"/>
              <w:jc w:val="both"/>
              <w:textAlignment w:val="auto"/>
              <w:rPr>
                <w:rFonts w:hint="eastAsia" w:asciiTheme="minorEastAsia" w:hAnsiTheme="minorEastAsia" w:eastAsiaTheme="minorEastAsia" w:cstheme="minorEastAsia"/>
                <w:b/>
                <w:bCs/>
                <w:color w:val="auto"/>
                <w:kern w:val="0"/>
                <w:sz w:val="24"/>
                <w:szCs w:val="24"/>
                <w:highlight w:val="none"/>
                <w:lang w:bidi="ar"/>
              </w:rPr>
            </w:pPr>
            <w:r>
              <w:rPr>
                <w:rFonts w:ascii="宋体" w:hAnsi="宋体" w:eastAsia="宋体" w:cs="宋体"/>
                <w:sz w:val="24"/>
                <w:szCs w:val="24"/>
              </w:rPr>
              <w:t>____%</w:t>
            </w:r>
          </w:p>
        </w:tc>
      </w:tr>
    </w:tbl>
    <w:p w14:paraId="1B9D869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注：</w:t>
      </w:r>
    </w:p>
    <w:p w14:paraId="01799D2A">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1.投标报价是投标人拟向入驻供应商收取的交易服务费率，不是采购人支付的平台建设费或服务费。</w:t>
      </w:r>
    </w:p>
    <w:p w14:paraId="08092526">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2交易服务费=平台实际完成结算的有效订单含税成交金额×投标交易服务费率；取消、退货、退款及未实际结算的订单金额不计入计费基数。</w:t>
      </w:r>
    </w:p>
    <w:p w14:paraId="5BA8B8A9">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3.投标报价应为唯一、固定的百分比，保留小数点后2位；不得采用分品类、分品牌、分供应商、分交易额区间或者附条件报价。</w:t>
      </w:r>
    </w:p>
    <w:p w14:paraId="46B96172">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4.投标交易服务费率不得高于5.00%，否则投标文件无效。</w:t>
      </w:r>
    </w:p>
    <w:p w14:paraId="42E15B2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5.本项目采购人预算为0元。投标人不得向采购人收取平台使用费、系统建设费、入驻费、交易佣金、运维费或其他类似费用。</w:t>
      </w:r>
    </w:p>
    <w:p w14:paraId="0BD6A9D8">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供应商名称：（盖章）</w:t>
      </w:r>
    </w:p>
    <w:p w14:paraId="1AF1C718">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法定代表人或授权代表（签字）：</w:t>
      </w:r>
    </w:p>
    <w:p w14:paraId="776A1E84">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日期：</w:t>
      </w:r>
    </w:p>
    <w:p w14:paraId="32581602">
      <w:pPr>
        <w:keepNext w:val="0"/>
        <w:keepLines w:val="0"/>
        <w:pageBreakBefore w:val="0"/>
        <w:widowControl/>
        <w:kinsoku/>
        <w:wordWrap/>
        <w:overflowPunct/>
        <w:topLinePunct w:val="0"/>
        <w:autoSpaceDE/>
        <w:autoSpaceDN/>
        <w:bidi w:val="0"/>
        <w:snapToGrid/>
        <w:spacing w:beforeAutospacing="0" w:afterAutospacing="0" w:line="360" w:lineRule="auto"/>
        <w:ind w:firstLine="562" w:firstLineChars="200"/>
        <w:jc w:val="left"/>
        <w:textAlignment w:val="auto"/>
        <w:rPr>
          <w:rFonts w:hint="eastAsia" w:asciiTheme="minorEastAsia" w:hAnsiTheme="minorEastAsia" w:eastAsiaTheme="minorEastAsia" w:cstheme="minorEastAsia"/>
          <w:color w:val="auto"/>
          <w:kern w:val="0"/>
          <w:sz w:val="28"/>
          <w:szCs w:val="28"/>
          <w:highlight w:val="none"/>
          <w:u w:val="none"/>
          <w:lang w:val="en-US" w:eastAsia="zh-CN"/>
        </w:rPr>
      </w:pPr>
      <w:r>
        <w:rPr>
          <w:rFonts w:hint="eastAsia" w:asciiTheme="minorEastAsia" w:hAnsiTheme="minorEastAsia" w:eastAsiaTheme="minorEastAsia" w:cstheme="minorEastAsia"/>
          <w:b/>
          <w:bCs/>
          <w:color w:val="auto"/>
          <w:kern w:val="0"/>
          <w:sz w:val="28"/>
          <w:szCs w:val="28"/>
          <w:highlight w:val="none"/>
          <w:shd w:val="clear" w:color="auto" w:fill="FFFFFF"/>
        </w:rPr>
        <w:br w:type="page"/>
      </w:r>
      <w:r>
        <w:rPr>
          <w:rFonts w:hint="eastAsia" w:ascii="宋体" w:hAnsi="宋体" w:eastAsia="宋体" w:cs="宋体"/>
          <w:b/>
          <w:bCs/>
          <w:color w:val="auto"/>
          <w:kern w:val="0"/>
          <w:sz w:val="30"/>
          <w:szCs w:val="30"/>
          <w:highlight w:val="none"/>
        </w:rPr>
        <w:t>附件</w:t>
      </w:r>
      <w:r>
        <w:rPr>
          <w:rFonts w:hint="eastAsia" w:ascii="宋体" w:hAnsi="宋体" w:eastAsia="宋体" w:cs="宋体"/>
          <w:b/>
          <w:bCs/>
          <w:color w:val="auto"/>
          <w:kern w:val="0"/>
          <w:sz w:val="30"/>
          <w:szCs w:val="30"/>
          <w:highlight w:val="none"/>
          <w:lang w:val="en-US" w:eastAsia="zh-CN"/>
        </w:rPr>
        <w:t>5</w:t>
      </w:r>
      <w:r>
        <w:rPr>
          <w:rFonts w:hint="eastAsia" w:ascii="宋体" w:hAnsi="宋体" w:eastAsia="宋体" w:cs="宋体"/>
          <w:b/>
          <w:bCs/>
          <w:color w:val="auto"/>
          <w:kern w:val="0"/>
          <w:sz w:val="30"/>
          <w:szCs w:val="30"/>
          <w:highlight w:val="none"/>
        </w:rPr>
        <w:t>-</w:t>
      </w:r>
      <w:r>
        <w:rPr>
          <w:rFonts w:hint="eastAsia" w:ascii="宋体" w:hAnsi="宋体" w:eastAsia="宋体" w:cs="宋体"/>
          <w:b/>
          <w:bCs/>
          <w:color w:val="auto"/>
          <w:kern w:val="0"/>
          <w:sz w:val="30"/>
          <w:szCs w:val="30"/>
          <w:highlight w:val="none"/>
          <w:lang w:val="en-US" w:eastAsia="zh-CN"/>
        </w:rPr>
        <w:t>2</w:t>
      </w:r>
      <w:r>
        <w:rPr>
          <w:rFonts w:hint="eastAsia" w:ascii="宋体" w:hAnsi="宋体" w:eastAsia="宋体" w:cs="宋体"/>
          <w:b/>
          <w:bCs/>
          <w:color w:val="auto"/>
          <w:kern w:val="0"/>
          <w:sz w:val="30"/>
          <w:szCs w:val="30"/>
          <w:highlight w:val="none"/>
        </w:rPr>
        <w:t>：</w:t>
      </w:r>
    </w:p>
    <w:p w14:paraId="29102F9B">
      <w:pPr>
        <w:keepNext w:val="0"/>
        <w:keepLines w:val="0"/>
        <w:pageBreakBefore w:val="0"/>
        <w:widowControl/>
        <w:kinsoku/>
        <w:wordWrap/>
        <w:overflowPunct/>
        <w:topLinePunct w:val="0"/>
        <w:autoSpaceDE/>
        <w:autoSpaceDN/>
        <w:bidi w:val="0"/>
        <w:snapToGrid/>
        <w:spacing w:beforeAutospacing="0" w:afterAutospacing="0" w:line="360" w:lineRule="auto"/>
        <w:ind w:firstLine="560" w:firstLineChars="200"/>
        <w:jc w:val="center"/>
        <w:textAlignment w:val="auto"/>
        <w:rPr>
          <w:rFonts w:hint="eastAsia" w:asciiTheme="minorEastAsia" w:hAnsiTheme="minorEastAsia" w:cstheme="minorEastAsia"/>
          <w:color w:val="auto"/>
          <w:kern w:val="0"/>
          <w:sz w:val="28"/>
          <w:szCs w:val="28"/>
          <w:highlight w:val="none"/>
          <w:u w:val="none"/>
          <w:lang w:val="en-US" w:eastAsia="zh-CN"/>
        </w:rPr>
      </w:pPr>
      <w:r>
        <w:rPr>
          <w:rFonts w:hint="eastAsia" w:asciiTheme="minorEastAsia" w:hAnsiTheme="minorEastAsia" w:cstheme="minorEastAsia"/>
          <w:color w:val="auto"/>
          <w:kern w:val="0"/>
          <w:sz w:val="28"/>
          <w:szCs w:val="28"/>
          <w:highlight w:val="none"/>
          <w:u w:val="none"/>
          <w:lang w:val="en-US" w:eastAsia="zh-CN"/>
        </w:rPr>
        <w:t>科研试剂耗材线上平台</w:t>
      </w:r>
    </w:p>
    <w:p w14:paraId="751F8A3D">
      <w:pPr>
        <w:keepNext w:val="0"/>
        <w:keepLines w:val="0"/>
        <w:pageBreakBefore w:val="0"/>
        <w:widowControl/>
        <w:kinsoku/>
        <w:wordWrap/>
        <w:overflowPunct/>
        <w:topLinePunct w:val="0"/>
        <w:autoSpaceDE/>
        <w:autoSpaceDN/>
        <w:bidi w:val="0"/>
        <w:snapToGrid/>
        <w:spacing w:beforeAutospacing="0" w:afterAutospacing="0" w:line="360" w:lineRule="auto"/>
        <w:ind w:firstLine="560" w:firstLineChars="200"/>
        <w:jc w:val="center"/>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cstheme="minorEastAsia"/>
          <w:color w:val="auto"/>
          <w:kern w:val="0"/>
          <w:sz w:val="28"/>
          <w:szCs w:val="28"/>
          <w:highlight w:val="none"/>
          <w:lang w:val="en-US" w:eastAsia="zh-CN"/>
        </w:rPr>
        <w:t>最后</w:t>
      </w:r>
      <w:r>
        <w:rPr>
          <w:rFonts w:hint="eastAsia" w:asciiTheme="minorEastAsia" w:hAnsiTheme="minorEastAsia" w:eastAsiaTheme="minorEastAsia" w:cstheme="minorEastAsia"/>
          <w:color w:val="auto"/>
          <w:kern w:val="0"/>
          <w:sz w:val="28"/>
          <w:szCs w:val="28"/>
          <w:highlight w:val="none"/>
          <w:lang w:val="en-US" w:eastAsia="zh-CN"/>
        </w:rPr>
        <w:t>报价一览表</w:t>
      </w:r>
    </w:p>
    <w:tbl>
      <w:tblPr>
        <w:tblStyle w:val="14"/>
        <w:tblW w:w="9597" w:type="dxa"/>
        <w:jc w:val="center"/>
        <w:tblLayout w:type="fixed"/>
        <w:tblCellMar>
          <w:top w:w="0" w:type="dxa"/>
          <w:left w:w="0" w:type="dxa"/>
          <w:bottom w:w="0" w:type="dxa"/>
          <w:right w:w="0" w:type="dxa"/>
        </w:tblCellMar>
      </w:tblPr>
      <w:tblGrid>
        <w:gridCol w:w="722"/>
        <w:gridCol w:w="1909"/>
        <w:gridCol w:w="1895"/>
        <w:gridCol w:w="1558"/>
        <w:gridCol w:w="1589"/>
        <w:gridCol w:w="1924"/>
      </w:tblGrid>
      <w:tr w14:paraId="4C1F61C8">
        <w:tblPrEx>
          <w:tblCellMar>
            <w:top w:w="0" w:type="dxa"/>
            <w:left w:w="0" w:type="dxa"/>
            <w:bottom w:w="0" w:type="dxa"/>
            <w:right w:w="0" w:type="dxa"/>
          </w:tblCellMar>
        </w:tblPrEx>
        <w:trPr>
          <w:trHeight w:val="1493"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44E19">
            <w:pPr>
              <w:keepNext w:val="0"/>
              <w:keepLines w:val="0"/>
              <w:pageBreakBefore w:val="0"/>
              <w:widowControl/>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bidi="ar"/>
              </w:rPr>
              <w:t>序号</w:t>
            </w:r>
          </w:p>
        </w:tc>
        <w:tc>
          <w:tcPr>
            <w:tcW w:w="1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8FC03">
            <w:pPr>
              <w:keepNext w:val="0"/>
              <w:keepLines w:val="0"/>
              <w:pageBreakBefore w:val="0"/>
              <w:widowControl/>
              <w:kinsoku/>
              <w:wordWrap/>
              <w:overflowPunct/>
              <w:topLinePunct w:val="0"/>
              <w:autoSpaceDE/>
              <w:autoSpaceDN/>
              <w:bidi w:val="0"/>
              <w:spacing w:line="360" w:lineRule="auto"/>
              <w:jc w:val="center"/>
              <w:textAlignment w:val="center"/>
              <w:rPr>
                <w:rFonts w:hint="default"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cstheme="minorEastAsia"/>
                <w:b/>
                <w:bCs/>
                <w:color w:val="auto"/>
                <w:kern w:val="0"/>
                <w:sz w:val="24"/>
                <w:szCs w:val="24"/>
                <w:highlight w:val="none"/>
                <w:lang w:val="en-US" w:eastAsia="zh-CN" w:bidi="ar"/>
              </w:rPr>
              <w:t>报价项目</w:t>
            </w:r>
          </w:p>
        </w:tc>
        <w:tc>
          <w:tcPr>
            <w:tcW w:w="1895" w:type="dxa"/>
            <w:tcBorders>
              <w:top w:val="single" w:color="000000"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2D887E7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color w:val="auto"/>
                <w:kern w:val="0"/>
                <w:sz w:val="24"/>
                <w:szCs w:val="24"/>
                <w:highlight w:val="none"/>
                <w:lang w:val="en-US" w:eastAsia="zh-CN" w:bidi="ar"/>
              </w:rPr>
            </w:pPr>
            <w:r>
              <w:rPr>
                <w:rFonts w:asciiTheme="minorEastAsia" w:hAnsiTheme="minorEastAsia" w:eastAsiaTheme="minorEastAsia" w:cstheme="minorEastAsia"/>
                <w:b/>
                <w:bCs/>
                <w:color w:val="auto"/>
                <w:kern w:val="0"/>
                <w:sz w:val="24"/>
                <w:szCs w:val="24"/>
                <w:highlight w:val="none"/>
                <w:lang w:bidi="ar"/>
              </w:rPr>
              <w:t>费用承担主体</w:t>
            </w:r>
          </w:p>
        </w:tc>
        <w:tc>
          <w:tcPr>
            <w:tcW w:w="1558"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1AD2FB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b/>
                <w:bCs/>
                <w:color w:val="auto"/>
                <w:kern w:val="0"/>
                <w:sz w:val="24"/>
                <w:szCs w:val="24"/>
                <w:highlight w:val="none"/>
                <w:vertAlign w:val="baseline"/>
                <w:lang w:val="en-US" w:eastAsia="zh-CN" w:bidi="ar"/>
              </w:rPr>
            </w:pPr>
            <w:r>
              <w:rPr>
                <w:rFonts w:asciiTheme="minorEastAsia" w:hAnsiTheme="minorEastAsia" w:eastAsiaTheme="minorEastAsia" w:cstheme="minorEastAsia"/>
                <w:b/>
                <w:bCs/>
                <w:color w:val="auto"/>
                <w:kern w:val="0"/>
                <w:sz w:val="24"/>
                <w:szCs w:val="24"/>
                <w:highlight w:val="none"/>
                <w:lang w:bidi="ar"/>
              </w:rPr>
              <w:t>计费基数</w:t>
            </w:r>
          </w:p>
        </w:tc>
        <w:tc>
          <w:tcPr>
            <w:tcW w:w="1589"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27E39B03">
            <w:pPr>
              <w:keepNext w:val="0"/>
              <w:keepLines w:val="0"/>
              <w:pageBreakBefore w:val="0"/>
              <w:widowControl/>
              <w:kinsoku/>
              <w:wordWrap/>
              <w:overflowPunct/>
              <w:topLinePunct w:val="0"/>
              <w:autoSpaceDE/>
              <w:autoSpaceDN/>
              <w:bidi w:val="0"/>
              <w:adjustRightInd/>
              <w:snapToGrid/>
              <w:spacing w:after="0" w:line="360" w:lineRule="auto"/>
              <w:jc w:val="center"/>
              <w:textAlignment w:val="center"/>
              <w:rPr>
                <w:rFonts w:hint="default" w:asciiTheme="minorEastAsia" w:hAnsiTheme="minorEastAsia" w:eastAsiaTheme="minorEastAsia" w:cstheme="minorEastAsia"/>
                <w:b/>
                <w:bCs/>
                <w:color w:val="auto"/>
                <w:kern w:val="0"/>
                <w:sz w:val="24"/>
                <w:szCs w:val="24"/>
                <w:highlight w:val="none"/>
                <w:lang w:val="en-US" w:eastAsia="zh-CN" w:bidi="ar"/>
              </w:rPr>
            </w:pPr>
            <w:r>
              <w:rPr>
                <w:rFonts w:asciiTheme="minorEastAsia" w:hAnsiTheme="minorEastAsia" w:eastAsiaTheme="minorEastAsia" w:cstheme="minorEastAsia"/>
                <w:b/>
                <w:bCs/>
                <w:color w:val="auto"/>
                <w:kern w:val="0"/>
                <w:sz w:val="24"/>
                <w:szCs w:val="24"/>
                <w:highlight w:val="none"/>
                <w:lang w:bidi="ar"/>
              </w:rPr>
              <w:t>最高</w:t>
            </w:r>
            <w:r>
              <w:rPr>
                <w:rFonts w:hint="default" w:asciiTheme="minorEastAsia" w:hAnsiTheme="minorEastAsia" w:cstheme="minorEastAsia"/>
                <w:b/>
                <w:bCs/>
                <w:color w:val="auto"/>
                <w:kern w:val="0"/>
                <w:sz w:val="24"/>
                <w:szCs w:val="24"/>
                <w:highlight w:val="none"/>
                <w:lang w:val="en-US" w:eastAsia="zh-CN" w:bidi="ar"/>
              </w:rPr>
              <w:t>费率</w:t>
            </w:r>
            <w:r>
              <w:rPr>
                <w:rFonts w:asciiTheme="minorEastAsia" w:hAnsiTheme="minorEastAsia" w:eastAsiaTheme="minorEastAsia" w:cstheme="minorEastAsia"/>
                <w:b/>
                <w:bCs/>
                <w:color w:val="auto"/>
                <w:kern w:val="0"/>
                <w:sz w:val="24"/>
                <w:szCs w:val="24"/>
                <w:highlight w:val="none"/>
                <w:lang w:bidi="ar"/>
              </w:rPr>
              <w:t>限价</w:t>
            </w:r>
          </w:p>
        </w:tc>
        <w:tc>
          <w:tcPr>
            <w:tcW w:w="192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3F3B5B47">
            <w:pPr>
              <w:keepNext w:val="0"/>
              <w:keepLines w:val="0"/>
              <w:pageBreakBefore w:val="0"/>
              <w:widowControl/>
              <w:kinsoku/>
              <w:wordWrap/>
              <w:overflowPunct/>
              <w:topLinePunct w:val="0"/>
              <w:autoSpaceDE/>
              <w:autoSpaceDN/>
              <w:bidi w:val="0"/>
              <w:spacing w:line="360" w:lineRule="auto"/>
              <w:ind w:firstLine="0" w:firstLineChars="0"/>
              <w:jc w:val="center"/>
              <w:textAlignment w:val="center"/>
              <w:rPr>
                <w:rFonts w:hint="default" w:asciiTheme="minorEastAsia" w:hAnsiTheme="minorEastAsia" w:eastAsiaTheme="minorEastAsia" w:cstheme="minorEastAsia"/>
                <w:b/>
                <w:bCs/>
                <w:color w:val="auto"/>
                <w:kern w:val="0"/>
                <w:sz w:val="24"/>
                <w:szCs w:val="24"/>
                <w:highlight w:val="none"/>
                <w:lang w:bidi="ar"/>
              </w:rPr>
            </w:pPr>
            <w:r>
              <w:rPr>
                <w:rFonts w:hint="eastAsia" w:asciiTheme="minorEastAsia" w:hAnsiTheme="minorEastAsia" w:cstheme="minorEastAsia"/>
                <w:b/>
                <w:bCs/>
                <w:color w:val="auto"/>
                <w:kern w:val="0"/>
                <w:sz w:val="24"/>
                <w:szCs w:val="24"/>
                <w:highlight w:val="none"/>
                <w:lang w:val="en-US" w:eastAsia="zh-CN" w:bidi="ar"/>
              </w:rPr>
              <w:t>最后报价</w:t>
            </w:r>
            <w:r>
              <w:rPr>
                <w:rFonts w:asciiTheme="minorEastAsia" w:hAnsiTheme="minorEastAsia" w:eastAsiaTheme="minorEastAsia" w:cstheme="minorEastAsia"/>
                <w:b/>
                <w:bCs/>
                <w:color w:val="auto"/>
                <w:kern w:val="0"/>
                <w:sz w:val="24"/>
                <w:szCs w:val="24"/>
                <w:highlight w:val="none"/>
                <w:lang w:bidi="ar"/>
              </w:rPr>
              <w:t>（%）</w:t>
            </w:r>
          </w:p>
        </w:tc>
      </w:tr>
      <w:tr w14:paraId="1B5585F2">
        <w:tblPrEx>
          <w:tblCellMar>
            <w:top w:w="0" w:type="dxa"/>
            <w:left w:w="0" w:type="dxa"/>
            <w:bottom w:w="0" w:type="dxa"/>
            <w:right w:w="0" w:type="dxa"/>
          </w:tblCellMar>
        </w:tblPrEx>
        <w:trPr>
          <w:trHeight w:val="743"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F1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cstheme="minorEastAsia"/>
                <w:color w:val="auto"/>
                <w:sz w:val="24"/>
                <w:szCs w:val="24"/>
                <w:highlight w:val="none"/>
                <w:vertAlign w:val="baseline"/>
                <w:lang w:val="en-US" w:eastAsia="zh-CN"/>
              </w:rPr>
              <w:t>1</w:t>
            </w:r>
          </w:p>
        </w:tc>
        <w:tc>
          <w:tcPr>
            <w:tcW w:w="1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DBA3A">
            <w:pPr>
              <w:widowControl/>
              <w:spacing w:line="440" w:lineRule="exact"/>
              <w:jc w:val="center"/>
              <w:rPr>
                <w:rFonts w:hint="eastAsia" w:asciiTheme="minorEastAsia" w:hAnsiTheme="minorEastAsia" w:eastAsiaTheme="minorEastAsia" w:cstheme="minorEastAsia"/>
                <w:color w:val="000000"/>
                <w:kern w:val="2"/>
                <w:sz w:val="24"/>
                <w:szCs w:val="24"/>
                <w:lang w:val="en-US" w:eastAsia="zh-CN" w:bidi="ar-SA"/>
              </w:rPr>
            </w:pPr>
            <w:r>
              <w:rPr>
                <w:rFonts w:ascii="宋体" w:hAnsi="宋体" w:eastAsia="宋体" w:cs="宋体"/>
                <w:sz w:val="24"/>
                <w:szCs w:val="24"/>
              </w:rPr>
              <w:t>入驻供应商交易服务费率</w:t>
            </w:r>
          </w:p>
        </w:tc>
        <w:tc>
          <w:tcPr>
            <w:tcW w:w="1895" w:type="dxa"/>
            <w:tcBorders>
              <w:top w:val="single" w:color="000000"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78831FD9">
            <w:pPr>
              <w:keepNext w:val="0"/>
              <w:keepLines w:val="0"/>
              <w:pageBreakBefore w:val="0"/>
              <w:widowControl/>
              <w:kinsoku/>
              <w:overflowPunct/>
              <w:topLinePunct w:val="0"/>
              <w:autoSpaceDE/>
              <w:autoSpaceDN/>
              <w:bidi w:val="0"/>
              <w:spacing w:line="360" w:lineRule="auto"/>
              <w:jc w:val="center"/>
              <w:rPr>
                <w:rFonts w:hint="default" w:asciiTheme="minorEastAsia" w:hAnsiTheme="minorEastAsia" w:eastAsiaTheme="minorEastAsia" w:cstheme="minorEastAsia"/>
                <w:color w:val="000000"/>
                <w:sz w:val="24"/>
                <w:szCs w:val="24"/>
                <w:lang w:val="en-US" w:eastAsia="zh-CN"/>
              </w:rPr>
            </w:pPr>
            <w:r>
              <w:rPr>
                <w:rFonts w:ascii="宋体" w:hAnsi="宋体" w:eastAsia="宋体" w:cs="宋体"/>
                <w:sz w:val="24"/>
                <w:szCs w:val="24"/>
              </w:rPr>
              <w:t>入驻供应商</w:t>
            </w:r>
          </w:p>
        </w:tc>
        <w:tc>
          <w:tcPr>
            <w:tcW w:w="1558"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4FC9B4DB">
            <w:pPr>
              <w:keepNext w:val="0"/>
              <w:keepLines w:val="0"/>
              <w:pageBreakBefore w:val="0"/>
              <w:widowControl/>
              <w:kinsoku/>
              <w:overflowPunct/>
              <w:topLinePunct w:val="0"/>
              <w:autoSpaceDE/>
              <w:autoSpaceDN/>
              <w:bidi w:val="0"/>
              <w:spacing w:line="360" w:lineRule="auto"/>
              <w:jc w:val="center"/>
              <w:rPr>
                <w:rFonts w:hint="default" w:asciiTheme="minorEastAsia" w:hAnsiTheme="minorEastAsia" w:cstheme="minorEastAsia"/>
                <w:color w:val="000000"/>
                <w:sz w:val="24"/>
                <w:szCs w:val="24"/>
                <w:lang w:val="en-US" w:eastAsia="zh-CN"/>
              </w:rPr>
            </w:pPr>
            <w:r>
              <w:rPr>
                <w:rFonts w:ascii="宋体" w:hAnsi="宋体" w:eastAsia="宋体" w:cs="宋体"/>
                <w:sz w:val="24"/>
                <w:szCs w:val="24"/>
              </w:rPr>
              <w:t>实际完成结算的有效订单含税成交金额</w:t>
            </w:r>
          </w:p>
        </w:tc>
        <w:tc>
          <w:tcPr>
            <w:tcW w:w="1589"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348F7681">
            <w:pPr>
              <w:keepNext w:val="0"/>
              <w:keepLines w:val="0"/>
              <w:pageBreakBefore w:val="0"/>
              <w:widowControl/>
              <w:kinsoku/>
              <w:overflowPunct/>
              <w:topLinePunct w:val="0"/>
              <w:autoSpaceDE/>
              <w:autoSpaceDN/>
              <w:bidi w:val="0"/>
              <w:adjustRightInd w:val="0"/>
              <w:snapToGrid w:val="0"/>
              <w:spacing w:after="0" w:line="360" w:lineRule="auto"/>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ascii="宋体" w:hAnsi="宋体" w:eastAsia="宋体" w:cs="宋体"/>
                <w:sz w:val="24"/>
                <w:szCs w:val="24"/>
              </w:rPr>
              <w:t>5.00%</w:t>
            </w:r>
          </w:p>
        </w:tc>
        <w:tc>
          <w:tcPr>
            <w:tcW w:w="192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520D235">
            <w:pPr>
              <w:keepNext w:val="0"/>
              <w:keepLines w:val="0"/>
              <w:pageBreakBefore w:val="0"/>
              <w:widowControl/>
              <w:kinsoku/>
              <w:wordWrap/>
              <w:overflowPunct/>
              <w:topLinePunct w:val="0"/>
              <w:autoSpaceDE/>
              <w:autoSpaceDN/>
              <w:bidi w:val="0"/>
              <w:adjustRightInd/>
              <w:snapToGrid/>
              <w:spacing w:line="360" w:lineRule="auto"/>
              <w:ind w:firstLine="720" w:firstLineChars="300"/>
              <w:jc w:val="both"/>
              <w:textAlignment w:val="auto"/>
              <w:rPr>
                <w:rFonts w:hint="eastAsia" w:asciiTheme="minorEastAsia" w:hAnsiTheme="minorEastAsia" w:eastAsiaTheme="minorEastAsia" w:cstheme="minorEastAsia"/>
                <w:b/>
                <w:bCs/>
                <w:color w:val="auto"/>
                <w:kern w:val="0"/>
                <w:sz w:val="24"/>
                <w:szCs w:val="24"/>
                <w:highlight w:val="none"/>
                <w:lang w:bidi="ar"/>
              </w:rPr>
            </w:pPr>
            <w:r>
              <w:rPr>
                <w:rFonts w:ascii="宋体" w:hAnsi="宋体" w:eastAsia="宋体" w:cs="宋体"/>
                <w:sz w:val="24"/>
                <w:szCs w:val="24"/>
              </w:rPr>
              <w:t>____%</w:t>
            </w:r>
          </w:p>
        </w:tc>
      </w:tr>
    </w:tbl>
    <w:p w14:paraId="6E8390B8">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注：</w:t>
      </w:r>
    </w:p>
    <w:p w14:paraId="456CE8C0">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cstheme="minorEastAsia"/>
          <w:color w:val="auto"/>
          <w:kern w:val="0"/>
          <w:sz w:val="28"/>
          <w:szCs w:val="28"/>
          <w:highlight w:val="none"/>
          <w:lang w:val="en-US" w:eastAsia="zh-CN"/>
        </w:rPr>
        <w:t>1.</w:t>
      </w:r>
      <w:r>
        <w:rPr>
          <w:rFonts w:hint="eastAsia" w:asciiTheme="minorEastAsia" w:hAnsiTheme="minorEastAsia" w:eastAsiaTheme="minorEastAsia" w:cstheme="minorEastAsia"/>
          <w:color w:val="auto"/>
          <w:kern w:val="0"/>
          <w:sz w:val="28"/>
          <w:szCs w:val="28"/>
          <w:highlight w:val="none"/>
        </w:rPr>
        <w:t>最后报价是投标人拟向入驻供应商收取的交易服务费率，不是采购人支付的平台建设费或服务费。</w:t>
      </w:r>
    </w:p>
    <w:p w14:paraId="51FA1DE2">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cstheme="minorEastAsia"/>
          <w:color w:val="auto"/>
          <w:kern w:val="0"/>
          <w:sz w:val="28"/>
          <w:szCs w:val="28"/>
          <w:highlight w:val="none"/>
          <w:lang w:val="en-US" w:eastAsia="zh-CN"/>
        </w:rPr>
        <w:t>2.</w:t>
      </w:r>
      <w:r>
        <w:rPr>
          <w:rFonts w:hint="eastAsia" w:asciiTheme="minorEastAsia" w:hAnsiTheme="minorEastAsia" w:eastAsiaTheme="minorEastAsia" w:cstheme="minorEastAsia"/>
          <w:color w:val="auto"/>
          <w:kern w:val="0"/>
          <w:sz w:val="28"/>
          <w:szCs w:val="28"/>
          <w:highlight w:val="none"/>
        </w:rPr>
        <w:t>交易服务费＝平台实际完成结算的有效订单含税成交金额×最后报价交易服务费率。取消、退货、退款及未实际结算的订单金额不计入计费基数。</w:t>
      </w:r>
    </w:p>
    <w:p w14:paraId="160183CE">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cstheme="minorEastAsia"/>
          <w:color w:val="auto"/>
          <w:kern w:val="0"/>
          <w:sz w:val="28"/>
          <w:szCs w:val="28"/>
          <w:highlight w:val="none"/>
          <w:lang w:val="en-US" w:eastAsia="zh-CN"/>
        </w:rPr>
        <w:t>3.</w:t>
      </w:r>
      <w:r>
        <w:rPr>
          <w:rFonts w:hint="eastAsia" w:asciiTheme="minorEastAsia" w:hAnsiTheme="minorEastAsia" w:eastAsiaTheme="minorEastAsia" w:cstheme="minorEastAsia"/>
          <w:color w:val="auto"/>
          <w:kern w:val="0"/>
          <w:sz w:val="28"/>
          <w:szCs w:val="28"/>
          <w:highlight w:val="none"/>
        </w:rPr>
        <w:t>最后报价应为唯一、固定的百分比，保留小数点后2位，不得采用分品类、分品牌、分供应商、分交易额区间或者附条件报价。</w:t>
      </w:r>
    </w:p>
    <w:p w14:paraId="02D0715D">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cstheme="minorEastAsia"/>
          <w:color w:val="auto"/>
          <w:kern w:val="0"/>
          <w:sz w:val="28"/>
          <w:szCs w:val="28"/>
          <w:highlight w:val="none"/>
          <w:lang w:val="en-US" w:eastAsia="zh-CN"/>
        </w:rPr>
        <w:t>4.</w:t>
      </w:r>
      <w:r>
        <w:rPr>
          <w:rFonts w:hint="eastAsia" w:asciiTheme="minorEastAsia" w:hAnsiTheme="minorEastAsia" w:eastAsiaTheme="minorEastAsia" w:cstheme="minorEastAsia"/>
          <w:color w:val="auto"/>
          <w:kern w:val="0"/>
          <w:sz w:val="28"/>
          <w:szCs w:val="28"/>
          <w:highlight w:val="none"/>
        </w:rPr>
        <w:t>最后报价交易服务费率不得高于5.00%，否则最后报价无效。</w:t>
      </w:r>
    </w:p>
    <w:p w14:paraId="48E1F1ED">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cstheme="minorEastAsia"/>
          <w:color w:val="auto"/>
          <w:kern w:val="0"/>
          <w:sz w:val="28"/>
          <w:szCs w:val="28"/>
          <w:highlight w:val="none"/>
          <w:lang w:val="en-US" w:eastAsia="zh-CN"/>
        </w:rPr>
        <w:t>5.</w:t>
      </w:r>
      <w:r>
        <w:rPr>
          <w:rFonts w:hint="eastAsia" w:asciiTheme="minorEastAsia" w:hAnsiTheme="minorEastAsia" w:eastAsiaTheme="minorEastAsia" w:cstheme="minorEastAsia"/>
          <w:color w:val="auto"/>
          <w:kern w:val="0"/>
          <w:sz w:val="28"/>
          <w:szCs w:val="28"/>
          <w:highlight w:val="none"/>
        </w:rPr>
        <w:t>两轮（若有）以上报价的，投标人在未降低投标文件中承诺的服务内容、服务质量及其他实质性响应内容的情况下，最后报价不得高于此前任一轮报价。</w:t>
      </w:r>
    </w:p>
    <w:p w14:paraId="714A45D7">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cstheme="minorEastAsia"/>
          <w:color w:val="auto"/>
          <w:kern w:val="0"/>
          <w:sz w:val="28"/>
          <w:szCs w:val="28"/>
          <w:highlight w:val="none"/>
          <w:lang w:val="en-US" w:eastAsia="zh-CN"/>
        </w:rPr>
        <w:t>6.</w:t>
      </w:r>
      <w:r>
        <w:rPr>
          <w:rFonts w:hint="eastAsia" w:asciiTheme="minorEastAsia" w:hAnsiTheme="minorEastAsia" w:eastAsiaTheme="minorEastAsia" w:cstheme="minorEastAsia"/>
          <w:color w:val="auto"/>
          <w:kern w:val="0"/>
          <w:sz w:val="28"/>
          <w:szCs w:val="28"/>
          <w:highlight w:val="none"/>
        </w:rPr>
        <w:t>本项目采购人预算为0元。投标人不得向采购人收取平台使用费、系统建设费、入驻费、交易佣金、运维费或其他类似费用。</w:t>
      </w:r>
    </w:p>
    <w:p w14:paraId="79F4CE2C">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cstheme="minorEastAsia"/>
          <w:color w:val="auto"/>
          <w:kern w:val="0"/>
          <w:sz w:val="28"/>
          <w:szCs w:val="28"/>
          <w:highlight w:val="none"/>
          <w:lang w:val="en-US" w:eastAsia="zh-CN"/>
        </w:rPr>
        <w:t>7.</w:t>
      </w:r>
      <w:r>
        <w:rPr>
          <w:rFonts w:hint="eastAsia" w:asciiTheme="minorEastAsia" w:hAnsiTheme="minorEastAsia" w:eastAsiaTheme="minorEastAsia" w:cstheme="minorEastAsia"/>
          <w:color w:val="auto"/>
          <w:kern w:val="0"/>
          <w:sz w:val="28"/>
          <w:szCs w:val="28"/>
          <w:highlight w:val="none"/>
        </w:rPr>
        <w:t>“最后报价表”须按照采购文件要求单独密封。</w:t>
      </w:r>
    </w:p>
    <w:p w14:paraId="3CD1FEC6">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供应商名称：（盖章）</w:t>
      </w:r>
    </w:p>
    <w:p w14:paraId="60762FF2">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法定代表人或授权代表（签字）：</w:t>
      </w:r>
    </w:p>
    <w:p w14:paraId="0547B93D">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日期：</w:t>
      </w:r>
    </w:p>
    <w:p w14:paraId="4172C1D8">
      <w:pPr>
        <w:keepNext w:val="0"/>
        <w:keepLines w:val="0"/>
        <w:pageBreakBefore w:val="0"/>
        <w:widowControl/>
        <w:shd w:val="clear" w:color="auto" w:fill="FFFFFF"/>
        <w:kinsoku/>
        <w:wordWrap w:val="0"/>
        <w:overflowPunct/>
        <w:topLinePunct w:val="0"/>
        <w:autoSpaceDE/>
        <w:autoSpaceDN/>
        <w:bidi w:val="0"/>
        <w:spacing w:line="360" w:lineRule="auto"/>
        <w:ind w:firstLine="562"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lang w:eastAsia="zh-CN"/>
        </w:rPr>
        <w:t>附件</w:t>
      </w:r>
      <w:r>
        <w:rPr>
          <w:rFonts w:hint="eastAsia" w:asciiTheme="minorEastAsia" w:hAnsiTheme="minorEastAsia" w:cstheme="minorEastAsia"/>
          <w:b/>
          <w:bCs/>
          <w:color w:val="auto"/>
          <w:kern w:val="0"/>
          <w:sz w:val="28"/>
          <w:szCs w:val="28"/>
          <w:highlight w:val="none"/>
          <w:lang w:val="en-US" w:eastAsia="zh-CN"/>
        </w:rPr>
        <w:t>5</w:t>
      </w:r>
      <w:r>
        <w:rPr>
          <w:rFonts w:hint="eastAsia" w:asciiTheme="minorEastAsia" w:hAnsiTheme="minorEastAsia" w:eastAsiaTheme="minorEastAsia" w:cstheme="minorEastAsia"/>
          <w:b/>
          <w:bCs/>
          <w:color w:val="auto"/>
          <w:kern w:val="0"/>
          <w:sz w:val="28"/>
          <w:szCs w:val="28"/>
          <w:highlight w:val="none"/>
        </w:rPr>
        <w:t>-</w:t>
      </w:r>
      <w:r>
        <w:rPr>
          <w:rFonts w:hint="eastAsia" w:asciiTheme="minorEastAsia" w:hAnsiTheme="minorEastAsia" w:eastAsiaTheme="minorEastAsia" w:cstheme="minorEastAsia"/>
          <w:b/>
          <w:bCs/>
          <w:color w:val="auto"/>
          <w:kern w:val="0"/>
          <w:sz w:val="28"/>
          <w:szCs w:val="28"/>
          <w:highlight w:val="none"/>
          <w:lang w:val="en-US" w:eastAsia="zh-CN"/>
        </w:rPr>
        <w:t>3</w:t>
      </w:r>
      <w:r>
        <w:rPr>
          <w:rFonts w:hint="eastAsia" w:asciiTheme="minorEastAsia" w:hAnsiTheme="minorEastAsia" w:eastAsiaTheme="minorEastAsia" w:cstheme="minorEastAsia"/>
          <w:b/>
          <w:bCs/>
          <w:color w:val="auto"/>
          <w:kern w:val="0"/>
          <w:sz w:val="28"/>
          <w:szCs w:val="28"/>
          <w:highlight w:val="none"/>
        </w:rPr>
        <w:t>：</w:t>
      </w:r>
    </w:p>
    <w:p w14:paraId="21BAEB95">
      <w:pPr>
        <w:keepNext w:val="0"/>
        <w:keepLines w:val="0"/>
        <w:pageBreakBefore w:val="0"/>
        <w:widowControl/>
        <w:shd w:val="clear" w:color="auto" w:fill="FFFFFF"/>
        <w:kinsoku/>
        <w:wordWrap w:val="0"/>
        <w:overflowPunct/>
        <w:topLinePunct w:val="0"/>
        <w:autoSpaceDE/>
        <w:autoSpaceDN/>
        <w:bidi w:val="0"/>
        <w:spacing w:line="360" w:lineRule="auto"/>
        <w:ind w:firstLine="562"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rPr>
        <w:t>技术、商务要求</w:t>
      </w:r>
      <w:r>
        <w:rPr>
          <w:rFonts w:hint="eastAsia" w:asciiTheme="minorEastAsia" w:hAnsiTheme="minorEastAsia" w:eastAsiaTheme="minorEastAsia" w:cstheme="minorEastAsia"/>
          <w:b/>
          <w:bCs/>
          <w:color w:val="auto"/>
          <w:kern w:val="0"/>
          <w:sz w:val="28"/>
          <w:szCs w:val="28"/>
          <w:highlight w:val="none"/>
          <w:lang w:val="en-US" w:eastAsia="zh-CN"/>
        </w:rPr>
        <w:t>响应</w:t>
      </w:r>
      <w:r>
        <w:rPr>
          <w:rFonts w:hint="eastAsia" w:asciiTheme="minorEastAsia" w:hAnsiTheme="minorEastAsia" w:eastAsiaTheme="minorEastAsia" w:cstheme="minorEastAsia"/>
          <w:b/>
          <w:bCs/>
          <w:color w:val="auto"/>
          <w:kern w:val="0"/>
          <w:sz w:val="28"/>
          <w:szCs w:val="28"/>
          <w:highlight w:val="none"/>
        </w:rPr>
        <w:t>表</w:t>
      </w:r>
    </w:p>
    <w:tbl>
      <w:tblPr>
        <w:tblStyle w:val="14"/>
        <w:tblW w:w="0" w:type="auto"/>
        <w:jc w:val="center"/>
        <w:tblLayout w:type="autofit"/>
        <w:tblCellMar>
          <w:top w:w="0" w:type="dxa"/>
          <w:left w:w="0" w:type="dxa"/>
          <w:bottom w:w="0" w:type="dxa"/>
          <w:right w:w="0" w:type="dxa"/>
        </w:tblCellMar>
      </w:tblPr>
      <w:tblGrid>
        <w:gridCol w:w="1134"/>
        <w:gridCol w:w="2287"/>
        <w:gridCol w:w="2287"/>
        <w:gridCol w:w="2814"/>
      </w:tblGrid>
      <w:tr w14:paraId="6A1FE4B4">
        <w:tblPrEx>
          <w:tblCellMar>
            <w:top w:w="0" w:type="dxa"/>
            <w:left w:w="0" w:type="dxa"/>
            <w:bottom w:w="0" w:type="dxa"/>
            <w:right w:w="0" w:type="dxa"/>
          </w:tblCellMar>
        </w:tblPrEx>
        <w:trPr>
          <w:trHeight w:val="678" w:hRule="atLeast"/>
          <w:jc w:val="center"/>
        </w:trPr>
        <w:tc>
          <w:tcPr>
            <w:tcW w:w="121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561D949">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序号</w:t>
            </w:r>
          </w:p>
        </w:tc>
        <w:tc>
          <w:tcPr>
            <w:tcW w:w="279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BD5889C">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val="en-US" w:eastAsia="zh-CN"/>
              </w:rPr>
              <w:t>采购文件</w:t>
            </w:r>
            <w:r>
              <w:rPr>
                <w:rFonts w:hint="eastAsia" w:asciiTheme="minorEastAsia" w:hAnsiTheme="minorEastAsia" w:eastAsiaTheme="minorEastAsia" w:cstheme="minorEastAsia"/>
                <w:color w:val="auto"/>
                <w:kern w:val="0"/>
                <w:sz w:val="28"/>
                <w:szCs w:val="28"/>
                <w:highlight w:val="none"/>
              </w:rPr>
              <w:t>要求</w:t>
            </w:r>
          </w:p>
        </w:tc>
        <w:tc>
          <w:tcPr>
            <w:tcW w:w="279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AA9E7FD">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val="en-US" w:eastAsia="zh-CN"/>
              </w:rPr>
              <w:t>供应商</w:t>
            </w:r>
            <w:r>
              <w:rPr>
                <w:rFonts w:hint="eastAsia" w:asciiTheme="minorEastAsia" w:hAnsiTheme="minorEastAsia" w:eastAsiaTheme="minorEastAsia" w:cstheme="minorEastAsia"/>
                <w:color w:val="auto"/>
                <w:kern w:val="0"/>
                <w:sz w:val="28"/>
                <w:szCs w:val="28"/>
                <w:highlight w:val="none"/>
              </w:rPr>
              <w:t>响应</w:t>
            </w:r>
          </w:p>
        </w:tc>
        <w:tc>
          <w:tcPr>
            <w:tcW w:w="351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2100EFE">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偏离及其影响</w:t>
            </w:r>
          </w:p>
        </w:tc>
      </w:tr>
      <w:tr w14:paraId="5E5ECB78">
        <w:tblPrEx>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49597C0A">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14:paraId="6E962F9F">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14:paraId="18878F8B">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3510" w:type="dxa"/>
            <w:tcBorders>
              <w:top w:val="nil"/>
              <w:left w:val="nil"/>
              <w:bottom w:val="single" w:color="auto" w:sz="8" w:space="0"/>
              <w:right w:val="single" w:color="auto" w:sz="8" w:space="0"/>
            </w:tcBorders>
            <w:tcMar>
              <w:top w:w="0" w:type="dxa"/>
              <w:left w:w="108" w:type="dxa"/>
              <w:bottom w:w="0" w:type="dxa"/>
              <w:right w:w="108" w:type="dxa"/>
            </w:tcMar>
          </w:tcPr>
          <w:p w14:paraId="5045B272">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4DD05228">
        <w:tblPrEx>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5E312096">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14:paraId="2E59EAD3">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14:paraId="51A405B2">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3510" w:type="dxa"/>
            <w:tcBorders>
              <w:top w:val="nil"/>
              <w:left w:val="nil"/>
              <w:bottom w:val="single" w:color="auto" w:sz="8" w:space="0"/>
              <w:right w:val="single" w:color="auto" w:sz="8" w:space="0"/>
            </w:tcBorders>
            <w:tcMar>
              <w:top w:w="0" w:type="dxa"/>
              <w:left w:w="108" w:type="dxa"/>
              <w:bottom w:w="0" w:type="dxa"/>
              <w:right w:w="108" w:type="dxa"/>
            </w:tcMar>
          </w:tcPr>
          <w:p w14:paraId="7A799E7D">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bl>
    <w:p w14:paraId="17F51F39">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注：</w:t>
      </w:r>
    </w:p>
    <w:p w14:paraId="3CAEB3E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1.供应商根据</w:t>
      </w:r>
      <w:r>
        <w:rPr>
          <w:rFonts w:hint="eastAsia" w:asciiTheme="minorEastAsia" w:hAnsiTheme="minorEastAsia" w:eastAsiaTheme="minorEastAsia" w:cstheme="minorEastAsia"/>
          <w:color w:val="auto"/>
          <w:kern w:val="0"/>
          <w:sz w:val="28"/>
          <w:szCs w:val="28"/>
          <w:highlight w:val="none"/>
          <w:lang w:val="en-US" w:eastAsia="zh-CN"/>
        </w:rPr>
        <w:t>附件1“采购需求”中的</w:t>
      </w:r>
      <w:r>
        <w:rPr>
          <w:rFonts w:hint="eastAsia" w:asciiTheme="minorEastAsia" w:hAnsiTheme="minorEastAsia" w:eastAsiaTheme="minorEastAsia" w:cstheme="minorEastAsia"/>
          <w:color w:val="auto"/>
          <w:kern w:val="0"/>
          <w:sz w:val="28"/>
          <w:szCs w:val="28"/>
          <w:highlight w:val="none"/>
        </w:rPr>
        <w:t>“</w:t>
      </w:r>
      <w:r>
        <w:rPr>
          <w:rFonts w:hint="eastAsia" w:asciiTheme="minorEastAsia" w:hAnsiTheme="minorEastAsia" w:eastAsiaTheme="minorEastAsia" w:cstheme="minorEastAsia"/>
          <w:color w:val="auto"/>
          <w:kern w:val="0"/>
          <w:sz w:val="28"/>
          <w:szCs w:val="28"/>
          <w:highlight w:val="none"/>
          <w:lang w:val="en-US" w:eastAsia="zh-CN"/>
        </w:rPr>
        <w:t>技术要求”“商务要求”</w:t>
      </w:r>
      <w:r>
        <w:rPr>
          <w:rFonts w:hint="eastAsia" w:asciiTheme="minorEastAsia" w:hAnsiTheme="minorEastAsia" w:eastAsiaTheme="minorEastAsia" w:cstheme="minorEastAsia"/>
          <w:color w:val="auto"/>
          <w:kern w:val="0"/>
          <w:sz w:val="28"/>
          <w:szCs w:val="28"/>
          <w:highlight w:val="none"/>
        </w:rPr>
        <w:t>，对应进行填写。未单独填写的条款，视为默认响应。</w:t>
      </w:r>
    </w:p>
    <w:p w14:paraId="4BF7A8EE">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2.若无偏离，可在偏离情况中填“/”；若有偏离，需在偏离情况中进行说明；</w:t>
      </w:r>
    </w:p>
    <w:p w14:paraId="2D58472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3.若“</w:t>
      </w:r>
      <w:r>
        <w:rPr>
          <w:rFonts w:hint="eastAsia" w:asciiTheme="minorEastAsia" w:hAnsiTheme="minorEastAsia" w:eastAsiaTheme="minorEastAsia" w:cstheme="minorEastAsia"/>
          <w:color w:val="auto"/>
          <w:kern w:val="0"/>
          <w:sz w:val="28"/>
          <w:szCs w:val="28"/>
          <w:highlight w:val="none"/>
          <w:lang w:val="en-US" w:eastAsia="zh-CN"/>
        </w:rPr>
        <w:t>技术要求</w:t>
      </w:r>
      <w:r>
        <w:rPr>
          <w:rFonts w:hint="eastAsia" w:asciiTheme="minorEastAsia" w:hAnsiTheme="minorEastAsia" w:eastAsiaTheme="minorEastAsia" w:cstheme="minorEastAsia"/>
          <w:color w:val="auto"/>
          <w:kern w:val="0"/>
          <w:sz w:val="28"/>
          <w:szCs w:val="28"/>
          <w:highlight w:val="none"/>
        </w:rPr>
        <w:t>”</w:t>
      </w:r>
      <w:r>
        <w:rPr>
          <w:rFonts w:hint="eastAsia" w:asciiTheme="minorEastAsia" w:hAnsiTheme="minorEastAsia" w:eastAsiaTheme="minorEastAsia" w:cstheme="minorEastAsia"/>
          <w:color w:val="auto"/>
          <w:kern w:val="0"/>
          <w:sz w:val="28"/>
          <w:szCs w:val="28"/>
          <w:highlight w:val="none"/>
          <w:lang w:val="en-US" w:eastAsia="zh-CN"/>
        </w:rPr>
        <w:t>“商务要求”</w:t>
      </w:r>
      <w:r>
        <w:rPr>
          <w:rFonts w:hint="eastAsia" w:asciiTheme="minorEastAsia" w:hAnsiTheme="minorEastAsia" w:eastAsiaTheme="minorEastAsia" w:cstheme="minorEastAsia"/>
          <w:color w:val="auto"/>
          <w:kern w:val="0"/>
          <w:sz w:val="28"/>
          <w:szCs w:val="28"/>
          <w:highlight w:val="none"/>
        </w:rPr>
        <w:t>要求提供证明材料，需按要求提供证明材料。</w:t>
      </w:r>
    </w:p>
    <w:p w14:paraId="54D958ED">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p>
    <w:p w14:paraId="432984F6">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p>
    <w:p w14:paraId="3BE15C1A">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供应商名称：XXXX（盖单位公章）</w:t>
      </w:r>
    </w:p>
    <w:p w14:paraId="0FDC1F4F">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法定代表人或授权代表签字：</w:t>
      </w:r>
    </w:p>
    <w:p w14:paraId="7293061D">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日期:</w:t>
      </w:r>
    </w:p>
    <w:p w14:paraId="2239FE93">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kern w:val="0"/>
          <w:sz w:val="28"/>
          <w:szCs w:val="28"/>
          <w:highlight w:val="none"/>
          <w:shd w:val="clear" w:color="auto" w:fill="FFFFFF"/>
        </w:rPr>
      </w:pPr>
      <w:r>
        <w:rPr>
          <w:rFonts w:hint="eastAsia" w:asciiTheme="minorEastAsia" w:hAnsiTheme="minorEastAsia" w:eastAsiaTheme="minorEastAsia" w:cstheme="minorEastAsia"/>
          <w:b/>
          <w:bCs/>
          <w:color w:val="auto"/>
          <w:kern w:val="0"/>
          <w:sz w:val="28"/>
          <w:szCs w:val="28"/>
          <w:highlight w:val="none"/>
          <w:shd w:val="clear" w:color="auto" w:fill="FFFFFF"/>
        </w:rPr>
        <w:br w:type="page"/>
      </w:r>
    </w:p>
    <w:p w14:paraId="0E8CCE4B">
      <w:pPr>
        <w:keepNext w:val="0"/>
        <w:keepLines w:val="0"/>
        <w:pageBreakBefore w:val="0"/>
        <w:widowControl/>
        <w:shd w:val="clear" w:color="auto" w:fill="FFFFFF"/>
        <w:kinsoku/>
        <w:wordWrap w:val="0"/>
        <w:overflowPunct/>
        <w:topLinePunct w:val="0"/>
        <w:autoSpaceDE/>
        <w:autoSpaceDN/>
        <w:bidi w:val="0"/>
        <w:spacing w:line="360" w:lineRule="auto"/>
        <w:ind w:firstLine="562"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lang w:eastAsia="zh-CN"/>
        </w:rPr>
        <w:t>附件</w:t>
      </w:r>
      <w:r>
        <w:rPr>
          <w:rFonts w:hint="eastAsia" w:asciiTheme="minorEastAsia" w:hAnsiTheme="minorEastAsia" w:cstheme="minorEastAsia"/>
          <w:b/>
          <w:bCs/>
          <w:color w:val="auto"/>
          <w:kern w:val="0"/>
          <w:sz w:val="28"/>
          <w:szCs w:val="28"/>
          <w:highlight w:val="none"/>
          <w:lang w:val="en-US" w:eastAsia="zh-CN"/>
        </w:rPr>
        <w:t>5</w:t>
      </w:r>
      <w:r>
        <w:rPr>
          <w:rFonts w:hint="eastAsia" w:asciiTheme="minorEastAsia" w:hAnsiTheme="minorEastAsia" w:eastAsiaTheme="minorEastAsia" w:cstheme="minorEastAsia"/>
          <w:b/>
          <w:bCs/>
          <w:color w:val="auto"/>
          <w:kern w:val="0"/>
          <w:sz w:val="28"/>
          <w:szCs w:val="28"/>
          <w:highlight w:val="none"/>
        </w:rPr>
        <w:t>-</w:t>
      </w:r>
      <w:r>
        <w:rPr>
          <w:rFonts w:hint="eastAsia" w:asciiTheme="minorEastAsia" w:hAnsiTheme="minorEastAsia" w:eastAsiaTheme="minorEastAsia" w:cstheme="minorEastAsia"/>
          <w:b/>
          <w:bCs/>
          <w:color w:val="auto"/>
          <w:kern w:val="0"/>
          <w:sz w:val="28"/>
          <w:szCs w:val="28"/>
          <w:highlight w:val="none"/>
          <w:lang w:val="en-US" w:eastAsia="zh-CN"/>
        </w:rPr>
        <w:t>4</w:t>
      </w:r>
      <w:r>
        <w:rPr>
          <w:rFonts w:hint="eastAsia" w:asciiTheme="minorEastAsia" w:hAnsiTheme="minorEastAsia" w:eastAsiaTheme="minorEastAsia" w:cstheme="minorEastAsia"/>
          <w:b/>
          <w:bCs/>
          <w:color w:val="auto"/>
          <w:kern w:val="0"/>
          <w:sz w:val="28"/>
          <w:szCs w:val="28"/>
          <w:highlight w:val="none"/>
        </w:rPr>
        <w:t>：</w:t>
      </w:r>
    </w:p>
    <w:p w14:paraId="4B7BF315">
      <w:pPr>
        <w:keepNext w:val="0"/>
        <w:keepLines w:val="0"/>
        <w:pageBreakBefore w:val="0"/>
        <w:widowControl/>
        <w:shd w:val="clear" w:color="auto" w:fill="FFFFFF"/>
        <w:kinsoku/>
        <w:wordWrap w:val="0"/>
        <w:overflowPunct/>
        <w:topLinePunct w:val="0"/>
        <w:autoSpaceDE/>
        <w:autoSpaceDN/>
        <w:bidi w:val="0"/>
        <w:spacing w:line="360" w:lineRule="auto"/>
        <w:ind w:firstLine="562"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rPr>
        <w:t>用户情况表</w:t>
      </w:r>
    </w:p>
    <w:tbl>
      <w:tblPr>
        <w:tblStyle w:val="14"/>
        <w:tblW w:w="8220" w:type="dxa"/>
        <w:jc w:val="center"/>
        <w:tblLayout w:type="autofit"/>
        <w:tblCellMar>
          <w:top w:w="0" w:type="dxa"/>
          <w:left w:w="0" w:type="dxa"/>
          <w:bottom w:w="0" w:type="dxa"/>
          <w:right w:w="0" w:type="dxa"/>
        </w:tblCellMar>
      </w:tblPr>
      <w:tblGrid>
        <w:gridCol w:w="723"/>
        <w:gridCol w:w="1500"/>
        <w:gridCol w:w="1497"/>
        <w:gridCol w:w="1260"/>
        <w:gridCol w:w="2160"/>
        <w:gridCol w:w="1080"/>
      </w:tblGrid>
      <w:tr w14:paraId="107F97E8">
        <w:trPr>
          <w:trHeight w:val="1014" w:hRule="atLeast"/>
          <w:jc w:val="center"/>
        </w:trPr>
        <w:tc>
          <w:tcPr>
            <w:tcW w:w="723"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14:paraId="72A8064E">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lang w:val="en-US" w:eastAsia="zh-CN"/>
              </w:rPr>
            </w:pPr>
            <w:r>
              <w:rPr>
                <w:rFonts w:hint="eastAsia" w:asciiTheme="minorEastAsia" w:hAnsiTheme="minorEastAsia" w:eastAsiaTheme="minorEastAsia" w:cstheme="minorEastAsia"/>
                <w:color w:val="auto"/>
                <w:kern w:val="0"/>
                <w:sz w:val="28"/>
                <w:szCs w:val="28"/>
                <w:highlight w:val="none"/>
                <w:lang w:val="en-US" w:eastAsia="zh-CN"/>
              </w:rPr>
              <w:t>序号</w:t>
            </w:r>
          </w:p>
        </w:tc>
        <w:tc>
          <w:tcPr>
            <w:tcW w:w="1500" w:type="dxa"/>
            <w:tcBorders>
              <w:top w:val="single" w:color="auto" w:sz="8" w:space="0"/>
              <w:left w:val="nil"/>
              <w:bottom w:val="single" w:color="auto" w:sz="8" w:space="0"/>
              <w:right w:val="single" w:color="auto" w:sz="4" w:space="0"/>
            </w:tcBorders>
            <w:tcMar>
              <w:top w:w="0" w:type="dxa"/>
              <w:left w:w="108" w:type="dxa"/>
              <w:bottom w:w="0" w:type="dxa"/>
              <w:right w:w="108" w:type="dxa"/>
            </w:tcMar>
            <w:vAlign w:val="center"/>
          </w:tcPr>
          <w:p w14:paraId="32F7917B">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用户</w:t>
            </w:r>
          </w:p>
          <w:p w14:paraId="459C2191">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名称</w:t>
            </w:r>
          </w:p>
        </w:tc>
        <w:tc>
          <w:tcPr>
            <w:tcW w:w="1497"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14:paraId="7AD88ACA">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lang w:val="en-US" w:eastAsia="zh-CN"/>
              </w:rPr>
            </w:pPr>
            <w:r>
              <w:rPr>
                <w:rFonts w:hint="eastAsia" w:asciiTheme="minorEastAsia" w:hAnsiTheme="minorEastAsia" w:eastAsiaTheme="minorEastAsia" w:cstheme="minorEastAsia"/>
                <w:color w:val="auto"/>
                <w:kern w:val="0"/>
                <w:sz w:val="28"/>
                <w:szCs w:val="28"/>
                <w:highlight w:val="none"/>
                <w:lang w:val="en-US" w:eastAsia="zh-CN"/>
              </w:rPr>
              <w:t>项目</w:t>
            </w:r>
          </w:p>
          <w:p w14:paraId="47866EBA">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lang w:val="en-US" w:eastAsia="zh-CN"/>
              </w:rPr>
            </w:pPr>
            <w:r>
              <w:rPr>
                <w:rFonts w:hint="eastAsia" w:asciiTheme="minorEastAsia" w:hAnsiTheme="minorEastAsia" w:eastAsiaTheme="minorEastAsia" w:cstheme="minorEastAsia"/>
                <w:color w:val="auto"/>
                <w:kern w:val="0"/>
                <w:sz w:val="28"/>
                <w:szCs w:val="28"/>
                <w:highlight w:val="none"/>
                <w:lang w:val="en-US" w:eastAsia="zh-CN"/>
              </w:rPr>
              <w:t>名称</w:t>
            </w:r>
          </w:p>
        </w:tc>
        <w:tc>
          <w:tcPr>
            <w:tcW w:w="12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B34DB60">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合同</w:t>
            </w:r>
          </w:p>
          <w:p w14:paraId="616F7FC5">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时间</w:t>
            </w:r>
          </w:p>
        </w:tc>
        <w:tc>
          <w:tcPr>
            <w:tcW w:w="21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6F67C1D">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联系人及</w:t>
            </w:r>
          </w:p>
          <w:p w14:paraId="7485917E">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联系方式</w:t>
            </w:r>
          </w:p>
        </w:tc>
        <w:tc>
          <w:tcPr>
            <w:tcW w:w="108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4DB5ED8">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备注</w:t>
            </w:r>
          </w:p>
        </w:tc>
      </w:tr>
      <w:tr w14:paraId="4DFC2ED4">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15167635">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080B4889">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3B2753F7">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1D83FC71">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2B4CFF88">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53B77144">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69FF547E">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359982C5">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0E9F1EAB">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4F9FB390">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3AA3071">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52F098AF">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5711ED0B">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65382454">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2275B690">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5DF16BAB">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2AA0D4A6">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0E11775D">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26ACB8E">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1DBA6AC2">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212409C1">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C77A8FC">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641F3652">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27889813">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CADC36C">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2870C1FC">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59C9E43E">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1B6E3C95">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427FEEC5">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4F1C6780">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55533117">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616C023">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B91CB45">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2D362135">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032A8B2C">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2F79F98">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2D5A2E73">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21A1143D">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245ED6E0">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57FC6C67">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7A127E7B">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13FF5584">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6343325A">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2B5A61E7">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1B1AD77C">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4DEE1B8">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4E6C40C0">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35C720CD">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51ED9B61">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0C0B233">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5B3FF78C">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182CA2CF">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F282EA5">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540822F7">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192037A9">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bl>
    <w:p w14:paraId="1D4AB49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p w14:paraId="709D7E63">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p w14:paraId="467AFCA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法定代表人或授权代表签字：</w:t>
      </w:r>
    </w:p>
    <w:p w14:paraId="074C7BB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日期</w:t>
      </w:r>
      <w:r>
        <w:rPr>
          <w:rFonts w:hint="eastAsia" w:asciiTheme="minorEastAsia" w:hAnsiTheme="minorEastAsia" w:eastAsiaTheme="minorEastAsia" w:cstheme="minorEastAsia"/>
          <w:b/>
          <w:bCs/>
          <w:color w:val="auto"/>
          <w:kern w:val="0"/>
          <w:sz w:val="28"/>
          <w:szCs w:val="28"/>
          <w:highlight w:val="none"/>
        </w:rPr>
        <w:t>:</w:t>
      </w:r>
    </w:p>
    <w:p w14:paraId="32538C92">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kern w:val="0"/>
          <w:sz w:val="28"/>
          <w:szCs w:val="28"/>
          <w:highlight w:val="none"/>
          <w:shd w:val="clear" w:color="auto" w:fill="FFFFFF"/>
        </w:rPr>
      </w:pPr>
      <w:r>
        <w:rPr>
          <w:rFonts w:hint="eastAsia" w:asciiTheme="minorEastAsia" w:hAnsiTheme="minorEastAsia" w:eastAsiaTheme="minorEastAsia" w:cstheme="minorEastAsia"/>
          <w:b/>
          <w:bCs/>
          <w:color w:val="auto"/>
          <w:kern w:val="0"/>
          <w:sz w:val="28"/>
          <w:szCs w:val="28"/>
          <w:highlight w:val="none"/>
          <w:shd w:val="clear" w:color="auto" w:fill="FFFFFF"/>
        </w:rPr>
        <w:br w:type="page"/>
      </w:r>
    </w:p>
    <w:p w14:paraId="12EF8D52">
      <w:pPr>
        <w:pStyle w:val="22"/>
        <w:keepNext w:val="0"/>
        <w:keepLines w:val="0"/>
        <w:pageBreakBefore w:val="0"/>
        <w:widowControl w:val="0"/>
        <w:kinsoku/>
        <w:wordWrap/>
        <w:overflowPunct/>
        <w:topLinePunct w:val="0"/>
        <w:autoSpaceDE/>
        <w:autoSpaceDN/>
        <w:bidi w:val="0"/>
        <w:adjustRightInd/>
        <w:snapToGrid/>
        <w:spacing w:line="360" w:lineRule="auto"/>
        <w:ind w:right="0" w:rightChars="0" w:firstLine="562" w:firstLineChars="200"/>
        <w:jc w:val="left"/>
        <w:textAlignment w:val="auto"/>
        <w:outlineLvl w:val="9"/>
        <w:rPr>
          <w:rFonts w:hint="eastAsia" w:asciiTheme="minorEastAsia" w:hAnsiTheme="minorEastAsia" w:eastAsiaTheme="minorEastAsia" w:cstheme="minorEastAsia"/>
          <w:b/>
          <w:bCs/>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lang w:eastAsia="zh-CN"/>
        </w:rPr>
        <w:t>附件</w:t>
      </w:r>
      <w:r>
        <w:rPr>
          <w:rFonts w:hint="eastAsia" w:asciiTheme="minorEastAsia" w:hAnsiTheme="minorEastAsia" w:eastAsiaTheme="minorEastAsia" w:cstheme="minorEastAsia"/>
          <w:b/>
          <w:bCs/>
          <w:color w:val="auto"/>
          <w:kern w:val="0"/>
          <w:sz w:val="28"/>
          <w:szCs w:val="28"/>
          <w:highlight w:val="none"/>
          <w:lang w:val="en-US" w:eastAsia="zh-CN"/>
        </w:rPr>
        <w:t>5</w:t>
      </w:r>
      <w:r>
        <w:rPr>
          <w:rFonts w:hint="eastAsia" w:asciiTheme="minorEastAsia" w:hAnsiTheme="minorEastAsia" w:eastAsiaTheme="minorEastAsia" w:cstheme="minorEastAsia"/>
          <w:b/>
          <w:bCs/>
          <w:color w:val="auto"/>
          <w:kern w:val="0"/>
          <w:sz w:val="28"/>
          <w:szCs w:val="28"/>
          <w:highlight w:val="none"/>
        </w:rPr>
        <w:t>-</w:t>
      </w:r>
      <w:r>
        <w:rPr>
          <w:rFonts w:hint="eastAsia" w:asciiTheme="minorEastAsia" w:hAnsiTheme="minorEastAsia" w:eastAsiaTheme="minorEastAsia" w:cstheme="minorEastAsia"/>
          <w:b/>
          <w:bCs/>
          <w:color w:val="auto"/>
          <w:kern w:val="0"/>
          <w:sz w:val="28"/>
          <w:szCs w:val="28"/>
          <w:highlight w:val="none"/>
          <w:lang w:val="en-US" w:eastAsia="zh-CN"/>
        </w:rPr>
        <w:t>5</w:t>
      </w:r>
      <w:r>
        <w:rPr>
          <w:rFonts w:hint="eastAsia" w:asciiTheme="minorEastAsia" w:hAnsiTheme="minorEastAsia" w:eastAsiaTheme="minorEastAsia" w:cstheme="minorEastAsia"/>
          <w:b/>
          <w:bCs/>
          <w:color w:val="auto"/>
          <w:kern w:val="0"/>
          <w:sz w:val="28"/>
          <w:szCs w:val="28"/>
          <w:highlight w:val="none"/>
        </w:rPr>
        <w:t>：</w:t>
      </w:r>
    </w:p>
    <w:p w14:paraId="532DAA35">
      <w:pPr>
        <w:pStyle w:val="22"/>
        <w:keepNext w:val="0"/>
        <w:keepLines w:val="0"/>
        <w:pageBreakBefore w:val="0"/>
        <w:widowControl w:val="0"/>
        <w:kinsoku/>
        <w:wordWrap/>
        <w:overflowPunct/>
        <w:topLinePunct w:val="0"/>
        <w:autoSpaceDE/>
        <w:autoSpaceDN/>
        <w:bidi w:val="0"/>
        <w:adjustRightInd/>
        <w:snapToGrid/>
        <w:spacing w:line="360" w:lineRule="auto"/>
        <w:ind w:right="0" w:rightChars="0" w:firstLine="562" w:firstLineChars="200"/>
        <w:jc w:val="center"/>
        <w:textAlignment w:val="auto"/>
        <w:outlineLvl w:val="9"/>
        <w:rPr>
          <w:rFonts w:hint="eastAsia" w:asciiTheme="minorEastAsia" w:hAnsiTheme="minorEastAsia" w:eastAsiaTheme="minorEastAsia" w:cstheme="minorEastAsia"/>
          <w:b/>
          <w:color w:val="auto"/>
          <w:kern w:val="2"/>
          <w:sz w:val="28"/>
          <w:szCs w:val="28"/>
          <w:highlight w:val="none"/>
          <w:lang w:val="en-US" w:eastAsia="zh-CN" w:bidi="ar-SA"/>
        </w:rPr>
      </w:pPr>
      <w:r>
        <w:rPr>
          <w:rFonts w:hint="eastAsia" w:asciiTheme="minorEastAsia" w:hAnsiTheme="minorEastAsia" w:eastAsiaTheme="minorEastAsia" w:cstheme="minorEastAsia"/>
          <w:b/>
          <w:color w:val="auto"/>
          <w:kern w:val="2"/>
          <w:sz w:val="28"/>
          <w:szCs w:val="28"/>
          <w:highlight w:val="none"/>
          <w:lang w:val="en-US" w:eastAsia="zh-CN" w:bidi="ar-SA"/>
        </w:rPr>
        <w:t>授权委托书</w:t>
      </w:r>
    </w:p>
    <w:p w14:paraId="249EC94A">
      <w:pPr>
        <w:pStyle w:val="22"/>
        <w:keepNext w:val="0"/>
        <w:keepLines w:val="0"/>
        <w:pageBreakBefore w:val="0"/>
        <w:kinsoku/>
        <w:wordWrap/>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（若供应商代表为“授权代表”时，提供此委托书）</w:t>
      </w:r>
    </w:p>
    <w:p w14:paraId="41EE9C32">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outlineLvl w:val="9"/>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四川省妇幼保健院</w:t>
      </w:r>
      <w:r>
        <w:rPr>
          <w:rFonts w:hint="eastAsia" w:asciiTheme="minorEastAsia" w:hAnsiTheme="minorEastAsia" w:eastAsiaTheme="minorEastAsia" w:cstheme="minorEastAsia"/>
          <w:color w:val="auto"/>
          <w:sz w:val="28"/>
          <w:szCs w:val="28"/>
          <w:highlight w:val="none"/>
        </w:rPr>
        <w:t>：</w:t>
      </w:r>
    </w:p>
    <w:p w14:paraId="30C3BBD7">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本人</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eastAsia="zh-CN"/>
        </w:rPr>
        <w:t>（姓名）系</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eastAsia="zh-CN"/>
        </w:rPr>
        <w:t>（供应商名称）的法定代表人（单位负责人），现委托</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eastAsia="zh-CN"/>
        </w:rPr>
        <w:t>（姓名）为我方代理人。代理人在本次采购中所签署的一切文件和处理的一切有关事宜，我公司（单位）均予承认，所产生的法律后果均由我公司（单位）承担。</w:t>
      </w:r>
    </w:p>
    <w:p w14:paraId="0540CEC4">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委托期限：自本授权委托书签署之日起至响应文件有效期届满之日止。代理人无转委托权。</w:t>
      </w:r>
    </w:p>
    <w:p w14:paraId="45985F23">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供应商名称：XXXX（盖单位公章）</w:t>
      </w:r>
    </w:p>
    <w:p w14:paraId="0E72C3F8">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法定代表人（单位负责人）（签字或加盖个人名章）：XXXX。</w:t>
      </w:r>
    </w:p>
    <w:p w14:paraId="4FD6C4FB">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授权代表（代理人）签字：XXXX。</w:t>
      </w:r>
    </w:p>
    <w:p w14:paraId="100B6C0B">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日    期：XXXX。</w:t>
      </w:r>
    </w:p>
    <w:p w14:paraId="10F72239">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法定代表人（单位负责人）有效期内的居民身份证正反面</w:t>
      </w:r>
    </w:p>
    <w:tbl>
      <w:tblPr>
        <w:tblStyle w:val="14"/>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64"/>
        <w:gridCol w:w="2875"/>
      </w:tblGrid>
      <w:tr w14:paraId="1127E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noWrap w:val="0"/>
            <w:vAlign w:val="top"/>
          </w:tcPr>
          <w:p w14:paraId="4D8C7289">
            <w:pPr>
              <w:keepNext w:val="0"/>
              <w:keepLines w:val="0"/>
              <w:pageBreakBefore w:val="0"/>
              <w:tabs>
                <w:tab w:val="left" w:pos="5580"/>
              </w:tabs>
              <w:kinsoku/>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sz w:val="28"/>
                <w:szCs w:val="28"/>
                <w:highlight w:val="none"/>
              </w:rPr>
            </w:pPr>
          </w:p>
        </w:tc>
        <w:tc>
          <w:tcPr>
            <w:tcW w:w="2875" w:type="dxa"/>
            <w:noWrap w:val="0"/>
            <w:vAlign w:val="top"/>
          </w:tcPr>
          <w:p w14:paraId="28F0DFB6">
            <w:pPr>
              <w:keepNext w:val="0"/>
              <w:keepLines w:val="0"/>
              <w:pageBreakBefore w:val="0"/>
              <w:tabs>
                <w:tab w:val="left" w:pos="5580"/>
              </w:tabs>
              <w:kinsoku/>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sz w:val="28"/>
                <w:szCs w:val="28"/>
                <w:highlight w:val="none"/>
              </w:rPr>
            </w:pPr>
          </w:p>
        </w:tc>
      </w:tr>
    </w:tbl>
    <w:p w14:paraId="07395264">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eastAsia="zh-CN"/>
        </w:rPr>
        <w:t>授权代表（代理人）</w:t>
      </w:r>
      <w:r>
        <w:rPr>
          <w:rFonts w:hint="eastAsia" w:asciiTheme="minorEastAsia" w:hAnsiTheme="minorEastAsia" w:eastAsiaTheme="minorEastAsia" w:cstheme="minorEastAsia"/>
          <w:color w:val="auto"/>
          <w:sz w:val="28"/>
          <w:szCs w:val="28"/>
          <w:highlight w:val="none"/>
          <w:lang w:val="en-US" w:eastAsia="zh-CN"/>
        </w:rPr>
        <w:t>有效期内的居民身份证正反面</w:t>
      </w:r>
    </w:p>
    <w:tbl>
      <w:tblPr>
        <w:tblStyle w:val="14"/>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64"/>
        <w:gridCol w:w="2875"/>
      </w:tblGrid>
      <w:tr w14:paraId="509F5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noWrap w:val="0"/>
            <w:vAlign w:val="top"/>
          </w:tcPr>
          <w:p w14:paraId="1B397FEB">
            <w:pPr>
              <w:keepNext w:val="0"/>
              <w:keepLines w:val="0"/>
              <w:pageBreakBefore w:val="0"/>
              <w:tabs>
                <w:tab w:val="left" w:pos="5580"/>
              </w:tabs>
              <w:kinsoku/>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sz w:val="28"/>
                <w:szCs w:val="28"/>
                <w:highlight w:val="none"/>
              </w:rPr>
            </w:pPr>
          </w:p>
        </w:tc>
        <w:tc>
          <w:tcPr>
            <w:tcW w:w="2875" w:type="dxa"/>
            <w:noWrap w:val="0"/>
            <w:vAlign w:val="top"/>
          </w:tcPr>
          <w:p w14:paraId="370941FE">
            <w:pPr>
              <w:keepNext w:val="0"/>
              <w:keepLines w:val="0"/>
              <w:pageBreakBefore w:val="0"/>
              <w:tabs>
                <w:tab w:val="left" w:pos="5580"/>
              </w:tabs>
              <w:kinsoku/>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sz w:val="28"/>
                <w:szCs w:val="28"/>
                <w:highlight w:val="none"/>
              </w:rPr>
            </w:pPr>
          </w:p>
        </w:tc>
      </w:tr>
    </w:tbl>
    <w:p w14:paraId="24796792">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注：</w:t>
      </w:r>
      <w:r>
        <w:rPr>
          <w:rFonts w:hint="eastAsia" w:asciiTheme="minorEastAsia" w:hAnsiTheme="minorEastAsia" w:eastAsiaTheme="minorEastAsia" w:cstheme="minorEastAsia"/>
          <w:color w:val="auto"/>
          <w:sz w:val="28"/>
          <w:szCs w:val="28"/>
          <w:highlight w:val="none"/>
          <w:lang w:val="en-US" w:eastAsia="zh-CN"/>
        </w:rPr>
        <w:t>1.</w:t>
      </w:r>
      <w:r>
        <w:rPr>
          <w:rFonts w:hint="eastAsia" w:asciiTheme="minorEastAsia" w:hAnsiTheme="minorEastAsia" w:eastAsiaTheme="minorEastAsia" w:cstheme="minorEastAsia"/>
          <w:color w:val="auto"/>
          <w:sz w:val="28"/>
          <w:szCs w:val="28"/>
          <w:highlight w:val="none"/>
          <w:lang w:eastAsia="zh-CN"/>
        </w:rPr>
        <w:t>提供有效期内的身份证明材料，例如居民身份证或户口本或军官证或护照等；</w:t>
      </w:r>
    </w:p>
    <w:p w14:paraId="12443F4A">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val="en-US" w:eastAsia="zh-CN"/>
        </w:rPr>
        <w:t>2.</w:t>
      </w:r>
      <w:r>
        <w:rPr>
          <w:rFonts w:hint="eastAsia" w:asciiTheme="minorEastAsia" w:hAnsiTheme="minorEastAsia" w:eastAsiaTheme="minorEastAsia" w:cstheme="minorEastAsia"/>
          <w:color w:val="auto"/>
          <w:sz w:val="28"/>
          <w:szCs w:val="28"/>
          <w:highlight w:val="none"/>
          <w:lang w:eastAsia="zh-CN"/>
        </w:rPr>
        <w:t>若提供居民身份证，须为正、反面复印件。</w:t>
      </w:r>
    </w:p>
    <w:p w14:paraId="320C9FE5">
      <w:pPr>
        <w:keepNext w:val="0"/>
        <w:keepLines w:val="0"/>
        <w:pageBreakBefore w:val="0"/>
        <w:widowControl/>
        <w:shd w:val="clear" w:color="auto" w:fill="FFFFFF"/>
        <w:kinsoku/>
        <w:wordWrap w:val="0"/>
        <w:overflowPunct/>
        <w:topLinePunct w:val="0"/>
        <w:autoSpaceDE/>
        <w:autoSpaceDN/>
        <w:bidi w:val="0"/>
        <w:spacing w:line="360" w:lineRule="auto"/>
        <w:ind w:left="480"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★说明：上述证明文件附有法定代表人、被授权代表身份证复印件（</w:t>
      </w:r>
      <w:r>
        <w:rPr>
          <w:rFonts w:hint="eastAsia" w:asciiTheme="minorEastAsia" w:hAnsiTheme="minorEastAsia" w:eastAsiaTheme="minorEastAsia" w:cstheme="minorEastAsia"/>
          <w:color w:val="auto"/>
          <w:kern w:val="0"/>
          <w:sz w:val="28"/>
          <w:szCs w:val="28"/>
          <w:highlight w:val="none"/>
          <w:lang w:val="en-US" w:eastAsia="zh-CN"/>
        </w:rPr>
        <w:t>双方签字并</w:t>
      </w:r>
      <w:r>
        <w:rPr>
          <w:rFonts w:hint="eastAsia" w:asciiTheme="minorEastAsia" w:hAnsiTheme="minorEastAsia" w:eastAsiaTheme="minorEastAsia" w:cstheme="minorEastAsia"/>
          <w:color w:val="auto"/>
          <w:kern w:val="0"/>
          <w:sz w:val="28"/>
          <w:szCs w:val="28"/>
          <w:highlight w:val="none"/>
        </w:rPr>
        <w:t>加盖公章）时才能生效。</w:t>
      </w:r>
    </w:p>
    <w:p w14:paraId="58136C28">
      <w:pPr>
        <w:pStyle w:val="2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62" w:firstLineChars="200"/>
        <w:jc w:val="left"/>
        <w:textAlignment w:val="auto"/>
        <w:outlineLvl w:val="9"/>
        <w:rPr>
          <w:rFonts w:hint="eastAsia" w:asciiTheme="minorEastAsia" w:hAnsiTheme="minorEastAsia" w:eastAsiaTheme="minorEastAsia" w:cstheme="minorEastAsia"/>
          <w:b/>
          <w:bCs/>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rPr>
        <w:br w:type="page"/>
      </w:r>
      <w:r>
        <w:rPr>
          <w:rFonts w:hint="eastAsia" w:asciiTheme="minorEastAsia" w:hAnsiTheme="minorEastAsia" w:eastAsiaTheme="minorEastAsia" w:cstheme="minorEastAsia"/>
          <w:b/>
          <w:bCs/>
          <w:color w:val="auto"/>
          <w:kern w:val="0"/>
          <w:sz w:val="28"/>
          <w:szCs w:val="28"/>
          <w:highlight w:val="none"/>
          <w:lang w:eastAsia="zh-CN"/>
        </w:rPr>
        <w:t>附件</w:t>
      </w:r>
      <w:r>
        <w:rPr>
          <w:rFonts w:hint="eastAsia" w:asciiTheme="minorEastAsia" w:hAnsiTheme="minorEastAsia" w:eastAsiaTheme="minorEastAsia" w:cstheme="minorEastAsia"/>
          <w:b/>
          <w:bCs/>
          <w:color w:val="auto"/>
          <w:kern w:val="0"/>
          <w:sz w:val="28"/>
          <w:szCs w:val="28"/>
          <w:highlight w:val="none"/>
          <w:lang w:val="en-US" w:eastAsia="zh-CN"/>
        </w:rPr>
        <w:t>5</w:t>
      </w:r>
      <w:r>
        <w:rPr>
          <w:rFonts w:hint="eastAsia" w:asciiTheme="minorEastAsia" w:hAnsiTheme="minorEastAsia" w:eastAsiaTheme="minorEastAsia" w:cstheme="minorEastAsia"/>
          <w:b/>
          <w:bCs/>
          <w:color w:val="auto"/>
          <w:kern w:val="0"/>
          <w:sz w:val="28"/>
          <w:szCs w:val="28"/>
          <w:highlight w:val="none"/>
        </w:rPr>
        <w:t>-</w:t>
      </w:r>
      <w:r>
        <w:rPr>
          <w:rFonts w:hint="eastAsia" w:asciiTheme="minorEastAsia" w:hAnsiTheme="minorEastAsia" w:eastAsiaTheme="minorEastAsia" w:cstheme="minorEastAsia"/>
          <w:b/>
          <w:bCs/>
          <w:color w:val="auto"/>
          <w:kern w:val="0"/>
          <w:sz w:val="28"/>
          <w:szCs w:val="28"/>
          <w:highlight w:val="none"/>
          <w:lang w:val="en-US" w:eastAsia="zh-CN"/>
        </w:rPr>
        <w:t>6</w:t>
      </w:r>
      <w:r>
        <w:rPr>
          <w:rFonts w:hint="eastAsia" w:asciiTheme="minorEastAsia" w:hAnsiTheme="minorEastAsia" w:eastAsiaTheme="minorEastAsia" w:cstheme="minorEastAsia"/>
          <w:b/>
          <w:bCs/>
          <w:color w:val="auto"/>
          <w:kern w:val="0"/>
          <w:sz w:val="28"/>
          <w:szCs w:val="28"/>
          <w:highlight w:val="none"/>
        </w:rPr>
        <w:t>：</w:t>
      </w:r>
    </w:p>
    <w:p w14:paraId="32DB14D9">
      <w:pPr>
        <w:pStyle w:val="12"/>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562" w:firstLineChars="200"/>
        <w:jc w:val="center"/>
        <w:textAlignment w:val="auto"/>
        <w:outlineLvl w:val="9"/>
        <w:rPr>
          <w:rFonts w:hint="eastAsia" w:asciiTheme="minorEastAsia" w:hAnsiTheme="minorEastAsia" w:eastAsiaTheme="minorEastAsia" w:cstheme="minorEastAsia"/>
          <w:b/>
          <w:color w:val="auto"/>
          <w:kern w:val="2"/>
          <w:sz w:val="28"/>
          <w:szCs w:val="28"/>
          <w:highlight w:val="none"/>
          <w:lang w:val="en-US" w:eastAsia="zh-CN" w:bidi="ar-SA"/>
        </w:rPr>
      </w:pPr>
      <w:r>
        <w:rPr>
          <w:rFonts w:hint="eastAsia" w:asciiTheme="minorEastAsia" w:hAnsiTheme="minorEastAsia" w:eastAsiaTheme="minorEastAsia" w:cstheme="minorEastAsia"/>
          <w:b/>
          <w:color w:val="auto"/>
          <w:kern w:val="2"/>
          <w:sz w:val="28"/>
          <w:szCs w:val="28"/>
          <w:highlight w:val="none"/>
          <w:lang w:val="en-US" w:eastAsia="zh-CN" w:bidi="ar-SA"/>
        </w:rPr>
        <w:t>法定代表人（单位负责人）身份证明</w:t>
      </w:r>
    </w:p>
    <w:p w14:paraId="0601C5C8">
      <w:pPr>
        <w:pStyle w:val="12"/>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560" w:firstLineChars="200"/>
        <w:jc w:val="center"/>
        <w:textAlignment w:val="auto"/>
        <w:outlineLvl w:val="9"/>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（若供应商代表为“法定代表人（单位负责人）”时，提供此证明）</w:t>
      </w:r>
    </w:p>
    <w:p w14:paraId="77DB318F">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outlineLvl w:val="9"/>
        <w:rPr>
          <w:rFonts w:hint="eastAsia" w:asciiTheme="minorEastAsia" w:hAnsiTheme="minorEastAsia" w:eastAsiaTheme="minorEastAsia" w:cstheme="minorEastAsia"/>
          <w:color w:val="auto"/>
          <w:sz w:val="28"/>
          <w:szCs w:val="28"/>
          <w:highlight w:val="none"/>
          <w:lang w:eastAsia="zh-CN"/>
        </w:rPr>
      </w:pPr>
    </w:p>
    <w:p w14:paraId="2FA2C7C7">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outlineLvl w:val="9"/>
        <w:rPr>
          <w:rFonts w:hint="eastAsia" w:asciiTheme="minorEastAsia" w:hAnsiTheme="minorEastAsia" w:eastAsiaTheme="minorEastAsia" w:cstheme="minorEastAsia"/>
          <w:b w:val="0"/>
          <w:bCs w:val="0"/>
          <w:color w:val="auto"/>
          <w:sz w:val="28"/>
          <w:szCs w:val="28"/>
          <w:highlight w:val="none"/>
          <w:u w:val="single"/>
          <w:lang w:val="en-US" w:eastAsia="zh-CN"/>
        </w:rPr>
      </w:pPr>
      <w:r>
        <w:rPr>
          <w:rFonts w:hint="eastAsia" w:asciiTheme="minorEastAsia" w:hAnsiTheme="minorEastAsia" w:eastAsiaTheme="minorEastAsia" w:cstheme="minorEastAsia"/>
          <w:color w:val="auto"/>
          <w:sz w:val="28"/>
          <w:szCs w:val="28"/>
          <w:highlight w:val="none"/>
          <w:lang w:eastAsia="zh-CN"/>
        </w:rPr>
        <w:t>四川省妇幼保健院</w:t>
      </w:r>
      <w:r>
        <w:rPr>
          <w:rFonts w:hint="eastAsia" w:asciiTheme="minorEastAsia" w:hAnsiTheme="minorEastAsia" w:eastAsiaTheme="minorEastAsia" w:cstheme="minorEastAsia"/>
          <w:color w:val="auto"/>
          <w:sz w:val="28"/>
          <w:szCs w:val="28"/>
          <w:highlight w:val="none"/>
        </w:rPr>
        <w:t>：</w:t>
      </w:r>
    </w:p>
    <w:p w14:paraId="450A841F">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val="en-US" w:eastAsia="zh-CN"/>
        </w:rPr>
        <w:t>（姓名）系</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val="en-US" w:eastAsia="zh-CN"/>
        </w:rPr>
        <w:t>（供应商名称）的法定代表人（单位负责人）（职务</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val="en-US" w:eastAsia="zh-CN"/>
        </w:rPr>
        <w:t>）。</w:t>
      </w:r>
    </w:p>
    <w:p w14:paraId="0C9A99D2">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特此证明。</w:t>
      </w:r>
    </w:p>
    <w:p w14:paraId="4A74A630">
      <w:pPr>
        <w:pStyle w:val="12"/>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right="0" w:rightChars="0" w:firstLine="560" w:firstLineChars="200"/>
        <w:jc w:val="left"/>
        <w:textAlignment w:val="auto"/>
        <w:outlineLvl w:val="9"/>
        <w:rPr>
          <w:rFonts w:hint="eastAsia" w:asciiTheme="minorEastAsia" w:hAnsiTheme="minorEastAsia" w:eastAsiaTheme="minorEastAsia" w:cstheme="minorEastAsia"/>
          <w:color w:val="auto"/>
          <w:sz w:val="28"/>
          <w:szCs w:val="28"/>
          <w:highlight w:val="none"/>
          <w:lang w:val="en-US" w:eastAsia="zh-CN"/>
        </w:rPr>
      </w:pPr>
    </w:p>
    <w:p w14:paraId="2CE9DE0C">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供应商名称：XXXX（盖单位公章）</w:t>
      </w:r>
    </w:p>
    <w:p w14:paraId="72396EC4">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法定代表人（单位负责人）（签字或加盖个人名章）：XXXX。</w:t>
      </w:r>
    </w:p>
    <w:p w14:paraId="2E9EC486">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日    期：XXXX。</w:t>
      </w:r>
    </w:p>
    <w:p w14:paraId="6BDFCB94">
      <w:pPr>
        <w:pStyle w:val="12"/>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560" w:firstLineChars="200"/>
        <w:jc w:val="left"/>
        <w:textAlignment w:val="auto"/>
        <w:outlineLvl w:val="9"/>
        <w:rPr>
          <w:rFonts w:hint="eastAsia" w:asciiTheme="minorEastAsia" w:hAnsiTheme="minorEastAsia" w:eastAsiaTheme="minorEastAsia" w:cstheme="minorEastAsia"/>
          <w:b w:val="0"/>
          <w:bCs w:val="0"/>
          <w:color w:val="auto"/>
          <w:sz w:val="28"/>
          <w:szCs w:val="28"/>
          <w:highlight w:val="none"/>
          <w:u w:val="none"/>
          <w:lang w:val="en-US" w:eastAsia="zh-CN"/>
        </w:rPr>
      </w:pPr>
    </w:p>
    <w:p w14:paraId="7B990C32">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法定代表人（单位负责人）有效期内的居民身份证正反面</w:t>
      </w:r>
    </w:p>
    <w:tbl>
      <w:tblPr>
        <w:tblStyle w:val="14"/>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501"/>
        <w:gridCol w:w="3398"/>
      </w:tblGrid>
      <w:tr w14:paraId="26A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3" w:hRule="atLeast"/>
          <w:jc w:val="center"/>
        </w:trPr>
        <w:tc>
          <w:tcPr>
            <w:tcW w:w="3501" w:type="dxa"/>
            <w:noWrap w:val="0"/>
            <w:vAlign w:val="top"/>
          </w:tcPr>
          <w:p w14:paraId="074F1084">
            <w:pPr>
              <w:keepNext w:val="0"/>
              <w:keepLines w:val="0"/>
              <w:pageBreakBefore w:val="0"/>
              <w:tabs>
                <w:tab w:val="left" w:pos="5580"/>
              </w:tabs>
              <w:kinsoku/>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sz w:val="28"/>
                <w:szCs w:val="28"/>
                <w:highlight w:val="none"/>
              </w:rPr>
            </w:pPr>
          </w:p>
        </w:tc>
        <w:tc>
          <w:tcPr>
            <w:tcW w:w="3398" w:type="dxa"/>
            <w:noWrap w:val="0"/>
            <w:vAlign w:val="top"/>
          </w:tcPr>
          <w:p w14:paraId="02B8C618">
            <w:pPr>
              <w:keepNext w:val="0"/>
              <w:keepLines w:val="0"/>
              <w:pageBreakBefore w:val="0"/>
              <w:tabs>
                <w:tab w:val="left" w:pos="5580"/>
              </w:tabs>
              <w:kinsoku/>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sz w:val="28"/>
                <w:szCs w:val="28"/>
                <w:highlight w:val="none"/>
              </w:rPr>
            </w:pPr>
          </w:p>
        </w:tc>
      </w:tr>
    </w:tbl>
    <w:p w14:paraId="4C17800F">
      <w:pPr>
        <w:pStyle w:val="12"/>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right="0" w:rightChars="0" w:firstLine="562" w:firstLineChars="200"/>
        <w:jc w:val="left"/>
        <w:textAlignment w:val="auto"/>
        <w:outlineLvl w:val="9"/>
        <w:rPr>
          <w:rFonts w:hint="eastAsia" w:asciiTheme="minorEastAsia" w:hAnsiTheme="minorEastAsia" w:eastAsiaTheme="minorEastAsia" w:cstheme="minorEastAsia"/>
          <w:b/>
          <w:bCs/>
          <w:i w:val="0"/>
          <w:iCs w:val="0"/>
          <w:color w:val="auto"/>
          <w:sz w:val="28"/>
          <w:szCs w:val="28"/>
          <w:highlight w:val="none"/>
          <w:u w:val="none"/>
          <w:lang w:val="en-US" w:eastAsia="zh-CN"/>
        </w:rPr>
      </w:pPr>
    </w:p>
    <w:p w14:paraId="477FCC06">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注：</w:t>
      </w:r>
      <w:r>
        <w:rPr>
          <w:rFonts w:hint="eastAsia" w:asciiTheme="minorEastAsia" w:hAnsiTheme="minorEastAsia" w:eastAsiaTheme="minorEastAsia" w:cstheme="minorEastAsia"/>
          <w:color w:val="auto"/>
          <w:sz w:val="28"/>
          <w:szCs w:val="28"/>
          <w:highlight w:val="none"/>
          <w:lang w:val="en-US" w:eastAsia="zh-CN"/>
        </w:rPr>
        <w:t>1.</w:t>
      </w:r>
      <w:r>
        <w:rPr>
          <w:rFonts w:hint="eastAsia" w:asciiTheme="minorEastAsia" w:hAnsiTheme="minorEastAsia" w:eastAsiaTheme="minorEastAsia" w:cstheme="minorEastAsia"/>
          <w:color w:val="auto"/>
          <w:sz w:val="28"/>
          <w:szCs w:val="28"/>
          <w:highlight w:val="none"/>
          <w:lang w:eastAsia="zh-CN"/>
        </w:rPr>
        <w:t>提供有效期内的身份证明材料，例如居民身份证或户口本或军官证或护照等；</w:t>
      </w:r>
      <w:r>
        <w:rPr>
          <w:rFonts w:hint="eastAsia" w:asciiTheme="minorEastAsia" w:hAnsiTheme="minorEastAsia" w:eastAsiaTheme="minorEastAsia" w:cstheme="minorEastAsia"/>
          <w:color w:val="auto"/>
          <w:sz w:val="28"/>
          <w:szCs w:val="28"/>
          <w:highlight w:val="none"/>
          <w:lang w:val="en-US" w:eastAsia="zh-CN"/>
        </w:rPr>
        <w:t>2.</w:t>
      </w:r>
      <w:r>
        <w:rPr>
          <w:rFonts w:hint="eastAsia" w:asciiTheme="minorEastAsia" w:hAnsiTheme="minorEastAsia" w:eastAsiaTheme="minorEastAsia" w:cstheme="minorEastAsia"/>
          <w:color w:val="auto"/>
          <w:sz w:val="28"/>
          <w:szCs w:val="28"/>
          <w:highlight w:val="none"/>
          <w:lang w:eastAsia="zh-CN"/>
        </w:rPr>
        <w:t>若提供居民身份证，须为正、反面复印件。</w:t>
      </w:r>
    </w:p>
    <w:p w14:paraId="295B8A9D">
      <w:pPr>
        <w:pStyle w:val="10"/>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color w:val="auto"/>
          <w:sz w:val="28"/>
          <w:szCs w:val="28"/>
          <w:highlight w:val="none"/>
          <w:lang w:eastAsia="zh-CN"/>
        </w:rPr>
      </w:pPr>
    </w:p>
    <w:p w14:paraId="3E7B419D">
      <w:pPr>
        <w:pStyle w:val="23"/>
        <w:keepNext w:val="0"/>
        <w:keepLines w:val="0"/>
        <w:pageBreakBefore w:val="0"/>
        <w:kinsoku/>
        <w:overflowPunct/>
        <w:topLinePunct w:val="0"/>
        <w:autoSpaceDE/>
        <w:autoSpaceDN/>
        <w:bidi w:val="0"/>
        <w:snapToGrid w:val="0"/>
        <w:spacing w:before="156" w:beforeLines="50" w:after="312" w:afterLines="100" w:line="360" w:lineRule="auto"/>
        <w:ind w:firstLine="562" w:firstLineChars="200"/>
        <w:jc w:val="left"/>
        <w:textAlignment w:val="auto"/>
        <w:rPr>
          <w:rFonts w:hint="eastAsia" w:asciiTheme="minorEastAsia" w:hAnsiTheme="minorEastAsia" w:eastAsiaTheme="minorEastAsia" w:cstheme="minorEastAsia"/>
          <w:b/>
          <w:bCs/>
          <w:color w:val="auto"/>
          <w:kern w:val="0"/>
          <w:sz w:val="28"/>
          <w:szCs w:val="28"/>
          <w:highlight w:val="none"/>
          <w:lang w:val="en-US" w:eastAsia="zh-CN"/>
        </w:rPr>
      </w:pPr>
      <w:r>
        <w:rPr>
          <w:rFonts w:hint="eastAsia" w:asciiTheme="minorEastAsia" w:hAnsiTheme="minorEastAsia" w:eastAsiaTheme="minorEastAsia" w:cstheme="minorEastAsia"/>
          <w:b/>
          <w:bCs/>
          <w:color w:val="auto"/>
          <w:kern w:val="0"/>
          <w:sz w:val="28"/>
          <w:szCs w:val="28"/>
          <w:highlight w:val="none"/>
          <w:lang w:eastAsia="zh-CN"/>
        </w:rPr>
        <w:t>附件</w:t>
      </w:r>
      <w:r>
        <w:rPr>
          <w:rFonts w:hint="eastAsia" w:asciiTheme="minorEastAsia" w:hAnsiTheme="minorEastAsia" w:eastAsiaTheme="minorEastAsia" w:cstheme="minorEastAsia"/>
          <w:b/>
          <w:bCs/>
          <w:color w:val="auto"/>
          <w:kern w:val="0"/>
          <w:sz w:val="28"/>
          <w:szCs w:val="28"/>
          <w:highlight w:val="none"/>
          <w:lang w:val="en-US" w:eastAsia="zh-CN"/>
        </w:rPr>
        <w:t>5</w:t>
      </w:r>
      <w:r>
        <w:rPr>
          <w:rFonts w:hint="eastAsia" w:asciiTheme="minorEastAsia" w:hAnsiTheme="minorEastAsia" w:eastAsiaTheme="minorEastAsia" w:cstheme="minorEastAsia"/>
          <w:b/>
          <w:bCs/>
          <w:color w:val="auto"/>
          <w:kern w:val="0"/>
          <w:sz w:val="28"/>
          <w:szCs w:val="28"/>
          <w:highlight w:val="none"/>
        </w:rPr>
        <w:t>-</w:t>
      </w:r>
      <w:r>
        <w:rPr>
          <w:rFonts w:hint="eastAsia" w:asciiTheme="minorEastAsia" w:hAnsiTheme="minorEastAsia" w:eastAsiaTheme="minorEastAsia" w:cstheme="minorEastAsia"/>
          <w:b/>
          <w:bCs/>
          <w:color w:val="auto"/>
          <w:kern w:val="0"/>
          <w:sz w:val="28"/>
          <w:szCs w:val="28"/>
          <w:highlight w:val="none"/>
          <w:lang w:val="en-US" w:eastAsia="zh-CN"/>
        </w:rPr>
        <w:t>7</w:t>
      </w:r>
      <w:r>
        <w:rPr>
          <w:rFonts w:hint="eastAsia" w:asciiTheme="minorEastAsia" w:hAnsiTheme="minorEastAsia" w:eastAsiaTheme="minorEastAsia" w:cstheme="minorEastAsia"/>
          <w:b/>
          <w:bCs/>
          <w:color w:val="auto"/>
          <w:kern w:val="0"/>
          <w:sz w:val="28"/>
          <w:szCs w:val="28"/>
          <w:highlight w:val="none"/>
        </w:rPr>
        <w:t>：</w:t>
      </w:r>
      <w:r>
        <w:rPr>
          <w:rFonts w:hint="eastAsia" w:asciiTheme="minorEastAsia" w:hAnsiTheme="minorEastAsia" w:eastAsiaTheme="minorEastAsia" w:cstheme="minorEastAsia"/>
          <w:b/>
          <w:bCs/>
          <w:color w:val="auto"/>
          <w:kern w:val="0"/>
          <w:sz w:val="28"/>
          <w:szCs w:val="28"/>
          <w:highlight w:val="none"/>
          <w:lang w:val="en-US" w:eastAsia="zh-CN"/>
        </w:rPr>
        <w:t>承诺函</w:t>
      </w:r>
    </w:p>
    <w:p w14:paraId="649482F9">
      <w:pPr>
        <w:pStyle w:val="23"/>
        <w:keepNext w:val="0"/>
        <w:keepLines w:val="0"/>
        <w:pageBreakBefore w:val="0"/>
        <w:kinsoku/>
        <w:overflowPunct/>
        <w:topLinePunct w:val="0"/>
        <w:autoSpaceDE/>
        <w:autoSpaceDN/>
        <w:bidi w:val="0"/>
        <w:snapToGrid w:val="0"/>
        <w:spacing w:before="156" w:beforeLines="50" w:after="312" w:afterLines="100" w:line="360" w:lineRule="auto"/>
        <w:ind w:firstLine="560" w:firstLineChars="200"/>
        <w:jc w:val="center"/>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shd w:val="clear" w:color="auto" w:fill="FFFFFF"/>
        </w:rPr>
        <w:t>承诺函</w:t>
      </w:r>
    </w:p>
    <w:p w14:paraId="290AFB2D">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四川省妇幼保健院：</w:t>
      </w:r>
    </w:p>
    <w:p w14:paraId="2D0C7027">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本供应商</w:t>
      </w:r>
      <w:r>
        <w:rPr>
          <w:rFonts w:hint="eastAsia" w:asciiTheme="minorEastAsia" w:hAnsiTheme="minorEastAsia" w:eastAsiaTheme="minorEastAsia" w:cstheme="minorEastAsia"/>
          <w:color w:val="auto"/>
          <w:sz w:val="28"/>
          <w:szCs w:val="28"/>
          <w:highlight w:val="none"/>
          <w:u w:val="single"/>
        </w:rPr>
        <w:t xml:space="preserve">      （供应商全称）        </w:t>
      </w:r>
      <w:r>
        <w:rPr>
          <w:rFonts w:hint="eastAsia" w:asciiTheme="minorEastAsia" w:hAnsiTheme="minorEastAsia" w:eastAsiaTheme="minorEastAsia" w:cstheme="minorEastAsia"/>
          <w:color w:val="auto"/>
          <w:sz w:val="28"/>
          <w:szCs w:val="28"/>
          <w:highlight w:val="none"/>
        </w:rPr>
        <w:t>参加</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（项目编号</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）的</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活动，现郑重承诺：</w:t>
      </w:r>
    </w:p>
    <w:p w14:paraId="571C8F60">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一、具备本项目规定的条件：</w:t>
      </w:r>
    </w:p>
    <w:p w14:paraId="10D7E9DC">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（一）具有独立承担民事责任的能力； </w:t>
      </w:r>
    </w:p>
    <w:p w14:paraId="3A6C1242">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（二）具有良好的商业信誉和健全的财务会计制度； </w:t>
      </w:r>
    </w:p>
    <w:p w14:paraId="775EDA9D">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（三）具有履行合同所必需的设备和专业技术能力； </w:t>
      </w:r>
    </w:p>
    <w:p w14:paraId="095A8FD6">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（四）有依法缴纳税收和社会保障资金的良好记录； </w:t>
      </w:r>
    </w:p>
    <w:p w14:paraId="43F23994">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（五）参加采购活动前三年内，在经营活动中没有重大违法记录；没有因安全事故、质量事故、违规等被政府有关部门记录</w:t>
      </w:r>
      <w:r>
        <w:rPr>
          <w:rFonts w:hint="eastAsia" w:asciiTheme="minorEastAsia" w:hAnsiTheme="minorEastAsia" w:eastAsiaTheme="minorEastAsia" w:cstheme="minorEastAsia"/>
          <w:color w:val="auto"/>
          <w:sz w:val="28"/>
          <w:szCs w:val="28"/>
          <w:highlight w:val="none"/>
          <w:lang w:eastAsia="zh-CN"/>
        </w:rPr>
        <w:t>；</w:t>
      </w:r>
    </w:p>
    <w:p w14:paraId="041F75BF">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（六）法律、行政法规规定的其他条件；</w:t>
      </w:r>
    </w:p>
    <w:p w14:paraId="627587EF">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二、完全接受和满足本项目</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文件中规定的实质性要求，如对</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文件有异议，已经在</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截止时间届满前依法进行维权救济，不存在对</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文件有异议的同时又参加</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以求侥幸成交或者为实现其他非法目的的行为。承诺成交后签订合同前按采购人要求提交技术参数相关佐证材料。</w:t>
      </w:r>
    </w:p>
    <w:p w14:paraId="1BDF0D99">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三、参加本次</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采购活动，不存在与单位负责人为同一人或者存在直接控股、管理关系的其他供应商参与同一合同项下的采购活动的行为。本单位未参与本采购项目前期咨询论证，不属于禁止参加本项目</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的供应商。</w:t>
      </w:r>
    </w:p>
    <w:p w14:paraId="032FE61D">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四、参加本次</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采购活动，不存在和其他供应商在同一合同项下的采购项目中，同时委托同一个自然人、同一家庭的人员、同一单位的人员作为代理人的行为。</w:t>
      </w:r>
    </w:p>
    <w:p w14:paraId="1CF3F1AE">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五、本单位未被对列入按财库[2016]125号规定的失信被执行人、重大税收违法案件当事人名单、政府采购严重违法失信行为记录名单及其他不符合《中华人民共和国政府采购法》第二十二条规定条件的供应商。</w:t>
      </w:r>
    </w:p>
    <w:p w14:paraId="4CBCDCE3">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六、国家或行业主管部门对采购产品的技术标准、质量标准和资格资质条件等有强制性规定的，我方承诺符合其要求。</w:t>
      </w:r>
    </w:p>
    <w:p w14:paraId="6DB8E36E">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本公司对上述承诺的内容事项真实性负责。如经查实上述承诺的内容事项存在虚假，本单位愿意接受以提供虚假材料谋取成交追究法律责任。</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tab/>
      </w:r>
    </w:p>
    <w:p w14:paraId="154A3658">
      <w:pPr>
        <w:keepNext w:val="0"/>
        <w:keepLines w:val="0"/>
        <w:pageBreakBefore w:val="0"/>
        <w:kinsoku/>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p>
    <w:p w14:paraId="62EDB2A3">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供应商名称：</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（盖章）</w:t>
      </w:r>
    </w:p>
    <w:p w14:paraId="3D0FFB5A">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法定代表人或授权代表（</w:t>
      </w:r>
      <w:r>
        <w:rPr>
          <w:rFonts w:hint="eastAsia" w:asciiTheme="minorEastAsia" w:hAnsiTheme="minorEastAsia" w:eastAsiaTheme="minorEastAsia" w:cstheme="minorEastAsia"/>
          <w:color w:val="auto"/>
          <w:sz w:val="28"/>
          <w:szCs w:val="28"/>
          <w:highlight w:val="none"/>
          <w:u w:val="single"/>
        </w:rPr>
        <w:t>签字或盖章</w:t>
      </w:r>
      <w:r>
        <w:rPr>
          <w:rFonts w:hint="eastAsia" w:asciiTheme="minorEastAsia" w:hAnsiTheme="minorEastAsia" w:eastAsiaTheme="minorEastAsia" w:cstheme="minorEastAsia"/>
          <w:color w:val="auto"/>
          <w:sz w:val="28"/>
          <w:szCs w:val="28"/>
          <w:highlight w:val="none"/>
        </w:rPr>
        <w:t>）：</w:t>
      </w:r>
    </w:p>
    <w:p w14:paraId="023A6B3A">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日 期：</w:t>
      </w:r>
    </w:p>
    <w:p w14:paraId="22A31787">
      <w:pPr>
        <w:pStyle w:val="9"/>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color w:val="auto"/>
          <w:sz w:val="28"/>
          <w:szCs w:val="28"/>
          <w:highlight w:val="none"/>
        </w:rPr>
        <w:sectPr>
          <w:pgSz w:w="11906" w:h="16838"/>
          <w:pgMar w:top="1134" w:right="1800" w:bottom="1134" w:left="1800" w:header="851" w:footer="992" w:gutter="0"/>
          <w:cols w:space="0" w:num="1"/>
          <w:rtlGutter w:val="0"/>
          <w:docGrid w:type="lines" w:linePitch="312" w:charSpace="0"/>
        </w:sectPr>
      </w:pPr>
    </w:p>
    <w:p w14:paraId="68B7E8E7">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附件</w:t>
      </w:r>
      <w:r>
        <w:rPr>
          <w:rFonts w:hint="eastAsia" w:asciiTheme="minorEastAsia" w:hAnsiTheme="minorEastAsia" w:cstheme="minorEastAsia"/>
          <w:b/>
          <w:bCs/>
          <w:color w:val="auto"/>
          <w:sz w:val="28"/>
          <w:szCs w:val="28"/>
          <w:highlight w:val="none"/>
          <w:lang w:val="en-US" w:eastAsia="zh-CN"/>
        </w:rPr>
        <w:t>6</w:t>
      </w:r>
      <w:r>
        <w:rPr>
          <w:rFonts w:hint="eastAsia" w:asciiTheme="minorEastAsia" w:hAnsiTheme="minorEastAsia" w:eastAsiaTheme="minorEastAsia" w:cstheme="minorEastAsia"/>
          <w:b/>
          <w:bCs/>
          <w:color w:val="auto"/>
          <w:sz w:val="28"/>
          <w:szCs w:val="28"/>
          <w:highlight w:val="none"/>
        </w:rPr>
        <w:t>：</w:t>
      </w:r>
    </w:p>
    <w:p w14:paraId="53E831F6">
      <w:pPr>
        <w:keepNext w:val="0"/>
        <w:keepLines w:val="0"/>
        <w:pageBreakBefore w:val="0"/>
        <w:widowControl/>
        <w:shd w:val="clear" w:color="auto" w:fill="FFFFFF"/>
        <w:kinsoku/>
        <w:wordWrap w:val="0"/>
        <w:overflowPunct/>
        <w:topLinePunct w:val="0"/>
        <w:autoSpaceDE/>
        <w:autoSpaceDN/>
        <w:bidi w:val="0"/>
        <w:spacing w:line="360" w:lineRule="auto"/>
        <w:ind w:firstLine="562" w:firstLineChars="200"/>
        <w:jc w:val="center"/>
        <w:textAlignment w:val="auto"/>
        <w:rPr>
          <w:rFonts w:hint="eastAsia" w:asciiTheme="minorEastAsia" w:hAnsiTheme="minorEastAsia" w:eastAsiaTheme="minorEastAsia" w:cstheme="minorEastAsia"/>
          <w:b/>
          <w:bCs/>
          <w:color w:val="auto"/>
          <w:kern w:val="0"/>
          <w:sz w:val="28"/>
          <w:szCs w:val="28"/>
          <w:highlight w:val="none"/>
          <w:lang w:val="en-US" w:eastAsia="zh-CN" w:bidi="ar-SA"/>
        </w:rPr>
      </w:pPr>
      <w:r>
        <w:rPr>
          <w:rFonts w:hint="eastAsia" w:asciiTheme="minorEastAsia" w:hAnsiTheme="minorEastAsia" w:eastAsiaTheme="minorEastAsia" w:cstheme="minorEastAsia"/>
          <w:b/>
          <w:bCs/>
          <w:color w:val="auto"/>
          <w:kern w:val="0"/>
          <w:sz w:val="28"/>
          <w:szCs w:val="28"/>
          <w:highlight w:val="none"/>
          <w:lang w:val="en-US" w:eastAsia="zh-CN" w:bidi="ar-SA"/>
        </w:rPr>
        <w:t>反商业贿赂承诺书</w:t>
      </w:r>
    </w:p>
    <w:p w14:paraId="4CAF0E5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14:paraId="77125299">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14:paraId="22A7F2AB">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二、本厂家、商家、公司保证在药品、医疗器械、设备、物资、基建工程竞标工作及药品、试剂销售等工作中承诺做到：</w:t>
      </w:r>
    </w:p>
    <w:p w14:paraId="74CDC918">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1、不与其他</w:t>
      </w:r>
      <w:r>
        <w:rPr>
          <w:rFonts w:hint="eastAsia" w:asciiTheme="minorEastAsia" w:hAnsiTheme="minorEastAsia" w:eastAsiaTheme="minorEastAsia" w:cstheme="minorEastAsia"/>
          <w:color w:val="auto"/>
          <w:kern w:val="0"/>
          <w:sz w:val="28"/>
          <w:szCs w:val="28"/>
          <w:highlight w:val="none"/>
          <w:lang w:eastAsia="zh-CN"/>
        </w:rPr>
        <w:t>供应商</w:t>
      </w:r>
      <w:r>
        <w:rPr>
          <w:rFonts w:hint="eastAsia" w:asciiTheme="minorEastAsia" w:hAnsiTheme="minorEastAsia" w:eastAsiaTheme="minorEastAsia" w:cstheme="minorEastAsia"/>
          <w:color w:val="auto"/>
          <w:kern w:val="0"/>
          <w:sz w:val="28"/>
          <w:szCs w:val="28"/>
          <w:highlight w:val="none"/>
        </w:rPr>
        <w:t>相互串通投标报价，损害贵院的合法权益；</w:t>
      </w:r>
    </w:p>
    <w:p w14:paraId="6E1E2DB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2、不与招标人串通投标，损害国家利益、社会公共利益或他人的合法权益；</w:t>
      </w:r>
    </w:p>
    <w:p w14:paraId="339E4B0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3、不以向招标人或者评标委员会成员行贿的手段谋取中标；</w:t>
      </w:r>
    </w:p>
    <w:p w14:paraId="35896D9A">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4、竞标报价不违反相关法律的规定，也不以他人名义投标或者以其他方式弄虚作假，骗取中标；</w:t>
      </w:r>
    </w:p>
    <w:p w14:paraId="6D3B4B75">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5、保证不以其他任何方式扰乱贵院的招标工作；</w:t>
      </w:r>
    </w:p>
    <w:p w14:paraId="128EA36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6、保证不在药品销售、医疗器械、设备、物资、基建工程竞标中采取账外暗中给予回扣的手段腐蚀、贿赂医护、药剂人员、干部等其他相关人员；</w:t>
      </w:r>
    </w:p>
    <w:p w14:paraId="5A24793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7、保证不以任何名义包括以宣传费、临床促销费、开单费、处方费、广告费、免费度假、考察旅游、房屋装修等任何名义给予贵院采购人员、药剂人员、医护人员、干部等有关人员以财物或者其他利益；</w:t>
      </w:r>
    </w:p>
    <w:p w14:paraId="5575A44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8、保证不让贵院临床科室、药剂部门以及有关人员登记、统计医生处方或为此提供方便，干扰贵院的正常工作秩序；</w:t>
      </w:r>
    </w:p>
    <w:p w14:paraId="5924C235">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9、保证不以其他任何不正当竞争手段推销药品、医疗器械、设备、物资。</w:t>
      </w:r>
    </w:p>
    <w:p w14:paraId="507DAB2F">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三、本厂家、商家、公司保证竭力维护贵院的声誉，不做任何有损贵院形象的事情。</w:t>
      </w:r>
    </w:p>
    <w:p w14:paraId="3509E56F">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14:paraId="2D4F357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五、对本厂家、商家、公司及本厂家、商家、公司工作人员采取以上手段竞标、促销等，干扰贵院正常工作秩序，损害贵院形象的，本厂家、商家、公司保证：</w:t>
      </w:r>
    </w:p>
    <w:p w14:paraId="13C5294A">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1、对尚处在竞标阶段的，贵院有权取消本厂家、商家、公司的竞标资格；已经中标的，贵院有权取消中标；对已经获得准入资格的，贵院有权随时取消本厂家、商家、公司的准入资格；</w:t>
      </w:r>
    </w:p>
    <w:p w14:paraId="13343498">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2、对本厂家、商家、公司相关工作人员作出严肃处理；</w:t>
      </w:r>
    </w:p>
    <w:p w14:paraId="768ECE3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3、对由于本厂家、商家、公司或本厂家、商家、公司工作人员的上述行为给贵院造成经济或名誉损失的，由本厂家、商家、公司负责，并愿意承担全部民事赔偿责任。</w:t>
      </w:r>
    </w:p>
    <w:p w14:paraId="1CCB86E6">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六、采购物资名称：</w:t>
      </w:r>
    </w:p>
    <w:p w14:paraId="4FE61E4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r>
        <w:rPr>
          <w:rFonts w:hint="eastAsia" w:asciiTheme="minorEastAsia" w:hAnsiTheme="minorEastAsia" w:eastAsiaTheme="minorEastAsia" w:cstheme="minorEastAsia"/>
          <w:color w:val="auto"/>
          <w:kern w:val="0"/>
          <w:sz w:val="28"/>
          <w:szCs w:val="28"/>
          <w:highlight w:val="none"/>
          <w:lang w:val="en-US" w:eastAsia="zh-CN"/>
        </w:rPr>
        <w:t xml:space="preserve">  </w:t>
      </w:r>
      <w:r>
        <w:rPr>
          <w:rFonts w:hint="eastAsia" w:asciiTheme="minorEastAsia" w:hAnsiTheme="minorEastAsia" w:eastAsiaTheme="minorEastAsia" w:cstheme="minorEastAsia"/>
          <w:color w:val="auto"/>
          <w:kern w:val="0"/>
          <w:sz w:val="28"/>
          <w:szCs w:val="28"/>
          <w:highlight w:val="none"/>
        </w:rPr>
        <w:t>本《承诺书》一式二份（一份由承诺人自存；一份随投标文件装订）</w:t>
      </w:r>
    </w:p>
    <w:p w14:paraId="39FEBA04">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lang w:eastAsia="zh-CN"/>
        </w:rPr>
      </w:pPr>
      <w:r>
        <w:rPr>
          <w:rFonts w:hint="eastAsia" w:asciiTheme="minorEastAsia" w:hAnsiTheme="minorEastAsia" w:eastAsiaTheme="minorEastAsia" w:cstheme="minorEastAsia"/>
          <w:color w:val="auto"/>
          <w:kern w:val="0"/>
          <w:sz w:val="28"/>
          <w:szCs w:val="28"/>
          <w:highlight w:val="none"/>
        </w:rPr>
        <w:t>承诺企业名称（公章）</w:t>
      </w:r>
      <w:r>
        <w:rPr>
          <w:rFonts w:hint="eastAsia" w:asciiTheme="minorEastAsia" w:hAnsiTheme="minorEastAsia" w:eastAsiaTheme="minorEastAsia" w:cstheme="minorEastAsia"/>
          <w:color w:val="auto"/>
          <w:kern w:val="0"/>
          <w:sz w:val="28"/>
          <w:szCs w:val="28"/>
          <w:highlight w:val="none"/>
          <w:lang w:eastAsia="zh-CN"/>
        </w:rPr>
        <w:t>：</w:t>
      </w:r>
    </w:p>
    <w:p w14:paraId="37729CD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lang w:eastAsia="zh-CN"/>
        </w:rPr>
      </w:pPr>
      <w:r>
        <w:rPr>
          <w:rFonts w:hint="eastAsia" w:asciiTheme="minorEastAsia" w:hAnsiTheme="minorEastAsia" w:eastAsiaTheme="minorEastAsia" w:cstheme="minorEastAsia"/>
          <w:color w:val="auto"/>
          <w:kern w:val="0"/>
          <w:sz w:val="28"/>
          <w:szCs w:val="28"/>
          <w:highlight w:val="none"/>
        </w:rPr>
        <w:t>法人代表或委托代理人（承诺人）</w:t>
      </w:r>
      <w:r>
        <w:rPr>
          <w:rFonts w:hint="eastAsia" w:asciiTheme="minorEastAsia" w:hAnsiTheme="minorEastAsia" w:eastAsiaTheme="minorEastAsia" w:cstheme="minorEastAsia"/>
          <w:color w:val="auto"/>
          <w:kern w:val="0"/>
          <w:sz w:val="28"/>
          <w:szCs w:val="28"/>
          <w:highlight w:val="none"/>
          <w:lang w:eastAsia="zh-CN"/>
        </w:rPr>
        <w:t>：</w:t>
      </w:r>
    </w:p>
    <w:p w14:paraId="53E09FAF">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lang w:val="en-US" w:eastAsia="zh-CN"/>
        </w:rPr>
        <w:sectPr>
          <w:pgSz w:w="11906" w:h="16838"/>
          <w:pgMar w:top="1020" w:right="1800" w:bottom="1440" w:left="1800" w:header="851" w:footer="992" w:gutter="0"/>
          <w:cols w:space="425" w:num="1"/>
          <w:docGrid w:type="lines" w:linePitch="312" w:charSpace="0"/>
        </w:sectPr>
      </w:pPr>
      <w:r>
        <w:rPr>
          <w:rFonts w:hint="eastAsia" w:asciiTheme="minorEastAsia" w:hAnsiTheme="minorEastAsia" w:eastAsiaTheme="minorEastAsia" w:cstheme="minorEastAsia"/>
          <w:color w:val="auto"/>
          <w:kern w:val="0"/>
          <w:sz w:val="28"/>
          <w:szCs w:val="28"/>
          <w:highlight w:val="none"/>
          <w:lang w:val="en-US" w:eastAsia="zh-CN"/>
        </w:rPr>
        <w:t>日期:</w:t>
      </w:r>
    </w:p>
    <w:p w14:paraId="2D1F4551">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附件</w:t>
      </w:r>
      <w:r>
        <w:rPr>
          <w:rFonts w:hint="eastAsia" w:asciiTheme="minorEastAsia" w:hAnsiTheme="minorEastAsia" w:cstheme="minorEastAsia"/>
          <w:b/>
          <w:bCs/>
          <w:color w:val="auto"/>
          <w:sz w:val="28"/>
          <w:szCs w:val="28"/>
          <w:highlight w:val="none"/>
          <w:lang w:val="en-US" w:eastAsia="zh-CN"/>
        </w:rPr>
        <w:t>7</w:t>
      </w:r>
      <w:r>
        <w:rPr>
          <w:rFonts w:hint="eastAsia" w:asciiTheme="minorEastAsia" w:hAnsiTheme="minorEastAsia" w:eastAsiaTheme="minorEastAsia" w:cstheme="minorEastAsia"/>
          <w:b/>
          <w:bCs/>
          <w:color w:val="auto"/>
          <w:sz w:val="28"/>
          <w:szCs w:val="28"/>
          <w:highlight w:val="none"/>
        </w:rPr>
        <w:t>：</w:t>
      </w:r>
    </w:p>
    <w:p w14:paraId="438868AE">
      <w:pPr>
        <w:pStyle w:val="8"/>
        <w:keepNext w:val="0"/>
        <w:keepLines w:val="0"/>
        <w:pageBreakBefore w:val="0"/>
        <w:kinsoku/>
        <w:overflowPunct/>
        <w:topLinePunct w:val="0"/>
        <w:autoSpaceDE/>
        <w:autoSpaceDN/>
        <w:bidi w:val="0"/>
        <w:spacing w:line="360" w:lineRule="auto"/>
        <w:ind w:firstLine="562" w:firstLineChars="200"/>
        <w:jc w:val="center"/>
        <w:rPr>
          <w:rFonts w:hint="eastAsia" w:asciiTheme="minorEastAsia" w:hAnsiTheme="minorEastAsia" w:eastAsiaTheme="minorEastAsia" w:cstheme="minorEastAsia"/>
          <w:b/>
          <w:bCs/>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rPr>
        <w:t>无围标、串标行为承诺书</w:t>
      </w:r>
    </w:p>
    <w:p w14:paraId="05803B0D">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本公司郑重承诺：我公司自觉遵守《中华人民共和国政府采购法》和《中华人民共和国政府采购法实施条例》的有关规定，我公司在参加本次项目（项目名称：XXXXXXX）采购活动中，无以下围标、串标行为：</w:t>
      </w:r>
    </w:p>
    <w:p w14:paraId="32315588">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1.不同供应商的投标文件由同一单位或者个人编制；</w:t>
      </w:r>
    </w:p>
    <w:p w14:paraId="6966707B">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2.不同供应商委托同一单位或者个人办理投标事宜；</w:t>
      </w:r>
    </w:p>
    <w:p w14:paraId="3563BEF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3.不同供应商的投标文件载明的项目管理成员或者联系人员为同一人；</w:t>
      </w:r>
    </w:p>
    <w:p w14:paraId="3B7A651F">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4.不同供应商的投标文件异常一致或者投标报价呈规律性差异；</w:t>
      </w:r>
    </w:p>
    <w:p w14:paraId="1143831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5.不同供应商的投标文件相互混装；</w:t>
      </w:r>
    </w:p>
    <w:p w14:paraId="272F4EDA">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6.不同供应商的投标保证金从同一单位或者个人的账户转出；</w:t>
      </w:r>
    </w:p>
    <w:p w14:paraId="68F64EE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7.不同供应商的董事、监事、高管、单位负责人为同一人或者存在控股、管理关系的不同单位参加同一采购项目；</w:t>
      </w:r>
    </w:p>
    <w:p w14:paraId="07F3137D">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8.供应商之间事先约定由某一特定供应商中标、成交；</w:t>
      </w:r>
    </w:p>
    <w:p w14:paraId="42F63282">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9.供应商之间商定部分供应商放弃参加采购活动或者放弃中标、成交；</w:t>
      </w:r>
    </w:p>
    <w:p w14:paraId="3D0828DB">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10.法律法规界定的其他围标串标行为。</w:t>
      </w:r>
    </w:p>
    <w:p w14:paraId="17F549FE">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我公司承诺在本项目采购活动中，与采购人不存在关联关系，与其他投标单位不存在关联关系。如被查实在本项目采购活动中存在围标、串标的，本公司将承担法律责任，接受相应的法律法规处罚。</w:t>
      </w:r>
    </w:p>
    <w:p w14:paraId="36F6B9EA">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p>
    <w:p w14:paraId="1037E7A5">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eastAsia="zh-CN"/>
        </w:rPr>
        <w:t>供应商</w:t>
      </w:r>
      <w:r>
        <w:rPr>
          <w:rFonts w:hint="eastAsia" w:asciiTheme="minorEastAsia" w:hAnsiTheme="minorEastAsia" w:eastAsiaTheme="minorEastAsia" w:cstheme="minorEastAsia"/>
          <w:color w:val="auto"/>
          <w:kern w:val="0"/>
          <w:sz w:val="28"/>
          <w:szCs w:val="28"/>
          <w:highlight w:val="none"/>
        </w:rPr>
        <w:t>法人代表或委托代理人（承诺人） ：</w:t>
      </w:r>
    </w:p>
    <w:p w14:paraId="668CE1B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eastAsia="zh-CN"/>
        </w:rPr>
        <w:t>供应商</w:t>
      </w:r>
      <w:r>
        <w:rPr>
          <w:rFonts w:hint="eastAsia" w:asciiTheme="minorEastAsia" w:hAnsiTheme="minorEastAsia" w:eastAsiaTheme="minorEastAsia" w:cstheme="minorEastAsia"/>
          <w:color w:val="auto"/>
          <w:kern w:val="0"/>
          <w:sz w:val="28"/>
          <w:szCs w:val="28"/>
          <w:highlight w:val="none"/>
        </w:rPr>
        <w:t xml:space="preserve">：（公章）  </w:t>
      </w:r>
    </w:p>
    <w:p w14:paraId="6DA56BA3">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日期：</w:t>
      </w:r>
    </w:p>
    <w:p w14:paraId="093EE072">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p>
    <w:p w14:paraId="3AEEBA74">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p>
    <w:p w14:paraId="02473725">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Cs/>
          <w:color w:val="auto"/>
          <w:kern w:val="0"/>
          <w:sz w:val="28"/>
          <w:szCs w:val="28"/>
          <w:highlight w:val="none"/>
        </w:rPr>
      </w:pPr>
      <w:r>
        <w:rPr>
          <w:rFonts w:hint="eastAsia" w:asciiTheme="minorEastAsia" w:hAnsiTheme="minorEastAsia" w:eastAsiaTheme="minorEastAsia" w:cstheme="minorEastAsia"/>
          <w:bCs/>
          <w:color w:val="auto"/>
          <w:kern w:val="0"/>
          <w:sz w:val="28"/>
          <w:szCs w:val="28"/>
          <w:highlight w:val="none"/>
        </w:rPr>
        <w:br w:type="page"/>
      </w:r>
    </w:p>
    <w:p w14:paraId="3331FBC4">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附件</w:t>
      </w:r>
      <w:r>
        <w:rPr>
          <w:rFonts w:hint="eastAsia" w:asciiTheme="minorEastAsia" w:hAnsiTheme="minorEastAsia" w:cstheme="minorEastAsia"/>
          <w:b/>
          <w:bCs/>
          <w:color w:val="auto"/>
          <w:sz w:val="28"/>
          <w:szCs w:val="28"/>
          <w:highlight w:val="none"/>
          <w:lang w:val="en-US" w:eastAsia="zh-CN"/>
        </w:rPr>
        <w:t>8</w:t>
      </w:r>
      <w:r>
        <w:rPr>
          <w:rFonts w:hint="eastAsia" w:asciiTheme="minorEastAsia" w:hAnsiTheme="minorEastAsia" w:eastAsiaTheme="minorEastAsia" w:cstheme="minorEastAsia"/>
          <w:b/>
          <w:bCs/>
          <w:color w:val="auto"/>
          <w:sz w:val="28"/>
          <w:szCs w:val="28"/>
          <w:highlight w:val="none"/>
        </w:rPr>
        <w:t>：</w:t>
      </w:r>
    </w:p>
    <w:p w14:paraId="31D5E670">
      <w:pPr>
        <w:keepNext w:val="0"/>
        <w:keepLines w:val="0"/>
        <w:pageBreakBefore w:val="0"/>
        <w:widowControl/>
        <w:kinsoku/>
        <w:overflowPunct/>
        <w:topLinePunct w:val="0"/>
        <w:autoSpaceDE/>
        <w:autoSpaceDN/>
        <w:bidi w:val="0"/>
        <w:spacing w:line="360" w:lineRule="auto"/>
        <w:ind w:firstLine="562"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rPr>
        <w:t>供应商遵守招标采购纪律承诺书</w:t>
      </w:r>
    </w:p>
    <w:p w14:paraId="3EABDD43">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致四川省妇幼保健院：</w:t>
      </w:r>
    </w:p>
    <w:p w14:paraId="712E20A4">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我单位作为本次采购项目的供应商，根据</w:t>
      </w:r>
      <w:r>
        <w:rPr>
          <w:rFonts w:hint="eastAsia" w:asciiTheme="minorEastAsia" w:hAnsiTheme="minorEastAsia" w:eastAsiaTheme="minorEastAsia" w:cstheme="minorEastAsia"/>
          <w:color w:val="auto"/>
          <w:kern w:val="0"/>
          <w:sz w:val="28"/>
          <w:szCs w:val="28"/>
          <w:highlight w:val="none"/>
          <w:lang w:val="en-US" w:eastAsia="zh-CN"/>
        </w:rPr>
        <w:t>采购</w:t>
      </w:r>
      <w:r>
        <w:rPr>
          <w:rFonts w:hint="eastAsia" w:asciiTheme="minorEastAsia" w:hAnsiTheme="minorEastAsia" w:eastAsiaTheme="minorEastAsia" w:cstheme="minorEastAsia"/>
          <w:color w:val="auto"/>
          <w:kern w:val="0"/>
          <w:sz w:val="28"/>
          <w:szCs w:val="28"/>
          <w:highlight w:val="none"/>
        </w:rPr>
        <w:t>文件要求，现郑重承诺如下：</w:t>
      </w:r>
    </w:p>
    <w:p w14:paraId="2D9A12F6">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一、参加本次采购活动，我单位不存在与单位负责人为同一人或者存在直接控股、管理关系的其他供应商参与同一合同项下的采购活动的行为。</w:t>
      </w:r>
    </w:p>
    <w:p w14:paraId="449C2625">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二、参加本次采购活动，不得直接或者间接从采购人或者采购代理机构处获得其他供应商的相关情况并修改其投标文件或者响应文件。</w:t>
      </w:r>
    </w:p>
    <w:p w14:paraId="22B6A86C">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三、参加本次采购活动，不得按照采购人的授意撤换、修改投标文件或者响应文件。</w:t>
      </w:r>
    </w:p>
    <w:p w14:paraId="783466E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四、参加本次采购活动，不得和本次采购供应商之间协商报价、技术方案等投标文件或者响应文件的实质性内容。</w:t>
      </w:r>
    </w:p>
    <w:p w14:paraId="671558BE">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五、本次采购活动中，不存在属于同一集团、协会、商会等组织成员的供应商按照该组织要求协同参加本次采购活动。</w:t>
      </w:r>
    </w:p>
    <w:p w14:paraId="1D183FF4">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六、参加本次采购活动，不存在与其他供应商之间事先约定由某一特定供应商中标、成交。</w:t>
      </w:r>
    </w:p>
    <w:p w14:paraId="0EB982C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七、参加本次采购活动，不存在与其他供应商商定部分供应商放弃参加采购活动或者放弃中标、成交。</w:t>
      </w:r>
    </w:p>
    <w:p w14:paraId="25AEC0C2">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八、参加本次采购活动，不存在我单位的投标文件或者响应文件由其他参与本项目的单位或个人编制或委托办理投标事宜。</w:t>
      </w:r>
    </w:p>
    <w:p w14:paraId="28F104DD">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九、参加本次采购活动，不存在我单位与采购人之间、供应商相互之间，为谋求特定供应商中标、成交或者排斥其他供应商的其他串通行为。</w:t>
      </w:r>
    </w:p>
    <w:p w14:paraId="372CC8D8">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十、与我方存在直接控股关系的单位为：_______________；</w:t>
      </w:r>
    </w:p>
    <w:p w14:paraId="34A1E025">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存在管理关系单位为：____________________________。</w:t>
      </w:r>
    </w:p>
    <w:p w14:paraId="6B7682E2">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p>
    <w:p w14:paraId="22F5D27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14:paraId="18E9455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p>
    <w:p w14:paraId="561F3238">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xml:space="preserve">供应商名称（单位公章）：                 年    月   日      </w:t>
      </w:r>
    </w:p>
    <w:p w14:paraId="6C1FC1F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法定代表人/单位负责人或授权代表</w:t>
      </w:r>
    </w:p>
    <w:p w14:paraId="56893CBB">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xml:space="preserve">（签字或加盖个人名章）：        </w:t>
      </w:r>
    </w:p>
    <w:p w14:paraId="75F453D3">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xml:space="preserve"> </w:t>
      </w:r>
    </w:p>
    <w:p w14:paraId="255A978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注：</w:t>
      </w:r>
    </w:p>
    <w:p w14:paraId="71F9706B">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1.“负责人”是指单位法定代表人或者法律、行政法规规定代表单位行使职权的主要负责人。</w:t>
      </w:r>
    </w:p>
    <w:p w14:paraId="2202D27A">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14:paraId="534B0DF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kern w:val="0"/>
          <w:sz w:val="28"/>
          <w:szCs w:val="28"/>
          <w:highlight w:val="none"/>
        </w:rPr>
        <w:t>3.“管理关系”是指与不具有出资持股关系的单位之间存在的其他管理与被管理关系。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93649C-DF2E-4BC6-8C30-DAE96617F65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embedRegular r:id="rId2" w:fontKey="{AD68F786-C71A-4327-AF67-D57FF14DF8EC}"/>
  </w:font>
  <w:font w:name="仿宋">
    <w:panose1 w:val="02010609060101010101"/>
    <w:charset w:val="86"/>
    <w:family w:val="modern"/>
    <w:pitch w:val="default"/>
    <w:sig w:usb0="800002BF" w:usb1="38CF7CFA" w:usb2="00000016" w:usb3="00000000" w:csb0="00040001" w:csb1="00000000"/>
    <w:embedRegular r:id="rId3" w:fontKey="{C1AF3854-1B87-4882-A138-2DFE511FD1A6}"/>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6C5CA9"/>
    <w:multiLevelType w:val="multilevel"/>
    <w:tmpl w:val="346C5CA9"/>
    <w:lvl w:ilvl="0" w:tentative="0">
      <w:start w:val="1"/>
      <w:numFmt w:val="bullet"/>
      <w:pStyle w:val="21"/>
      <w:lvlText w:val="-"/>
      <w:lvlJc w:val="left"/>
      <w:pPr>
        <w:tabs>
          <w:tab w:val="left" w:pos="927"/>
        </w:tabs>
        <w:ind w:left="562" w:firstLine="5"/>
      </w:pPr>
      <w:rPr>
        <w:rFonts w:hint="eastAsia" w:ascii="宋体" w:hAnsi="Wingdings" w:eastAsia="宋体"/>
        <w:lang w:eastAsia="zh-CN"/>
      </w:rPr>
    </w:lvl>
    <w:lvl w:ilvl="1" w:tentative="0">
      <w:start w:val="1"/>
      <w:numFmt w:val="bullet"/>
      <w:lvlText w:val=""/>
      <w:lvlJc w:val="left"/>
      <w:pPr>
        <w:tabs>
          <w:tab w:val="left" w:pos="3360"/>
        </w:tabs>
        <w:ind w:left="3360" w:hanging="420"/>
      </w:pPr>
      <w:rPr>
        <w:rFonts w:hint="default" w:ascii="Wingdings" w:hAnsi="Wingdings"/>
      </w:rPr>
    </w:lvl>
    <w:lvl w:ilvl="2" w:tentative="0">
      <w:start w:val="1"/>
      <w:numFmt w:val="bullet"/>
      <w:lvlText w:val=""/>
      <w:lvlJc w:val="left"/>
      <w:pPr>
        <w:tabs>
          <w:tab w:val="left" w:pos="3780"/>
        </w:tabs>
        <w:ind w:left="3780" w:hanging="420"/>
      </w:pPr>
      <w:rPr>
        <w:rFonts w:hint="default" w:ascii="Wingdings" w:hAnsi="Wingdings"/>
      </w:rPr>
    </w:lvl>
    <w:lvl w:ilvl="3" w:tentative="0">
      <w:start w:val="1"/>
      <w:numFmt w:val="bullet"/>
      <w:lvlText w:val=""/>
      <w:lvlJc w:val="left"/>
      <w:pPr>
        <w:tabs>
          <w:tab w:val="left" w:pos="4200"/>
        </w:tabs>
        <w:ind w:left="4200" w:hanging="420"/>
      </w:pPr>
      <w:rPr>
        <w:rFonts w:hint="default" w:ascii="Wingdings" w:hAnsi="Wingdings"/>
      </w:rPr>
    </w:lvl>
    <w:lvl w:ilvl="4" w:tentative="0">
      <w:start w:val="1"/>
      <w:numFmt w:val="bullet"/>
      <w:lvlText w:val=""/>
      <w:lvlJc w:val="left"/>
      <w:pPr>
        <w:tabs>
          <w:tab w:val="left" w:pos="4620"/>
        </w:tabs>
        <w:ind w:left="4620" w:hanging="420"/>
      </w:pPr>
      <w:rPr>
        <w:rFonts w:hint="default" w:ascii="Wingdings" w:hAnsi="Wingdings"/>
      </w:rPr>
    </w:lvl>
    <w:lvl w:ilvl="5" w:tentative="0">
      <w:start w:val="1"/>
      <w:numFmt w:val="bullet"/>
      <w:lvlText w:val=""/>
      <w:lvlJc w:val="left"/>
      <w:pPr>
        <w:tabs>
          <w:tab w:val="left" w:pos="5040"/>
        </w:tabs>
        <w:ind w:left="5040" w:hanging="420"/>
      </w:pPr>
      <w:rPr>
        <w:rFonts w:hint="default" w:ascii="Wingdings" w:hAnsi="Wingdings"/>
      </w:rPr>
    </w:lvl>
    <w:lvl w:ilvl="6" w:tentative="0">
      <w:start w:val="1"/>
      <w:numFmt w:val="bullet"/>
      <w:lvlText w:val=""/>
      <w:lvlJc w:val="left"/>
      <w:pPr>
        <w:tabs>
          <w:tab w:val="left" w:pos="5460"/>
        </w:tabs>
        <w:ind w:left="5460" w:hanging="420"/>
      </w:pPr>
      <w:rPr>
        <w:rFonts w:hint="default" w:ascii="Wingdings" w:hAnsi="Wingdings"/>
      </w:rPr>
    </w:lvl>
    <w:lvl w:ilvl="7" w:tentative="0">
      <w:start w:val="1"/>
      <w:numFmt w:val="bullet"/>
      <w:lvlText w:val=""/>
      <w:lvlJc w:val="left"/>
      <w:pPr>
        <w:tabs>
          <w:tab w:val="left" w:pos="5880"/>
        </w:tabs>
        <w:ind w:left="5880" w:hanging="420"/>
      </w:pPr>
      <w:rPr>
        <w:rFonts w:hint="default" w:ascii="Wingdings" w:hAnsi="Wingdings"/>
      </w:rPr>
    </w:lvl>
    <w:lvl w:ilvl="8" w:tentative="0">
      <w:start w:val="1"/>
      <w:numFmt w:val="bullet"/>
      <w:lvlText w:val=""/>
      <w:lvlJc w:val="left"/>
      <w:pPr>
        <w:tabs>
          <w:tab w:val="left" w:pos="6300"/>
        </w:tabs>
        <w:ind w:left="6300" w:hanging="420"/>
      </w:pPr>
      <w:rPr>
        <w:rFonts w:hint="default" w:ascii="Wingdings" w:hAnsi="Wingdings"/>
      </w:rPr>
    </w:lvl>
  </w:abstractNum>
  <w:abstractNum w:abstractNumId="1">
    <w:nsid w:val="3CC73979"/>
    <w:multiLevelType w:val="singleLevel"/>
    <w:tmpl w:val="3CC73979"/>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ED4DAE"/>
    <w:rsid w:val="05517C3A"/>
    <w:rsid w:val="0F8825C6"/>
    <w:rsid w:val="11F537E4"/>
    <w:rsid w:val="138A4785"/>
    <w:rsid w:val="14AF0461"/>
    <w:rsid w:val="14FC0436"/>
    <w:rsid w:val="175912C7"/>
    <w:rsid w:val="184C6FDF"/>
    <w:rsid w:val="187742A8"/>
    <w:rsid w:val="1F3031B6"/>
    <w:rsid w:val="1F4A53CB"/>
    <w:rsid w:val="203A3541"/>
    <w:rsid w:val="208F040E"/>
    <w:rsid w:val="227C1A9E"/>
    <w:rsid w:val="25453D0B"/>
    <w:rsid w:val="27941805"/>
    <w:rsid w:val="294D58D2"/>
    <w:rsid w:val="295B1778"/>
    <w:rsid w:val="2AFF68BE"/>
    <w:rsid w:val="2BA23936"/>
    <w:rsid w:val="2EC10961"/>
    <w:rsid w:val="35A76427"/>
    <w:rsid w:val="3B847064"/>
    <w:rsid w:val="3C566C8A"/>
    <w:rsid w:val="408F5EAA"/>
    <w:rsid w:val="42133C4B"/>
    <w:rsid w:val="43D67F5B"/>
    <w:rsid w:val="45405621"/>
    <w:rsid w:val="47E145F7"/>
    <w:rsid w:val="48C24FF6"/>
    <w:rsid w:val="4A555F75"/>
    <w:rsid w:val="4AE20F59"/>
    <w:rsid w:val="4B760B3E"/>
    <w:rsid w:val="4CE8793A"/>
    <w:rsid w:val="4D187635"/>
    <w:rsid w:val="4DB6131A"/>
    <w:rsid w:val="52A62D67"/>
    <w:rsid w:val="52AD70D7"/>
    <w:rsid w:val="56271F26"/>
    <w:rsid w:val="56867584"/>
    <w:rsid w:val="597D4C6F"/>
    <w:rsid w:val="5BEB0046"/>
    <w:rsid w:val="5DB92B5B"/>
    <w:rsid w:val="5F4A19DE"/>
    <w:rsid w:val="5FED4DAE"/>
    <w:rsid w:val="62060167"/>
    <w:rsid w:val="63B72450"/>
    <w:rsid w:val="647057E6"/>
    <w:rsid w:val="68816C26"/>
    <w:rsid w:val="690C3919"/>
    <w:rsid w:val="6B910106"/>
    <w:rsid w:val="6C0A0FB6"/>
    <w:rsid w:val="6D6B47C4"/>
    <w:rsid w:val="73345415"/>
    <w:rsid w:val="734D097C"/>
    <w:rsid w:val="745434E0"/>
    <w:rsid w:val="76177A39"/>
    <w:rsid w:val="770402C6"/>
    <w:rsid w:val="773C532B"/>
    <w:rsid w:val="7B643FA6"/>
    <w:rsid w:val="7B8732D3"/>
    <w:rsid w:val="7DA71A0B"/>
    <w:rsid w:val="7F200BF1"/>
    <w:rsid w:val="7F296F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40"/>
      <w:szCs w:val="40"/>
      <w14:ligatures w14:val="standardContextual"/>
    </w:rPr>
  </w:style>
  <w:style w:type="paragraph" w:styleId="4">
    <w:name w:val="heading 3"/>
    <w:basedOn w:val="1"/>
    <w:next w:val="1"/>
    <w:semiHidden/>
    <w:unhideWhenUsed/>
    <w:qFormat/>
    <w:uiPriority w:val="9"/>
    <w:pPr>
      <w:keepNext/>
      <w:keepLines/>
      <w:spacing w:before="160" w:after="80"/>
      <w:outlineLvl w:val="2"/>
    </w:pPr>
    <w:rPr>
      <w:rFonts w:asciiTheme="majorHAnsi" w:hAnsiTheme="majorHAnsi" w:eastAsiaTheme="majorEastAsia" w:cstheme="majorBidi"/>
      <w:color w:val="2E75B6" w:themeColor="accent1" w:themeShade="BF"/>
      <w:sz w:val="32"/>
      <w:szCs w:val="32"/>
      <w14:ligatures w14:val="standardContextual"/>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toc 7"/>
    <w:basedOn w:val="1"/>
    <w:next w:val="1"/>
    <w:qFormat/>
    <w:uiPriority w:val="0"/>
    <w:pPr>
      <w:ind w:left="1200"/>
    </w:pPr>
    <w:rPr>
      <w:rFonts w:ascii="Calibri"/>
    </w:rPr>
  </w:style>
  <w:style w:type="paragraph" w:styleId="6">
    <w:name w:val="Normal Indent"/>
    <w:basedOn w:val="1"/>
    <w:qFormat/>
    <w:uiPriority w:val="0"/>
    <w:pPr>
      <w:ind w:firstLine="420" w:firstLineChars="200"/>
    </w:pPr>
    <w:rPr>
      <w:rFonts w:ascii="Times New Roman"/>
    </w:rPr>
  </w:style>
  <w:style w:type="paragraph" w:styleId="7">
    <w:name w:val="annotation text"/>
    <w:basedOn w:val="1"/>
    <w:semiHidden/>
    <w:unhideWhenUsed/>
    <w:qFormat/>
    <w:uiPriority w:val="0"/>
    <w:pPr>
      <w:jc w:val="left"/>
    </w:pPr>
  </w:style>
  <w:style w:type="paragraph" w:styleId="8">
    <w:name w:val="Body Text"/>
    <w:basedOn w:val="1"/>
    <w:next w:val="1"/>
    <w:qFormat/>
    <w:uiPriority w:val="0"/>
    <w:pPr>
      <w:spacing w:after="120"/>
    </w:pPr>
  </w:style>
  <w:style w:type="paragraph" w:styleId="9">
    <w:name w:val="Body Text Indent 2"/>
    <w:basedOn w:val="1"/>
    <w:qFormat/>
    <w:uiPriority w:val="0"/>
    <w:pPr>
      <w:spacing w:after="120" w:afterLines="0" w:line="480" w:lineRule="auto"/>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8"/>
    <w:semiHidden/>
    <w:unhideWhenUsed/>
    <w:qFormat/>
    <w:uiPriority w:val="99"/>
    <w:pPr>
      <w:ind w:firstLine="420" w:firstLineChars="100"/>
    </w:p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annotation reference"/>
    <w:basedOn w:val="16"/>
    <w:semiHidden/>
    <w:unhideWhenUsed/>
    <w:qFormat/>
    <w:uiPriority w:val="99"/>
    <w:rPr>
      <w:sz w:val="21"/>
      <w:szCs w:val="21"/>
    </w:rPr>
  </w:style>
  <w:style w:type="paragraph" w:styleId="19">
    <w:name w:val="List Paragraph"/>
    <w:basedOn w:val="1"/>
    <w:qFormat/>
    <w:uiPriority w:val="99"/>
    <w:pPr>
      <w:ind w:firstLine="420" w:firstLineChars="200"/>
    </w:pPr>
  </w:style>
  <w:style w:type="paragraph" w:customStyle="1" w:styleId="20">
    <w:name w:val="U_正文2"/>
    <w:basedOn w:val="1"/>
    <w:qFormat/>
    <w:uiPriority w:val="0"/>
    <w:pPr>
      <w:spacing w:beforeLines="10" w:line="300" w:lineRule="auto"/>
    </w:pPr>
    <w:rPr>
      <w:rFonts w:asciiTheme="minorHAnsi" w:hAnsiTheme="minorHAnsi" w:eastAsiaTheme="minorEastAsia" w:cstheme="minorBidi"/>
      <w:sz w:val="24"/>
      <w:szCs w:val="22"/>
    </w:rPr>
  </w:style>
  <w:style w:type="paragraph" w:customStyle="1" w:styleId="21">
    <w:name w:val="U_编号2"/>
    <w:basedOn w:val="1"/>
    <w:qFormat/>
    <w:uiPriority w:val="0"/>
    <w:pPr>
      <w:numPr>
        <w:ilvl w:val="0"/>
        <w:numId w:val="1"/>
      </w:numPr>
      <w:spacing w:beforeLines="10" w:line="300" w:lineRule="auto"/>
      <w:ind w:left="1124"/>
    </w:pPr>
    <w:rPr>
      <w:sz w:val="24"/>
      <w:szCs w:val="20"/>
    </w:rPr>
  </w:style>
  <w:style w:type="paragraph" w:customStyle="1" w:styleId="22">
    <w:name w:val="_正文段落"/>
    <w:basedOn w:val="1"/>
    <w:qFormat/>
    <w:uiPriority w:val="0"/>
    <w:pPr>
      <w:spacing w:beforeLines="15" w:afterLines="15" w:line="360" w:lineRule="auto"/>
      <w:ind w:firstLine="200" w:firstLineChars="200"/>
    </w:pPr>
    <w:rPr>
      <w:rFonts w:ascii="宋体" w:eastAsia="仿宋_GB2312"/>
      <w:kern w:val="0"/>
      <w:sz w:val="28"/>
    </w:rPr>
  </w:style>
  <w:style w:type="paragraph" w:customStyle="1" w:styleId="23">
    <w:name w:val="GW-正文"/>
    <w:basedOn w:val="1"/>
    <w:qFormat/>
    <w:uiPriority w:val="0"/>
    <w:pPr>
      <w:spacing w:line="360" w:lineRule="auto"/>
      <w:ind w:firstLine="200" w:firstLineChars="200"/>
    </w:pPr>
    <w:rPr>
      <w:rFonts w:eastAsia="仿宋_GB2312"/>
      <w:sz w:val="24"/>
      <w:szCs w:val="24"/>
    </w:rPr>
  </w:style>
  <w:style w:type="paragraph" w:customStyle="1" w:styleId="24">
    <w:name w:val="正文 A"/>
    <w:qFormat/>
    <w:uiPriority w:val="0"/>
    <w:pPr>
      <w:framePr w:wrap="around" w:vAnchor="margin" w:hAnchor="text" w:yAlign="top"/>
      <w:spacing w:after="160" w:line="278" w:lineRule="auto"/>
    </w:pPr>
    <w:rPr>
      <w:rFonts w:ascii="Arial Unicode MS" w:hAnsi="Arial Unicode MS" w:eastAsia="Arial Unicode MS" w:cs="Arial Unicode MS"/>
      <w:color w:val="000000"/>
      <w:sz w:val="22"/>
      <w:szCs w:val="22"/>
      <w:u w:color="000000"/>
      <w:lang w:val="zh-TW" w:eastAsia="zh-TW" w:bidi="ar-SA"/>
    </w:rPr>
  </w:style>
  <w:style w:type="paragraph" w:customStyle="1" w:styleId="25">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26">
    <w:name w:val="12、表格内左对齐正文"/>
    <w:basedOn w:val="1"/>
    <w:qFormat/>
    <w:uiPriority w:val="0"/>
    <w:pPr>
      <w:tabs>
        <w:tab w:val="left" w:pos="0"/>
      </w:tabs>
      <w:wordWrap w:val="0"/>
      <w:topLinePunct/>
      <w:adjustRightInd w:val="0"/>
      <w:snapToGrid w:val="0"/>
      <w:spacing w:line="360" w:lineRule="exact"/>
      <w:ind w:left="48" w:leftChars="20"/>
      <w:jc w:val="left"/>
    </w:pPr>
    <w:rPr>
      <w:rFonts w:ascii="宋体" w:hAnsi="宋体" w:eastAsia="宋体" w:cs="Times New Roman"/>
      <w:snapToGrid w:val="0"/>
    </w:rPr>
  </w:style>
  <w:style w:type="paragraph" w:customStyle="1" w:styleId="27">
    <w:name w:val="13、表格内居中正文"/>
    <w:basedOn w:val="1"/>
    <w:qFormat/>
    <w:uiPriority w:val="0"/>
    <w:pPr>
      <w:tabs>
        <w:tab w:val="left" w:pos="0"/>
      </w:tabs>
      <w:wordWrap w:val="0"/>
      <w:topLinePunct/>
      <w:adjustRightInd w:val="0"/>
      <w:snapToGrid w:val="0"/>
      <w:spacing w:line="360" w:lineRule="exact"/>
      <w:jc w:val="center"/>
    </w:pPr>
    <w:rPr>
      <w:rFonts w:ascii="宋体" w:hAnsi="宋体" w:eastAsia="宋体" w:cs="Times New Roman"/>
    </w:rPr>
  </w:style>
  <w:style w:type="paragraph" w:customStyle="1" w:styleId="28">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9">
    <w:name w:val="Table Paragraph"/>
    <w:basedOn w:val="1"/>
    <w:qFormat/>
    <w:uiPriority w:val="1"/>
    <w:rPr>
      <w:rFonts w:ascii="宋体" w:hAnsi="宋体" w:cs="宋体"/>
      <w:sz w:val="34"/>
      <w:szCs w:val="20"/>
      <w:lang w:val="nl-NL" w:eastAsia="nl-NL" w:bidi="nl-N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860</Words>
  <Characters>912</Characters>
  <Lines>0</Lines>
  <Paragraphs>0</Paragraphs>
  <TotalTime>47</TotalTime>
  <ScaleCrop>false</ScaleCrop>
  <LinksUpToDate>false</LinksUpToDate>
  <CharactersWithSpaces>914</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2025-07-17T02:04:00Z</dcterms:created>
  <dc:creator>嫣然一竹</dc:creator>
  <cp:lastModifiedBy>小池</cp:lastModifiedBy>
  <cp:lastPrinted>2026-06-16T06:15:00Z</cp:lastPrinted>
  <dcterms:modified xsi:type="dcterms:W3CDTF">2026-10-29T06:21:01Z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eyJoZGlkIjoiNzQ1ZTA2YmFmYmE1MjEyMDNjNDRjODQ5MWFjZWU5ZWUiLCJ1c2VySWQiOiIyMDg3NzU4NzMifQ==</vt:lpwstr>
  </property>
  <property fmtid="{D5CDD505-2E9C-101B-9397-08002B2CF9AE}" pid="4" name="ICV">
    <vt:lpwstr>BC921348BD8C45A6A9AFA8067FF6C3E4_13</vt:lpwstr>
  </property>
</Properties>
</file>