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outlineLvl w:val="0"/>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p>
    <w:p>
      <w:pPr>
        <w:keepNext w:val="0"/>
        <w:keepLines w:val="0"/>
        <w:widowControl w:val="0"/>
        <w:suppressLineNumbers w:val="0"/>
        <w:spacing w:before="0" w:beforeAutospacing="0" w:after="0" w:afterAutospacing="0"/>
        <w:ind w:left="0" w:right="0"/>
        <w:jc w:val="both"/>
        <w:outlineLvl w:val="9"/>
        <w:rPr>
          <w:rFonts w:hint="eastAsia"/>
        </w:rPr>
      </w:pPr>
      <w:r>
        <w:rPr>
          <w:rFonts w:hint="eastAsia"/>
          <w:b/>
          <w:bCs/>
        </w:rPr>
        <w:t>本章采购需求中标注“★”号的条款为本次采购项目的实质性要求，供应商应全部满足</w:t>
      </w:r>
      <w:r>
        <w:rPr>
          <w:rFonts w:hint="eastAsia"/>
          <w:b/>
          <w:bCs/>
          <w:lang w:eastAsia="zh-CN"/>
        </w:rPr>
        <w:t>；</w:t>
      </w:r>
      <w:r>
        <w:rPr>
          <w:rFonts w:hint="eastAsia"/>
          <w:b/>
          <w:bCs/>
          <w:lang w:val="en-US" w:eastAsia="zh-CN"/>
        </w:rPr>
        <w:t>标注“▲”号的条款为重要参数条款；</w:t>
      </w:r>
      <w:r>
        <w:rPr>
          <w:rFonts w:hint="eastAsia"/>
          <w:b/>
          <w:bCs/>
        </w:rPr>
        <w:t>未标识符号的条款为一般参数条款。</w:t>
      </w:r>
    </w:p>
    <w:p>
      <w:pPr>
        <w:pStyle w:val="13"/>
        <w:widowControl/>
        <w:adjustRightInd w:val="0"/>
        <w:spacing w:before="156" w:beforeLines="50" w:beforeAutospacing="0" w:after="156" w:afterLines="50" w:afterAutospacing="0" w:line="360" w:lineRule="auto"/>
        <w:ind w:left="0" w:leftChars="0" w:firstLine="0" w:firstLineChars="0"/>
        <w:contextualSpacing/>
        <w:jc w:val="left"/>
        <w:outlineLvl w:val="1"/>
        <w:rPr>
          <w:rFonts w:hint="eastAsia" w:ascii="宋体" w:hAnsi="宋体" w:cs="宋体"/>
          <w:b w:val="0"/>
          <w:bCs/>
          <w:color w:val="000000"/>
          <w:kern w:val="2"/>
          <w:sz w:val="24"/>
          <w:szCs w:val="24"/>
          <w:lang w:val="en-US" w:eastAsia="zh-CN"/>
        </w:rPr>
      </w:pPr>
      <w:r>
        <w:rPr>
          <w:rFonts w:hint="eastAsia" w:ascii="宋体" w:hAnsi="宋体" w:cs="宋体"/>
          <w:b/>
          <w:bCs w:val="0"/>
          <w:color w:val="000000"/>
          <w:kern w:val="2"/>
          <w:sz w:val="24"/>
          <w:szCs w:val="24"/>
          <w:lang w:val="en-US" w:eastAsia="zh-CN"/>
        </w:rPr>
        <w:t>一、项目概况</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（一）项目名称：易宏英妇幼健康领域全国名老中医药专家传承工作室、万英妇幼健康领域全国名老中医药专家传承工作室建设项目-信息设备购置</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default" w:ascii="宋体" w:hAnsi="宋体" w:eastAsia="宋体" w:cs="宋体"/>
          <w:b w:val="0"/>
          <w:bCs/>
          <w:color w:val="000000"/>
          <w:kern w:val="2"/>
          <w:sz w:val="24"/>
          <w:szCs w:val="24"/>
          <w:lang w:val="en-US" w:eastAsia="zh-CN" w:bidi="ar"/>
        </w:rPr>
      </w:pPr>
      <w:r>
        <w:rPr>
          <w:rFonts w:hint="eastAsia" w:ascii="宋体" w:hAnsi="宋体" w:cs="宋体"/>
          <w:b w:val="0"/>
          <w:bCs/>
          <w:color w:val="000000"/>
          <w:kern w:val="2"/>
          <w:sz w:val="24"/>
          <w:szCs w:val="24"/>
          <w:lang w:val="en-US" w:eastAsia="zh-CN" w:bidi="ar"/>
        </w:rPr>
        <w:t>（二）项目编号：2026-XXHB-ZYZ-014（公）</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default"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三</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项目预算：</w:t>
      </w:r>
      <w:r>
        <w:rPr>
          <w:rFonts w:hint="eastAsia" w:ascii="宋体" w:hAnsi="宋体" w:cs="宋体"/>
          <w:b w:val="0"/>
          <w:bCs/>
          <w:color w:val="000000"/>
          <w:kern w:val="2"/>
          <w:sz w:val="24"/>
          <w:szCs w:val="24"/>
          <w:lang w:val="en-US" w:eastAsia="zh-CN"/>
        </w:rPr>
        <w:t>8</w:t>
      </w:r>
      <w:r>
        <w:rPr>
          <w:rFonts w:hint="eastAsia" w:ascii="宋体" w:hAnsi="宋体" w:eastAsia="宋体" w:cs="宋体"/>
          <w:b w:val="0"/>
          <w:bCs/>
          <w:color w:val="000000"/>
          <w:kern w:val="2"/>
          <w:sz w:val="24"/>
          <w:szCs w:val="24"/>
        </w:rPr>
        <w:t>万元</w:t>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最高</w:t>
      </w:r>
      <w:r>
        <w:rPr>
          <w:rFonts w:hint="eastAsia" w:ascii="宋体" w:hAnsi="宋体" w:eastAsia="宋体" w:cs="宋体"/>
          <w:b w:val="0"/>
          <w:bCs/>
          <w:color w:val="000000"/>
          <w:kern w:val="2"/>
          <w:sz w:val="24"/>
          <w:szCs w:val="24"/>
        </w:rPr>
        <w:t>限价</w:t>
      </w:r>
      <w:r>
        <w:rPr>
          <w:rFonts w:hint="eastAsia" w:ascii="宋体" w:hAnsi="宋体" w:eastAsia="宋体" w:cs="宋体"/>
          <w:b w:val="0"/>
          <w:bCs/>
          <w:color w:val="000000"/>
          <w:kern w:val="2"/>
          <w:sz w:val="24"/>
          <w:szCs w:val="24"/>
          <w:lang w:eastAsia="zh-CN"/>
        </w:rPr>
        <w:t>：</w:t>
      </w:r>
      <w:r>
        <w:rPr>
          <w:rFonts w:hint="eastAsia" w:ascii="宋体" w:hAnsi="宋体" w:eastAsia="宋体" w:cs="宋体"/>
          <w:b w:val="0"/>
          <w:bCs/>
          <w:color w:val="000000"/>
          <w:kern w:val="2"/>
          <w:sz w:val="24"/>
          <w:szCs w:val="24"/>
          <w:lang w:val="en-US" w:eastAsia="zh-CN"/>
        </w:rPr>
        <w:t>8万元</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四</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highlight w:val="none"/>
        </w:rPr>
        <w:t>采购清单及单价限价：</w:t>
      </w:r>
    </w:p>
    <w:tbl>
      <w:tblPr>
        <w:tblStyle w:val="9"/>
        <w:tblW w:w="506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853"/>
        <w:gridCol w:w="3303"/>
        <w:gridCol w:w="1279"/>
        <w:gridCol w:w="1176"/>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包号</w:t>
            </w:r>
          </w:p>
        </w:tc>
        <w:tc>
          <w:tcPr>
            <w:tcW w:w="494"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序号</w:t>
            </w:r>
          </w:p>
        </w:tc>
        <w:tc>
          <w:tcPr>
            <w:tcW w:w="1913"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标的名称</w:t>
            </w:r>
          </w:p>
        </w:tc>
        <w:tc>
          <w:tcPr>
            <w:tcW w:w="741"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计量单位</w:t>
            </w:r>
          </w:p>
        </w:tc>
        <w:tc>
          <w:tcPr>
            <w:tcW w:w="681"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数量</w:t>
            </w:r>
          </w:p>
        </w:tc>
        <w:tc>
          <w:tcPr>
            <w:tcW w:w="737"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单价限价（元）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restar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bookmarkStart w:id="2" w:name="_GoBack" w:colFirst="2" w:colLast="2"/>
            <w:r>
              <w:rPr>
                <w:rFonts w:hint="eastAsia" w:ascii="宋体" w:hAnsi="宋体" w:eastAsia="宋体" w:cs="宋体"/>
                <w:b w:val="0"/>
                <w:bCs/>
                <w:color w:val="000000"/>
                <w:kern w:val="2"/>
                <w:sz w:val="24"/>
                <w:szCs w:val="24"/>
              </w:rPr>
              <w:t>1</w:t>
            </w:r>
          </w:p>
        </w:tc>
        <w:tc>
          <w:tcPr>
            <w:tcW w:w="494"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w:t>
            </w:r>
          </w:p>
        </w:tc>
        <w:tc>
          <w:tcPr>
            <w:tcW w:w="1913"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多媒体教学用一体机</w:t>
            </w:r>
          </w:p>
        </w:tc>
        <w:tc>
          <w:tcPr>
            <w:tcW w:w="741" w:type="pct"/>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个</w:t>
            </w:r>
          </w:p>
        </w:tc>
        <w:tc>
          <w:tcPr>
            <w:tcW w:w="681" w:type="pct"/>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3</w:t>
            </w:r>
          </w:p>
        </w:tc>
        <w:tc>
          <w:tcPr>
            <w:tcW w:w="737"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center"/>
              <w:outlineLvl w:val="9"/>
              <w:rPr>
                <w:rFonts w:hint="eastAsia" w:ascii="宋体" w:hAnsi="宋体" w:eastAsia="宋体" w:cs="宋体"/>
                <w:b w:val="0"/>
                <w:bCs/>
                <w:color w:val="000000"/>
                <w:kern w:val="2"/>
                <w:sz w:val="24"/>
                <w:szCs w:val="24"/>
              </w:rPr>
            </w:pPr>
          </w:p>
        </w:tc>
        <w:tc>
          <w:tcPr>
            <w:tcW w:w="494"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w:t>
            </w:r>
          </w:p>
        </w:tc>
        <w:tc>
          <w:tcPr>
            <w:tcW w:w="1913"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教学一体机配套业务终端</w:t>
            </w:r>
          </w:p>
        </w:tc>
        <w:tc>
          <w:tcPr>
            <w:tcW w:w="741" w:type="pct"/>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个</w:t>
            </w:r>
          </w:p>
        </w:tc>
        <w:tc>
          <w:tcPr>
            <w:tcW w:w="681" w:type="pct"/>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4</w:t>
            </w:r>
          </w:p>
        </w:tc>
        <w:tc>
          <w:tcPr>
            <w:tcW w:w="737"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center"/>
              <w:outlineLvl w:val="9"/>
              <w:rPr>
                <w:rFonts w:hint="eastAsia" w:ascii="宋体" w:hAnsi="宋体" w:eastAsia="宋体" w:cs="宋体"/>
                <w:b w:val="0"/>
                <w:bCs/>
                <w:color w:val="000000"/>
                <w:kern w:val="2"/>
                <w:sz w:val="24"/>
                <w:szCs w:val="24"/>
              </w:rPr>
            </w:pPr>
          </w:p>
        </w:tc>
        <w:tc>
          <w:tcPr>
            <w:tcW w:w="494"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3</w:t>
            </w:r>
          </w:p>
        </w:tc>
        <w:tc>
          <w:tcPr>
            <w:tcW w:w="1913"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呼叫机顶盒</w:t>
            </w:r>
          </w:p>
        </w:tc>
        <w:tc>
          <w:tcPr>
            <w:tcW w:w="741" w:type="pct"/>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个</w:t>
            </w:r>
          </w:p>
        </w:tc>
        <w:tc>
          <w:tcPr>
            <w:tcW w:w="681" w:type="pct"/>
            <w:noWrap w:val="0"/>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w:t>
            </w:r>
          </w:p>
        </w:tc>
        <w:tc>
          <w:tcPr>
            <w:tcW w:w="737" w:type="pct"/>
            <w:noWrap w:val="0"/>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1300</w:t>
            </w:r>
          </w:p>
        </w:tc>
      </w:tr>
      <w:bookmarkEnd w:id="2"/>
    </w:tbl>
    <w:p>
      <w:pPr>
        <w:pStyle w:val="13"/>
        <w:widowControl/>
        <w:adjustRightInd w:val="0"/>
        <w:spacing w:before="156" w:beforeLines="50" w:beforeAutospacing="0" w:after="156" w:afterLines="50" w:afterAutospacing="0" w:line="360" w:lineRule="auto"/>
        <w:ind w:left="0" w:leftChars="0" w:firstLine="0" w:firstLineChars="0"/>
        <w:contextualSpacing/>
        <w:jc w:val="left"/>
        <w:outlineLvl w:val="2"/>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注：投标报价单价不能超过总价/单价最高限价，否则视为无效投标。</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482" w:firstLineChars="200"/>
        <w:contextualSpacing/>
        <w:jc w:val="left"/>
        <w:outlineLvl w:val="1"/>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2"/>
          <w:sz w:val="24"/>
          <w:szCs w:val="24"/>
          <w:lang w:val="en-US" w:eastAsia="zh-CN" w:bidi="ar"/>
        </w:rPr>
        <w:t>二、</w:t>
      </w:r>
      <w:r>
        <w:rPr>
          <w:rFonts w:hint="eastAsia" w:ascii="宋体" w:hAnsi="宋体" w:eastAsia="宋体" w:cs="宋体"/>
          <w:b/>
          <w:bCs w:val="0"/>
          <w:color w:val="000000"/>
          <w:kern w:val="2"/>
          <w:sz w:val="24"/>
          <w:szCs w:val="24"/>
        </w:rPr>
        <w:t>技术要求</w:t>
      </w:r>
    </w:p>
    <w:p>
      <w:pPr>
        <w:keepNext w:val="0"/>
        <w:keepLines w:val="0"/>
        <w:pageBreakBefore w:val="0"/>
        <w:widowControl/>
        <w:tabs>
          <w:tab w:val="left" w:pos="3573"/>
        </w:tabs>
        <w:kinsoku/>
        <w:wordWrap/>
        <w:overflowPunct/>
        <w:topLinePunct w:val="0"/>
        <w:autoSpaceDE/>
        <w:autoSpaceDN/>
        <w:bidi w:val="0"/>
        <w:adjustRightInd/>
        <w:snapToGrid/>
        <w:spacing w:line="360" w:lineRule="auto"/>
        <w:ind w:firstLine="480" w:firstLineChars="200"/>
        <w:textAlignment w:val="auto"/>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1.总体要求</w:t>
      </w:r>
    </w:p>
    <w:p>
      <w:pPr>
        <w:pStyle w:val="16"/>
        <w:keepNext w:val="0"/>
        <w:keepLines w:val="0"/>
        <w:pageBreakBefore w:val="0"/>
        <w:widowControl w:val="0"/>
        <w:tabs>
          <w:tab w:val="left" w:pos="420"/>
          <w:tab w:val="left" w:pos="927"/>
        </w:tabs>
        <w:kinsoku/>
        <w:wordWrap/>
        <w:overflowPunct/>
        <w:topLinePunct w:val="0"/>
        <w:autoSpaceDE/>
        <w:autoSpaceDN/>
        <w:bidi w:val="0"/>
        <w:adjustRightInd/>
        <w:snapToGrid/>
        <w:spacing w:before="31"/>
        <w:ind w:firstLine="420" w:firstLineChars="200"/>
        <w:jc w:val="both"/>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供应商提供的所有产品须为近两年内</w:t>
      </w:r>
      <w:r>
        <w:rPr>
          <w:rFonts w:hint="eastAsia" w:eastAsia="宋体" w:cs="Times New Roman"/>
          <w:kern w:val="2"/>
          <w:sz w:val="21"/>
          <w:szCs w:val="22"/>
          <w:lang w:val="en-US" w:eastAsia="zh-CN" w:bidi="ar-SA"/>
        </w:rPr>
        <w:t>（生产日期为2024年9月1日之后）</w:t>
      </w:r>
      <w:r>
        <w:rPr>
          <w:rFonts w:hint="eastAsia" w:ascii="Times New Roman" w:hAnsi="Times New Roman" w:eastAsia="宋体" w:cs="Times New Roman"/>
          <w:kern w:val="2"/>
          <w:sz w:val="21"/>
          <w:szCs w:val="22"/>
          <w:lang w:val="en-US" w:eastAsia="zh-CN" w:bidi="ar-SA"/>
        </w:rPr>
        <w:t>生产的全新产品</w:t>
      </w:r>
      <w:r>
        <w:rPr>
          <w:rFonts w:hint="eastAsia" w:ascii="Times New Roman" w:hAnsi="Times New Roman" w:eastAsia="宋体" w:cs="Times New Roman"/>
          <w:b/>
          <w:bCs/>
          <w:kern w:val="2"/>
          <w:sz w:val="21"/>
          <w:szCs w:val="22"/>
          <w:lang w:val="en-US" w:eastAsia="zh-CN" w:bidi="ar-SA"/>
        </w:rPr>
        <w:t>（提供承诺函，加盖公章）</w:t>
      </w:r>
    </w:p>
    <w:p>
      <w:pPr>
        <w:keepNext w:val="0"/>
        <w:keepLines w:val="0"/>
        <w:pageBreakBefore w:val="0"/>
        <w:widowControl/>
        <w:tabs>
          <w:tab w:val="left" w:pos="3573"/>
        </w:tabs>
        <w:kinsoku/>
        <w:wordWrap/>
        <w:overflowPunct/>
        <w:topLinePunct w:val="0"/>
        <w:autoSpaceDE/>
        <w:autoSpaceDN/>
        <w:bidi w:val="0"/>
        <w:adjustRightInd/>
        <w:snapToGrid/>
        <w:spacing w:line="360" w:lineRule="auto"/>
        <w:ind w:firstLine="480" w:firstLineChars="200"/>
        <w:textAlignment w:val="auto"/>
        <w:rPr>
          <w:rFonts w:hint="default"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2.技术参数要求</w:t>
      </w:r>
    </w:p>
    <w:tbl>
      <w:tblPr>
        <w:tblStyle w:val="9"/>
        <w:tblW w:w="7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477"/>
        <w:gridCol w:w="5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2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147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szCs w:val="21"/>
                <w:lang w:eastAsia="zh-CN"/>
              </w:rPr>
            </w:pPr>
            <w:r>
              <w:rPr>
                <w:rFonts w:hint="eastAsia" w:ascii="宋体" w:hAnsi="宋体" w:eastAsia="宋体" w:cs="宋体"/>
                <w:szCs w:val="21"/>
                <w:lang w:val="en-US" w:eastAsia="zh-CN"/>
              </w:rPr>
              <w:t>名称</w:t>
            </w:r>
          </w:p>
        </w:tc>
        <w:tc>
          <w:tcPr>
            <w:tcW w:w="569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2" w:type="dxa"/>
            <w:noWrap w:val="0"/>
            <w:vAlign w:val="center"/>
          </w:tcPr>
          <w:p>
            <w:pPr>
              <w:keepNext w:val="0"/>
              <w:keepLines w:val="0"/>
              <w:widowControl/>
              <w:suppressLineNumbers w:val="0"/>
              <w:adjustRightInd w:val="0"/>
              <w:snapToGrid w:val="0"/>
              <w:spacing w:before="0" w:beforeAutospacing="0" w:after="0" w:afterAutospacing="0" w:line="300" w:lineRule="exact"/>
              <w:ind w:left="0" w:right="0"/>
              <w:contextualSpacing/>
              <w:jc w:val="center"/>
              <w:rPr>
                <w:rFonts w:hint="eastAsia" w:ascii="宋体" w:hAnsi="宋体" w:eastAsia="宋体" w:cs="宋体"/>
                <w:szCs w:val="21"/>
                <w:lang w:eastAsia="zh-CN"/>
              </w:rPr>
            </w:pPr>
            <w:r>
              <w:rPr>
                <w:rFonts w:hint="eastAsia" w:ascii="宋体" w:hAnsi="宋体" w:eastAsia="宋体" w:cs="宋体"/>
                <w:color w:val="000000"/>
                <w:kern w:val="0"/>
                <w:szCs w:val="21"/>
                <w:lang w:val="en-US" w:eastAsia="zh-CN"/>
              </w:rPr>
              <w:t>1</w:t>
            </w:r>
          </w:p>
        </w:tc>
        <w:tc>
          <w:tcPr>
            <w:tcW w:w="1477"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szCs w:val="21"/>
                <w:lang w:val="en-US" w:eastAsia="zh-CN"/>
              </w:rPr>
            </w:pPr>
            <w:r>
              <w:rPr>
                <w:rFonts w:hint="eastAsia" w:ascii="Times New Roman" w:hAnsi="Times New Roman" w:eastAsia="宋体" w:cs="Times New Roman"/>
                <w:kern w:val="2"/>
                <w:sz w:val="21"/>
                <w:szCs w:val="22"/>
                <w:lang w:val="en-US" w:eastAsia="zh-CN" w:bidi="ar-SA"/>
              </w:rPr>
              <w:t>多媒体教学用一体机</w:t>
            </w:r>
          </w:p>
        </w:tc>
        <w:tc>
          <w:tcPr>
            <w:tcW w:w="5698" w:type="dxa"/>
            <w:noWrap w:val="0"/>
            <w:vAlign w:val="center"/>
          </w:tcPr>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82" w:firstLineChars="200"/>
              <w:jc w:val="left"/>
              <w:textAlignment w:val="auto"/>
              <w:rPr>
                <w:rFonts w:hint="eastAsia" w:ascii="宋体" w:hAnsi="宋体" w:eastAsia="宋体" w:cs="宋体"/>
                <w:kern w:val="2"/>
                <w:sz w:val="21"/>
                <w:szCs w:val="21"/>
                <w:lang w:val="en-US" w:eastAsia="zh-CN" w:bidi="ar-SA"/>
              </w:rPr>
            </w:pPr>
            <w:r>
              <w:rPr>
                <w:rFonts w:hint="eastAsia" w:ascii="黑体" w:hAnsi="黑体" w:eastAsia="黑体" w:cs="黑体"/>
                <w:b/>
                <w:bCs/>
                <w:color w:val="000000"/>
                <w:kern w:val="2"/>
                <w:sz w:val="24"/>
                <w:szCs w:val="24"/>
                <w:lang w:val="en-US" w:eastAsia="zh-CN" w:bidi="ar-SA"/>
              </w:rPr>
              <w:t>★</w:t>
            </w:r>
            <w:r>
              <w:rPr>
                <w:rFonts w:hint="eastAsia" w:ascii="宋体" w:hAnsi="宋体" w:eastAsia="宋体" w:cs="宋体"/>
                <w:kern w:val="2"/>
                <w:sz w:val="21"/>
                <w:szCs w:val="21"/>
                <w:lang w:val="en-US" w:eastAsia="zh-CN" w:bidi="ar-SA"/>
              </w:rPr>
              <w:t>（1）显示屏：尺寸≥85英寸（允许85~100英寸区间），类型：超高清液晶显示屏，物理分辨率≥3840×2160，显示比例支持16:9。</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（2）整机采用窄边框设计，屏占比≥85%。</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▲（3）内置高清摄像头：有效像素≥800万，支持4K视频采集。</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▲（4）内置麦克风：数量≥4个，有效拾音距离≥8米；内置扬声器：数量≥2个，单只功率≥10W。</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▲（5）整机接口：HDMI输入≥1路，USB 3.0及以上接口≥2路。</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▲（6）支持触控操作，触控点数≥10点，支持多点书写。</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（7）配备智能书写笔，支持书写及演示翻页功能。</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▲（8）会议投屏：支持手机、电脑等终端无线/有线投屏；支持多设备同屏显示，分屏数量≥4；支持对投屏内容反向控制操作。</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▲（9）文件传输：支持手机、电脑与会议平板之间互传文件，兼容图片、Word、PPT、PDF等常见格式。</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（10）支持本地直接打开Word、PPT、Excel、图片、视频等常用格式文件，并提供预览、翻页、全屏、批注、截屏等功能。</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（11）支持快捷调出电子白板，满足临时书写需求。</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（12）支持快捷功能菜单，集成系统设置、计时、截图、拍照、文件快传、录屏、投票、多屏联动等常用工具（提供不少于6项即可）。</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▲（13）内置计算模块（OPS或等效形态）：处理器≥8核、主频≥2.0GHz；内存≥10GB；固态硬盘≥256GB；支持安装第三方应用程序。</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（14）随机主要模块（含计算模块、无线传屏器）须为原厂配套，兼容稳定。</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（15）支持壁挂及移动支架两种安装方式，并配备相应安装支架及结构件。</w:t>
            </w:r>
          </w:p>
          <w:p>
            <w:pPr>
              <w:pStyle w:val="16"/>
              <w:keepNext w:val="0"/>
              <w:keepLines w:val="0"/>
              <w:pageBreakBefore w:val="0"/>
              <w:widowControl w:val="0"/>
              <w:suppressLineNumbers w:val="0"/>
              <w:tabs>
                <w:tab w:val="left" w:pos="420"/>
                <w:tab w:val="left" w:pos="927"/>
              </w:tabs>
              <w:kinsoku/>
              <w:wordWrap/>
              <w:overflowPunct/>
              <w:topLinePunct w:val="0"/>
              <w:autoSpaceDE/>
              <w:autoSpaceDN/>
              <w:bidi w:val="0"/>
              <w:adjustRightInd/>
              <w:snapToGrid/>
              <w:spacing w:before="0" w:beforeLines="0" w:beforeAutospacing="0" w:after="0" w:afterAutospacing="0"/>
              <w:ind w:left="0" w:right="0" w:firstLine="420" w:firstLineChars="200"/>
              <w:jc w:val="left"/>
              <w:textAlignment w:val="auto"/>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（16）配套无线鼠标键盘。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2" w:type="dxa"/>
            <w:noWrap w:val="0"/>
            <w:vAlign w:val="center"/>
          </w:tcPr>
          <w:p>
            <w:pPr>
              <w:keepNext w:val="0"/>
              <w:keepLines w:val="0"/>
              <w:widowControl/>
              <w:suppressLineNumbers w:val="0"/>
              <w:adjustRightInd w:val="0"/>
              <w:snapToGrid w:val="0"/>
              <w:spacing w:before="0" w:beforeAutospacing="0" w:after="0" w:afterAutospacing="0" w:line="300" w:lineRule="exact"/>
              <w:ind w:left="0" w:right="0"/>
              <w:contextualSpacing/>
              <w:jc w:val="center"/>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w:t>
            </w:r>
          </w:p>
        </w:tc>
        <w:tc>
          <w:tcPr>
            <w:tcW w:w="1477"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教学一体机配套业务终端</w:t>
            </w:r>
          </w:p>
        </w:tc>
        <w:tc>
          <w:tcPr>
            <w:tcW w:w="5698"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★（1）核心处理器：≥8核16线程，主频4.9GHz，三级缓存≥25MB。</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（2）内存：≥32GB DDR4 3200MHz双通道内存。</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（3）存储：≥500GB SSD固态硬盘（ sequential read≥7000MB/s）。</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▲（4）图形处理：独立图形处理单元，显存≥4GB GDDR6，支持硬件视频编码/解码加速，满足教学视频剪辑、虚拟仿真课件运行需求。</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▲（5）显示单元：一体化集成显示，显示尺寸≥14英寸且≤16英寸，分辨率≥2560×1600，刷新率≥120Hz，具备低蓝光护眼功能。</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（6）数据传输接口：USB、WIFI、蓝牙、HDMI、RJ45。</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（7）摄像头与音频：摄像头≥1080P，带物理遮挡；扬声器，支持降噪麦克风。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2" w:type="dxa"/>
            <w:noWrap w:val="0"/>
            <w:vAlign w:val="center"/>
          </w:tcPr>
          <w:p>
            <w:pPr>
              <w:keepNext w:val="0"/>
              <w:keepLines w:val="0"/>
              <w:widowControl/>
              <w:suppressLineNumbers w:val="0"/>
              <w:adjustRightInd w:val="0"/>
              <w:snapToGrid w:val="0"/>
              <w:spacing w:before="0" w:beforeAutospacing="0" w:after="0" w:afterAutospacing="0" w:line="300" w:lineRule="exact"/>
              <w:ind w:left="0" w:right="0"/>
              <w:contextualSpacing/>
              <w:jc w:val="center"/>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w:t>
            </w:r>
          </w:p>
        </w:tc>
        <w:tc>
          <w:tcPr>
            <w:tcW w:w="1477"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呼叫机顶盒</w:t>
            </w:r>
          </w:p>
        </w:tc>
        <w:tc>
          <w:tcPr>
            <w:tcW w:w="5698"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（1）多媒体终端：CPU：≥4 核Cortex-A7；主频≥1.2GHz</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（2）GPU：≥Mali-400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（3）内存：≥DDR3 1G</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（4）存储：≥8G</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default"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▲（5）操作系统：≥Android6.0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（6）显示分辨率：≥1920*1080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default"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（7）网络接口：RJ45*1等</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（8）WIFI接口：2.4GHz+BT4.0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 xml:space="preserve">（9）音频接口：耳机输出,MIC输入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 xml:space="preserve">（10）RTC功能：RTC计时功能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（11）USB接口：≥USB*2</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（12）RS232接口：≥1路RS232或TTL</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（13）TF卡插槽：≥64G</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（14）HDMI接口：≥1*HDMI输出口</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7" w:afterLines="50" w:afterAutospacing="0" w:line="360" w:lineRule="auto"/>
              <w:ind w:left="0" w:right="0" w:firstLine="420" w:firstLineChars="200"/>
              <w:textAlignment w:val="auto"/>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（15）使用寿命：≥6万小时</w:t>
            </w:r>
          </w:p>
          <w:p>
            <w:pPr>
              <w:keepNext w:val="0"/>
              <w:keepLines w:val="0"/>
              <w:numPr>
                <w:ilvl w:val="0"/>
                <w:numId w:val="0"/>
              </w:numPr>
              <w:suppressLineNumbers w:val="0"/>
              <w:snapToGrid w:val="0"/>
              <w:spacing w:before="157" w:beforeLines="50" w:beforeAutospacing="0" w:after="157" w:afterLines="50" w:afterAutospacing="0" w:line="360" w:lineRule="auto"/>
              <w:ind w:left="0" w:right="0" w:firstLine="482" w:firstLineChars="200"/>
              <w:rPr>
                <w:rFonts w:hint="eastAsia" w:ascii="宋体" w:hAnsi="宋体" w:eastAsia="宋体" w:cs="宋体"/>
                <w:kern w:val="2"/>
                <w:sz w:val="21"/>
                <w:szCs w:val="21"/>
                <w:lang w:val="en-US" w:eastAsia="zh-CN" w:bidi="ar-SA"/>
              </w:rPr>
            </w:pPr>
            <w:r>
              <w:rPr>
                <w:rFonts w:hint="eastAsia" w:ascii="黑体" w:hAnsi="黑体" w:eastAsia="黑体" w:cs="黑体"/>
                <w:b/>
                <w:bCs/>
                <w:color w:val="000000"/>
                <w:kern w:val="2"/>
                <w:sz w:val="24"/>
                <w:szCs w:val="24"/>
                <w:lang w:val="en-US" w:eastAsia="zh-CN" w:bidi="ar-SA"/>
              </w:rPr>
              <w:t>★</w:t>
            </w:r>
            <w:r>
              <w:rPr>
                <w:rFonts w:hint="eastAsia" w:ascii="Times New Roman" w:hAnsi="Times New Roman" w:eastAsia="宋体" w:cs="Times New Roman"/>
                <w:kern w:val="2"/>
                <w:sz w:val="21"/>
                <w:szCs w:val="22"/>
                <w:lang w:val="en-US" w:eastAsia="zh-CN" w:bidi="ar-SA"/>
              </w:rPr>
              <w:t>（16）兼容适配医院现有各叫号系统与设备</w:t>
            </w:r>
          </w:p>
        </w:tc>
      </w:tr>
    </w:tbl>
    <w:p>
      <w:pPr>
        <w:pStyle w:val="13"/>
        <w:widowControl/>
        <w:adjustRightInd w:val="0"/>
        <w:spacing w:before="156" w:beforeLines="50" w:beforeAutospacing="0" w:after="156" w:afterLines="50" w:afterAutospacing="0" w:line="360" w:lineRule="auto"/>
        <w:ind w:left="0" w:leftChars="0" w:firstLine="0" w:firstLineChars="0"/>
        <w:contextualSpacing/>
        <w:jc w:val="left"/>
        <w:outlineLvl w:val="1"/>
        <w:rPr>
          <w:rFonts w:hint="eastAsia" w:ascii="宋体" w:hAnsi="宋体" w:eastAsia="宋体" w:cs="宋体"/>
          <w:b/>
          <w:bCs/>
          <w:kern w:val="2"/>
          <w:sz w:val="24"/>
          <w:szCs w:val="24"/>
        </w:rPr>
      </w:pPr>
      <w:r>
        <w:rPr>
          <w:rFonts w:hint="eastAsia" w:ascii="宋体" w:hAnsi="宋体" w:eastAsia="宋体" w:cs="宋体"/>
          <w:b/>
          <w:bCs/>
          <w:kern w:val="2"/>
          <w:sz w:val="24"/>
          <w:szCs w:val="24"/>
        </w:rPr>
        <w:t>★</w:t>
      </w:r>
      <w:r>
        <w:rPr>
          <w:rFonts w:hint="eastAsia" w:ascii="宋体" w:hAnsi="宋体" w:cs="宋体"/>
          <w:b/>
          <w:bCs/>
          <w:kern w:val="2"/>
          <w:sz w:val="24"/>
          <w:szCs w:val="24"/>
          <w:lang w:val="en-US" w:eastAsia="zh-CN"/>
        </w:rPr>
        <w:t>三、</w:t>
      </w:r>
      <w:r>
        <w:rPr>
          <w:rFonts w:hint="eastAsia" w:ascii="宋体" w:hAnsi="宋体" w:eastAsia="宋体" w:cs="宋体"/>
          <w:b/>
          <w:bCs/>
          <w:kern w:val="2"/>
          <w:sz w:val="24"/>
          <w:szCs w:val="24"/>
        </w:rPr>
        <w:t>商务要求</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eastAsia="zh"/>
        </w:rPr>
      </w:pPr>
      <w:r>
        <w:rPr>
          <w:rFonts w:hint="eastAsia" w:ascii="宋体" w:hAnsi="宋体" w:eastAsia="宋体" w:cs="宋体"/>
          <w:kern w:val="2"/>
          <w:sz w:val="24"/>
          <w:szCs w:val="24"/>
          <w:lang w:val="en-US" w:eastAsia="zh"/>
        </w:rPr>
        <w:t>1.</w:t>
      </w:r>
      <w:r>
        <w:rPr>
          <w:rFonts w:hint="eastAsia" w:ascii="宋体" w:hAnsi="宋体" w:eastAsia="宋体" w:cs="宋体"/>
          <w:kern w:val="2"/>
          <w:sz w:val="24"/>
          <w:szCs w:val="24"/>
        </w:rPr>
        <w:t>采购标的时间、地点</w:t>
      </w:r>
      <w:r>
        <w:rPr>
          <w:rFonts w:hint="eastAsia" w:ascii="宋体" w:hAnsi="宋体" w:eastAsia="宋体" w:cs="宋体"/>
          <w:kern w:val="2"/>
          <w:sz w:val="24"/>
          <w:szCs w:val="24"/>
          <w:lang w:eastAsia="zh"/>
        </w:rPr>
        <w:t>：</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1.1合同履行期限（包括项目交付期限和质保期）及地点：</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 xml:space="preserve">（1）项目交付期限：合同签订生效后2个月内完成，并交付采购人验收； </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（2）合同履行地点: 四川省妇幼保健院晋阳院区、天府院区、抚琴院区。</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CN"/>
        </w:rPr>
        <w:t>（3）质保期：整机3年，从项目整体验收合格日起计算。</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eastAsia="zh"/>
        </w:rPr>
        <w:t>2</w:t>
      </w:r>
      <w:r>
        <w:rPr>
          <w:rFonts w:hint="eastAsia" w:ascii="宋体" w:hAnsi="宋体" w:eastAsia="宋体" w:cs="宋体"/>
          <w:kern w:val="2"/>
          <w:sz w:val="24"/>
          <w:szCs w:val="24"/>
          <w:lang w:val="en-US" w:eastAsia="zh-CN"/>
        </w:rPr>
        <w:t>.货物（服务）</w:t>
      </w:r>
      <w:r>
        <w:rPr>
          <w:rFonts w:hint="eastAsia" w:ascii="宋体" w:hAnsi="宋体" w:eastAsia="宋体" w:cs="宋体"/>
          <w:kern w:val="2"/>
          <w:sz w:val="24"/>
          <w:szCs w:val="24"/>
        </w:rPr>
        <w:t>交付（实施）</w:t>
      </w:r>
      <w:r>
        <w:rPr>
          <w:rFonts w:hint="eastAsia" w:ascii="宋体" w:hAnsi="宋体" w:eastAsia="宋体" w:cs="宋体"/>
          <w:kern w:val="2"/>
          <w:sz w:val="24"/>
          <w:szCs w:val="24"/>
          <w:lang w:val="en-US" w:eastAsia="zh-CN"/>
        </w:rPr>
        <w:t>及验收</w:t>
      </w:r>
      <w:r>
        <w:rPr>
          <w:rFonts w:hint="eastAsia" w:ascii="宋体" w:hAnsi="宋体" w:eastAsia="宋体" w:cs="宋体"/>
          <w:kern w:val="2"/>
          <w:sz w:val="24"/>
          <w:szCs w:val="24"/>
          <w:lang w:val="en-US" w:eastAsia="zh"/>
        </w:rPr>
        <w:t>：</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line="360" w:lineRule="auto"/>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CN"/>
        </w:rPr>
        <w:t>按照《财政部关于进一步加强政府采购需求和履约验收管理的指导意见》（财库〔2016〕205号）、磋商文件要求、供应商的响应文件及有关承诺以及合同约定标准规定进行验收。</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CN"/>
        </w:rPr>
        <w:t>3.合同价款及支付方式</w:t>
      </w:r>
      <w:r>
        <w:rPr>
          <w:rFonts w:hint="eastAsia" w:ascii="宋体" w:hAnsi="宋体" w:eastAsia="宋体" w:cs="宋体"/>
          <w:kern w:val="2"/>
          <w:sz w:val="24"/>
          <w:szCs w:val="24"/>
          <w:lang w:val="en-US" w:eastAsia="zh"/>
        </w:rPr>
        <w:t>：</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line="360" w:lineRule="auto"/>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3.1支付条件说明：所有货物交付完成并验收合格后，供应商向采购出具合法有效完整的完税发票及凭证资料，采购人自收到上述发票及凭证资料后30日内支付合同总价100%的货款给供应商。</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line="360" w:lineRule="auto"/>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CN"/>
        </w:rPr>
        <w:t>3.2合同价款：合同总价已包括货物设计、材料、制造、包装、运输、安装、调试、检测、验收合格交付使用之前及质保期内保修服务与备用物件等所有其他有关各项的含税费用。本合同执行期间合同总价不变，采购人无须另向供应商支付本合同规定之外的其他任何费用。</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CN"/>
        </w:rPr>
        <w:t>4.</w:t>
      </w:r>
      <w:r>
        <w:rPr>
          <w:rFonts w:hint="eastAsia" w:ascii="宋体" w:hAnsi="宋体" w:eastAsia="宋体" w:cs="宋体"/>
          <w:kern w:val="2"/>
          <w:sz w:val="24"/>
          <w:szCs w:val="24"/>
          <w:lang w:val="en-US" w:eastAsia="zh"/>
        </w:rPr>
        <w:t>履约保证金缴纳比例及不予退还的情形</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line="360" w:lineRule="auto"/>
        <w:ind w:left="0" w:leftChars="0" w:right="0" w:firstLine="480" w:firstLineChars="200"/>
        <w:textAlignment w:val="auto"/>
        <w:rPr>
          <w:rFonts w:hint="eastAsia" w:ascii="宋体" w:hAnsi="宋体" w:eastAsia="宋体" w:cs="宋体"/>
          <w:kern w:val="2"/>
          <w:sz w:val="24"/>
          <w:szCs w:val="24"/>
          <w:lang w:val="en-US" w:eastAsia="zh"/>
        </w:rPr>
      </w:pPr>
      <w:r>
        <w:rPr>
          <w:rFonts w:hint="eastAsia" w:ascii="宋体" w:hAnsi="宋体" w:eastAsia="宋体" w:cs="宋体"/>
          <w:kern w:val="2"/>
          <w:sz w:val="24"/>
          <w:szCs w:val="24"/>
          <w:lang w:val="en-US" w:eastAsia="zh-CN"/>
        </w:rPr>
        <w:t>成交总金额的10%，自收到采购人通知之日起，7个工作日内中标供应商缴纳至采购人指定账户；项目整体验收合格后一年，由供应商提出书面申请后，采购人60日内一次性无息退还供应商的履约保证金；在合同履行期限内（含质保期），供应商存在任何违约行为，履约保证金不予退还。</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w:t>
      </w:r>
      <w:r>
        <w:rPr>
          <w:rFonts w:hint="eastAsia" w:ascii="宋体" w:hAnsi="宋体" w:eastAsia="宋体" w:cs="宋体"/>
          <w:kern w:val="2"/>
          <w:sz w:val="24"/>
          <w:szCs w:val="24"/>
        </w:rPr>
        <w:t>包装和运输</w:t>
      </w:r>
      <w:r>
        <w:rPr>
          <w:rFonts w:hint="eastAsia" w:ascii="宋体" w:hAnsi="宋体" w:eastAsia="宋体" w:cs="宋体"/>
          <w:kern w:val="2"/>
          <w:sz w:val="24"/>
          <w:szCs w:val="24"/>
          <w:lang w:val="en-US" w:eastAsia="zh-CN"/>
        </w:rPr>
        <w:t>等要求：</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 xml:space="preserve">5.1售后服务： </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（1）根据采购人指定的地点和时间，投标人负责派工程师上门完成安装。</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line="360" w:lineRule="auto"/>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（2）质保期内供应商提供免费的维保服务，7×24小时售后技术服务；接到采购人通知后应确保0.5小时内响应，2小时内排除故障。如采购人要求提供现场服务，应在4小时内到达采购人指定地点。</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（3）货物交付前，产品毁损灭失的风险由供应商承担。</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6.违约责任：</w:t>
      </w:r>
    </w:p>
    <w:p>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line="360" w:lineRule="auto"/>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服务期内（含质保期），如果因供应商原因造成采购人违反国家卫生行政管理部门或上级相关行政部门的规定被上级部门约谈、通报及处罚等情况发生，采购人有权对供应商进行以下处理：①要求供应商承担采购人实际损失；②同时，每发生一次，要求供应商承担成交总金额的5%的违约金；情节严重的，每次供应商需承担成交总金额的10%的违约金；③供应商承担损失金额及违约金都将从合同款中扣除，扣除后不足部分由供应商补足。</w:t>
      </w:r>
    </w:p>
    <w:p>
      <w:pPr>
        <w:pStyle w:val="12"/>
        <w:keepNext w:val="0"/>
        <w:keepLines w:val="0"/>
        <w:widowControl w:val="0"/>
        <w:suppressLineNumbers w:val="0"/>
        <w:autoSpaceDE w:val="0"/>
        <w:autoSpaceDN/>
        <w:spacing w:before="0" w:beforeAutospacing="1"/>
        <w:ind w:left="0" w:leftChars="0" w:right="0" w:firstLine="0" w:firstLineChars="0"/>
        <w:rPr>
          <w:rFonts w:hint="eastAsia" w:ascii="宋体" w:hAnsi="宋体" w:eastAsia="宋体" w:cs="宋体"/>
          <w:b/>
          <w:bCs/>
          <w:kern w:val="2"/>
          <w:sz w:val="24"/>
          <w:szCs w:val="24"/>
        </w:rPr>
      </w:pPr>
      <w:r>
        <w:rPr>
          <w:rFonts w:hint="eastAsia" w:ascii="宋体" w:hAnsi="宋体" w:eastAsia="宋体" w:cs="宋体"/>
          <w:kern w:val="2"/>
          <w:sz w:val="24"/>
          <w:szCs w:val="24"/>
        </w:rPr>
        <w:t>备注：</w:t>
      </w:r>
      <w:r>
        <w:rPr>
          <w:rFonts w:hint="eastAsia" w:ascii="宋体" w:hAnsi="宋体" w:eastAsia="宋体" w:cs="宋体"/>
          <w:b/>
          <w:bCs/>
          <w:kern w:val="2"/>
          <w:sz w:val="24"/>
          <w:szCs w:val="24"/>
        </w:rPr>
        <w:t>本招标文件中“★”要求为实质性要求。供应商在投标文件中进行实质性响应，否则作无效投标处理。</w:t>
      </w:r>
    </w:p>
    <w:p>
      <w:pPr>
        <w:rPr>
          <w:rFonts w:hint="eastAsia" w:ascii="黑体" w:hAnsi="宋体" w:eastAsia="黑体" w:cs="黑体"/>
          <w:b w:val="0"/>
          <w:bCs/>
          <w:i w:val="0"/>
          <w:caps w:val="0"/>
          <w:color w:val="000000"/>
          <w:spacing w:val="0"/>
          <w:kern w:val="2"/>
          <w:sz w:val="28"/>
          <w:szCs w:val="28"/>
          <w:shd w:val="clear" w:fill="FFFFFF"/>
          <w:lang w:val="en-US" w:eastAsia="zh-CN" w:bidi="ar"/>
        </w:rPr>
      </w:pPr>
    </w:p>
    <w:p>
      <w:pPr>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pPr>
        <w:keepNext w:val="0"/>
        <w:keepLines w:val="0"/>
        <w:widowControl w:val="0"/>
        <w:suppressLineNumbers w:val="0"/>
        <w:spacing w:before="0" w:beforeAutospacing="0" w:after="0" w:afterAutospacing="0"/>
        <w:ind w:left="0" w:right="0"/>
        <w:jc w:val="center"/>
        <w:rPr>
          <w:rFonts w:hint="eastAsia" w:ascii="微软雅黑" w:hAnsi="宋体" w:eastAsia="微软雅黑" w:cs="宋体"/>
          <w:bCs/>
          <w:kern w:val="0"/>
          <w:sz w:val="36"/>
          <w:szCs w:val="36"/>
          <w:shd w:val="clear" w:fill="FFFFFF"/>
        </w:rPr>
      </w:pPr>
      <w:r>
        <w:rPr>
          <w:rFonts w:hint="eastAsia" w:ascii="微软雅黑" w:hAnsi="微软雅黑" w:eastAsia="微软雅黑" w:cs="微软雅黑"/>
          <w:bCs/>
          <w:kern w:val="0"/>
          <w:sz w:val="36"/>
          <w:szCs w:val="36"/>
          <w:shd w:val="clear" w:fill="FFFFFF"/>
          <w:lang w:val="en-US" w:eastAsia="zh-CN" w:bidi="ar"/>
        </w:rPr>
        <w:t>评审办法</w:t>
      </w:r>
    </w:p>
    <w:tbl>
      <w:tblPr>
        <w:tblStyle w:val="9"/>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383"/>
        <w:gridCol w:w="850"/>
        <w:gridCol w:w="4150"/>
        <w:gridCol w:w="1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Cs/>
                <w:color w:val="000000"/>
                <w:szCs w:val="21"/>
              </w:rPr>
            </w:pPr>
            <w:r>
              <w:rPr>
                <w:rFonts w:hint="eastAsia" w:ascii="黑体" w:hAnsi="黑体" w:eastAsia="黑体" w:cs="黑体"/>
                <w:bCs/>
                <w:szCs w:val="21"/>
              </w:rPr>
              <w:t>序号</w:t>
            </w:r>
          </w:p>
        </w:tc>
        <w:tc>
          <w:tcPr>
            <w:tcW w:w="1383" w:type="dxa"/>
            <w:noWrap w:val="0"/>
            <w:vAlign w:val="center"/>
          </w:tcPr>
          <w:p>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Cs/>
                <w:color w:val="000000"/>
                <w:szCs w:val="21"/>
              </w:rPr>
            </w:pPr>
            <w:r>
              <w:rPr>
                <w:rFonts w:hint="eastAsia" w:ascii="黑体" w:hAnsi="黑体" w:eastAsia="黑体" w:cs="黑体"/>
                <w:bCs/>
                <w:szCs w:val="21"/>
              </w:rPr>
              <w:t>评分因素</w:t>
            </w:r>
          </w:p>
        </w:tc>
        <w:tc>
          <w:tcPr>
            <w:tcW w:w="850" w:type="dxa"/>
            <w:noWrap w:val="0"/>
            <w:vAlign w:val="center"/>
          </w:tcPr>
          <w:p>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Cs/>
                <w:color w:val="000000"/>
                <w:szCs w:val="21"/>
              </w:rPr>
            </w:pPr>
            <w:r>
              <w:rPr>
                <w:rFonts w:hint="eastAsia" w:ascii="黑体" w:hAnsi="黑体" w:eastAsia="黑体" w:cs="黑体"/>
                <w:bCs/>
                <w:szCs w:val="21"/>
              </w:rPr>
              <w:t>分值</w:t>
            </w:r>
          </w:p>
        </w:tc>
        <w:tc>
          <w:tcPr>
            <w:tcW w:w="4150" w:type="dxa"/>
            <w:noWrap w:val="0"/>
            <w:vAlign w:val="center"/>
          </w:tcPr>
          <w:p>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Cs/>
                <w:szCs w:val="21"/>
              </w:rPr>
            </w:pPr>
            <w:r>
              <w:rPr>
                <w:rFonts w:hint="eastAsia" w:ascii="黑体" w:hAnsi="黑体" w:eastAsia="黑体" w:cs="黑体"/>
                <w:bCs/>
                <w:szCs w:val="21"/>
              </w:rPr>
              <w:t>评分标准</w:t>
            </w:r>
          </w:p>
        </w:tc>
        <w:tc>
          <w:tcPr>
            <w:tcW w:w="1322" w:type="dxa"/>
            <w:noWrap w:val="0"/>
            <w:vAlign w:val="center"/>
          </w:tcPr>
          <w:p>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default" w:ascii="黑体" w:hAnsi="黑体" w:eastAsia="黑体" w:cs="黑体"/>
                <w:bCs/>
                <w:szCs w:val="21"/>
              </w:rPr>
            </w:pPr>
            <w:r>
              <w:rPr>
                <w:rFonts w:hint="eastAsia" w:ascii="黑体" w:hAnsi="黑体" w:eastAsia="黑体" w:cs="黑体"/>
                <w:bCs/>
                <w:szCs w:val="21"/>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keepNext w:val="0"/>
              <w:keepLines w:val="0"/>
              <w:suppressLineNumbers w:val="0"/>
              <w:spacing w:before="0" w:beforeAutospacing="0" w:after="0" w:afterAutospacing="0" w:line="360" w:lineRule="auto"/>
              <w:ind w:left="0" w:right="0" w:firstLine="28"/>
              <w:jc w:val="center"/>
              <w:rPr>
                <w:rFonts w:hint="eastAsia" w:ascii="黑体" w:hAnsi="黑体" w:eastAsia="黑体" w:cs="黑体"/>
                <w:bCs/>
                <w:sz w:val="24"/>
                <w:szCs w:val="24"/>
              </w:rPr>
            </w:pPr>
            <w:r>
              <w:rPr>
                <w:rFonts w:hint="eastAsia" w:ascii="黑体" w:hAnsi="黑体" w:eastAsia="黑体" w:cs="黑体"/>
                <w:szCs w:val="21"/>
              </w:rPr>
              <w:t>1</w:t>
            </w:r>
          </w:p>
        </w:tc>
        <w:tc>
          <w:tcPr>
            <w:tcW w:w="1383" w:type="dxa"/>
            <w:noWrap w:val="0"/>
            <w:vAlign w:val="center"/>
          </w:tcPr>
          <w:p>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21"/>
                <w:szCs w:val="21"/>
                <w:lang w:val="en-US" w:eastAsia="zh-CN" w:bidi="ar-SA"/>
              </w:rPr>
            </w:pPr>
            <w:r>
              <w:rPr>
                <w:rFonts w:hint="eastAsia" w:ascii="宋体" w:hAnsi="宋体" w:eastAsia="宋体" w:cs="宋体"/>
                <w:kern w:val="0"/>
                <w:szCs w:val="21"/>
              </w:rPr>
              <w:t>报价</w:t>
            </w:r>
          </w:p>
        </w:tc>
        <w:tc>
          <w:tcPr>
            <w:tcW w:w="850" w:type="dxa"/>
            <w:noWrap w:val="0"/>
            <w:vAlign w:val="center"/>
          </w:tcPr>
          <w:p>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21"/>
                <w:szCs w:val="21"/>
                <w:lang w:val="en-US" w:eastAsia="zh-CN" w:bidi="ar-SA"/>
              </w:rPr>
            </w:pPr>
            <w:r>
              <w:rPr>
                <w:rFonts w:hint="eastAsia" w:ascii="Times New Roman" w:hAnsi="Times New Roman" w:eastAsia="宋体" w:cs="Times New Roman"/>
                <w:lang w:val="en-US" w:eastAsia="zh-CN"/>
              </w:rPr>
              <w:t>30</w:t>
            </w:r>
            <w:r>
              <w:rPr>
                <w:rFonts w:hint="eastAsia" w:ascii="宋体" w:hAnsi="宋体" w:eastAsia="宋体" w:cs="宋体"/>
                <w:kern w:val="0"/>
                <w:szCs w:val="21"/>
              </w:rPr>
              <w:t>分</w:t>
            </w:r>
          </w:p>
        </w:tc>
        <w:tc>
          <w:tcPr>
            <w:tcW w:w="4150" w:type="dxa"/>
            <w:noWrap w:val="0"/>
            <w:vAlign w:val="center"/>
          </w:tcPr>
          <w:p>
            <w:pPr>
              <w:keepNext w:val="0"/>
              <w:keepLines w:val="0"/>
              <w:suppressLineNumbers w:val="0"/>
              <w:adjustRightInd w:val="0"/>
              <w:snapToGrid w:val="0"/>
              <w:spacing w:before="0" w:beforeAutospacing="0" w:after="0" w:afterAutospacing="0" w:line="312" w:lineRule="auto"/>
              <w:ind w:left="0" w:right="0"/>
              <w:rPr>
                <w:rFonts w:hint="eastAsia" w:ascii="宋体" w:hAnsi="宋体" w:eastAsia="宋体" w:cs="宋体"/>
                <w:kern w:val="0"/>
                <w:sz w:val="21"/>
                <w:szCs w:val="21"/>
                <w:lang w:val="en-US" w:eastAsia="zh-CN" w:bidi="ar-SA"/>
              </w:rPr>
            </w:pPr>
            <w:r>
              <w:rPr>
                <w:rFonts w:hint="eastAsia" w:ascii="宋体" w:hAnsi="宋体" w:eastAsia="宋体" w:cs="宋体"/>
                <w:kern w:val="0"/>
                <w:szCs w:val="21"/>
              </w:rPr>
              <w:t>满足</w:t>
            </w:r>
            <w:r>
              <w:rPr>
                <w:rFonts w:hint="eastAsia" w:ascii="宋体" w:hAnsi="宋体" w:eastAsia="宋体" w:cs="宋体"/>
                <w:kern w:val="0"/>
                <w:szCs w:val="21"/>
                <w:lang w:val="en-US" w:eastAsia="zh-CN"/>
              </w:rPr>
              <w:t>采购</w:t>
            </w:r>
            <w:r>
              <w:rPr>
                <w:rFonts w:hint="eastAsia" w:ascii="宋体" w:hAnsi="宋体" w:eastAsia="宋体" w:cs="宋体"/>
                <w:kern w:val="0"/>
                <w:szCs w:val="21"/>
              </w:rPr>
              <w:t>文件要求且响应价格最低的响应报价为基准价，其价格分为满分。其他供应商的价格分统一按照下列公式计算：报价得分=(基准价／</w:t>
            </w:r>
            <w:r>
              <w:rPr>
                <w:rFonts w:hint="eastAsia" w:ascii="宋体" w:hAnsi="宋体" w:eastAsia="宋体" w:cs="宋体"/>
                <w:kern w:val="0"/>
                <w:szCs w:val="21"/>
                <w:lang w:val="en-US" w:eastAsia="zh-CN"/>
              </w:rPr>
              <w:t>投标</w:t>
            </w:r>
            <w:r>
              <w:rPr>
                <w:rFonts w:hint="eastAsia" w:ascii="宋体" w:hAnsi="宋体" w:eastAsia="宋体" w:cs="宋体"/>
                <w:kern w:val="0"/>
                <w:szCs w:val="21"/>
              </w:rPr>
              <w:t xml:space="preserve">报价)* </w:t>
            </w:r>
            <w:r>
              <w:rPr>
                <w:rFonts w:hint="eastAsia" w:ascii="宋体" w:hAnsi="宋体" w:eastAsia="宋体" w:cs="宋体"/>
                <w:kern w:val="0"/>
                <w:szCs w:val="21"/>
                <w:lang w:val="en-US" w:eastAsia="zh-CN"/>
              </w:rPr>
              <w:t>3</w:t>
            </w:r>
            <w:r>
              <w:rPr>
                <w:rFonts w:hint="eastAsia" w:ascii="宋体" w:hAnsi="宋体" w:eastAsia="宋体" w:cs="宋体"/>
                <w:kern w:val="0"/>
                <w:szCs w:val="21"/>
              </w:rPr>
              <w:t>0%*100。</w:t>
            </w:r>
          </w:p>
        </w:tc>
        <w:tc>
          <w:tcPr>
            <w:tcW w:w="1322"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keepNext w:val="0"/>
              <w:keepLines w:val="0"/>
              <w:suppressLineNumbers w:val="0"/>
              <w:spacing w:before="0" w:beforeAutospacing="0" w:after="0" w:afterAutospacing="0" w:line="360" w:lineRule="auto"/>
              <w:ind w:left="0" w:right="0" w:firstLine="28"/>
              <w:jc w:val="center"/>
              <w:rPr>
                <w:rFonts w:hint="eastAsia" w:ascii="黑体" w:hAnsi="黑体" w:eastAsia="黑体" w:cs="黑体"/>
                <w:bCs/>
                <w:sz w:val="24"/>
                <w:szCs w:val="24"/>
              </w:rPr>
            </w:pPr>
            <w:r>
              <w:rPr>
                <w:rFonts w:hint="eastAsia" w:ascii="黑体" w:hAnsi="黑体" w:eastAsia="黑体" w:cs="黑体"/>
                <w:szCs w:val="21"/>
              </w:rPr>
              <w:t>2</w:t>
            </w:r>
          </w:p>
        </w:tc>
        <w:tc>
          <w:tcPr>
            <w:tcW w:w="1383" w:type="dxa"/>
            <w:noWrap w:val="0"/>
            <w:vAlign w:val="center"/>
          </w:tcPr>
          <w:p>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21"/>
                <w:szCs w:val="21"/>
                <w:lang w:val="en-US" w:eastAsia="zh-CN" w:bidi="ar-SA"/>
              </w:rPr>
            </w:pPr>
            <w:r>
              <w:rPr>
                <w:rFonts w:hint="eastAsia" w:ascii="宋体" w:hAnsi="宋体" w:eastAsia="宋体" w:cs="宋体"/>
                <w:kern w:val="0"/>
                <w:szCs w:val="21"/>
              </w:rPr>
              <w:t>技术要求</w:t>
            </w:r>
          </w:p>
        </w:tc>
        <w:tc>
          <w:tcPr>
            <w:tcW w:w="850" w:type="dxa"/>
            <w:noWrap w:val="0"/>
            <w:vAlign w:val="center"/>
          </w:tcPr>
          <w:p>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50</w:t>
            </w:r>
            <w:r>
              <w:rPr>
                <w:rFonts w:hint="eastAsia" w:ascii="宋体" w:hAnsi="宋体" w:eastAsia="宋体" w:cs="宋体"/>
                <w:kern w:val="0"/>
                <w:szCs w:val="21"/>
              </w:rPr>
              <w:t>分</w:t>
            </w:r>
          </w:p>
        </w:tc>
        <w:tc>
          <w:tcPr>
            <w:tcW w:w="4150" w:type="dxa"/>
            <w:noWrap w:val="0"/>
            <w:vAlign w:val="center"/>
          </w:tcPr>
          <w:p>
            <w:pPr>
              <w:keepNext w:val="0"/>
              <w:keepLines w:val="0"/>
              <w:numPr>
                <w:ilvl w:val="0"/>
                <w:numId w:val="0"/>
              </w:numPr>
              <w:suppressLineNumbers w:val="0"/>
              <w:spacing w:before="0" w:beforeAutospacing="0" w:after="0" w:afterAutospacing="0"/>
              <w:ind w:left="0" w:leftChars="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投标人按技术参数要求中的编号逐条应答，完全符合采购文件技术参数及服务要求没有负偏离的得50分；带“★”的条款为实质性参数，不允许负偏离，凡有一项不满足的作无效响应处理。“▲”的条款为重要参数，重点参数条款响应得分=（投标人满足重点参数条款的数量÷采购文件中重点参数条款的总数量）*30分；未标识符号的参数为一般参数，一般技术参数条款响应得分=（投标人满足一般技术参数条款的数量÷采购文件中一般技术参数条款的总数量）*20分。</w:t>
            </w:r>
          </w:p>
          <w:p>
            <w:pPr>
              <w:keepNext w:val="0"/>
              <w:keepLines w:val="0"/>
              <w:suppressLineNumbers w:val="0"/>
              <w:adjustRightInd w:val="0"/>
              <w:snapToGrid w:val="0"/>
              <w:spacing w:before="0" w:beforeAutospacing="0" w:after="0" w:afterAutospacing="0" w:line="312" w:lineRule="auto"/>
              <w:ind w:left="0" w:right="0"/>
              <w:rPr>
                <w:rFonts w:hint="eastAsia"/>
                <w:kern w:val="2"/>
                <w:sz w:val="21"/>
                <w:szCs w:val="22"/>
                <w:lang w:val="en-US" w:eastAsia="zh-CN" w:bidi="ar-SA"/>
              </w:rPr>
            </w:pPr>
            <w:r>
              <w:rPr>
                <w:rFonts w:hint="eastAsia" w:ascii="Times New Roman" w:hAnsi="Times New Roman" w:eastAsia="宋体" w:cs="Times New Roman"/>
                <w:lang w:val="en-US" w:eastAsia="zh-CN"/>
              </w:rPr>
              <w:t>注：采购文件要求提供技术证明文件的投标人需如实响应并按要求提供证明文件，否则对应技术参数条款将视为不满足。</w:t>
            </w:r>
          </w:p>
        </w:tc>
        <w:tc>
          <w:tcPr>
            <w:tcW w:w="1322"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客观</w:t>
            </w:r>
            <w:r>
              <w:rPr>
                <w:rFonts w:hint="eastAsia" w:ascii="宋体" w:hAnsi="宋体" w:eastAsia="宋体" w:cs="宋体"/>
                <w:kern w:val="0"/>
                <w:sz w:val="21"/>
                <w:szCs w:val="21"/>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keepNext w:val="0"/>
              <w:keepLines w:val="0"/>
              <w:suppressLineNumbers w:val="0"/>
              <w:spacing w:before="0" w:beforeAutospacing="0" w:after="0" w:afterAutospacing="0" w:line="360" w:lineRule="auto"/>
              <w:ind w:left="0" w:right="0" w:firstLine="28"/>
              <w:jc w:val="center"/>
              <w:rPr>
                <w:rFonts w:hint="eastAsia" w:ascii="黑体" w:hAnsi="黑体" w:eastAsia="黑体" w:cs="黑体"/>
                <w:szCs w:val="21"/>
                <w:lang w:val="en-US" w:eastAsia="zh-CN"/>
              </w:rPr>
            </w:pPr>
            <w:r>
              <w:rPr>
                <w:rFonts w:hint="eastAsia" w:ascii="黑体" w:hAnsi="黑体" w:eastAsia="黑体" w:cs="黑体"/>
                <w:szCs w:val="21"/>
                <w:lang w:val="en-US" w:eastAsia="zh-CN"/>
              </w:rPr>
              <w:t>3</w:t>
            </w:r>
          </w:p>
        </w:tc>
        <w:tc>
          <w:tcPr>
            <w:tcW w:w="1383" w:type="dxa"/>
            <w:noWrap w:val="0"/>
            <w:vAlign w:val="center"/>
          </w:tcPr>
          <w:p>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Cs w:val="21"/>
              </w:rPr>
            </w:pPr>
            <w:r>
              <w:rPr>
                <w:rFonts w:hint="eastAsia" w:ascii="Times New Roman" w:hAnsi="Times New Roman" w:eastAsia="宋体" w:cs="Times New Roman"/>
                <w:lang w:val="en-US" w:eastAsia="zh-CN"/>
              </w:rPr>
              <w:t>业绩</w:t>
            </w:r>
          </w:p>
        </w:tc>
        <w:tc>
          <w:tcPr>
            <w:tcW w:w="850" w:type="dxa"/>
            <w:noWrap w:val="0"/>
            <w:vAlign w:val="center"/>
          </w:tcPr>
          <w:p>
            <w:pPr>
              <w:keepNext w:val="0"/>
              <w:keepLines w:val="0"/>
              <w:numPr>
                <w:ilvl w:val="0"/>
                <w:numId w:val="0"/>
              </w:numPr>
              <w:suppressLineNumbers w:val="0"/>
              <w:spacing w:before="0" w:beforeAutospacing="0" w:after="0" w:afterAutospacing="0"/>
              <w:ind w:left="0" w:leftChars="0" w:right="0" w:firstLine="0" w:firstLine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lang w:val="en-US" w:eastAsia="zh-CN"/>
              </w:rPr>
              <w:t>6分</w:t>
            </w:r>
          </w:p>
        </w:tc>
        <w:tc>
          <w:tcPr>
            <w:tcW w:w="4150" w:type="dxa"/>
            <w:noWrap w:val="0"/>
            <w:vAlign w:val="center"/>
          </w:tcPr>
          <w:p>
            <w:pPr>
              <w:keepNext w:val="0"/>
              <w:keepLines w:val="0"/>
              <w:numPr>
                <w:ilvl w:val="0"/>
                <w:numId w:val="0"/>
              </w:numPr>
              <w:suppressLineNumbers w:val="0"/>
              <w:spacing w:before="0" w:beforeAutospacing="0" w:after="0" w:afterAutospacing="0"/>
              <w:ind w:left="0" w:leftChars="0" w:right="0" w:firstLine="0" w:firstLineChars="0"/>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lang w:val="en-US" w:eastAsia="zh-CN"/>
              </w:rPr>
              <w:t>投标人近三年类似业绩至2023年1月1日以来（以合同签订时间为准）每具有一个类似产品销售业绩得2分，最多得6分。无类似销售业绩不得分。需提供合同复印件。</w:t>
            </w:r>
          </w:p>
        </w:tc>
        <w:tc>
          <w:tcPr>
            <w:tcW w:w="1322" w:type="dxa"/>
            <w:noWrap w:val="0"/>
            <w:vAlign w:val="center"/>
          </w:tcPr>
          <w:p>
            <w:pPr>
              <w:keepNext w:val="0"/>
              <w:keepLines w:val="0"/>
              <w:numPr>
                <w:ilvl w:val="0"/>
                <w:numId w:val="0"/>
              </w:numPr>
              <w:suppressLineNumbers w:val="0"/>
              <w:spacing w:before="0" w:beforeAutospacing="0" w:after="0" w:afterAutospacing="0"/>
              <w:ind w:left="0" w:leftChars="0" w:right="0" w:firstLine="0" w:firstLine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lang w:val="en-US" w:eastAsia="zh-CN"/>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pPr>
              <w:keepNext w:val="0"/>
              <w:keepLines w:val="0"/>
              <w:suppressLineNumbers w:val="0"/>
              <w:spacing w:before="0" w:beforeAutospacing="0" w:after="0" w:afterAutospacing="0" w:line="360" w:lineRule="auto"/>
              <w:ind w:left="0" w:right="0" w:firstLine="28"/>
              <w:jc w:val="center"/>
              <w:rPr>
                <w:rFonts w:hint="eastAsia" w:ascii="黑体" w:hAnsi="黑体" w:eastAsia="黑体" w:cs="黑体"/>
                <w:bCs/>
                <w:sz w:val="24"/>
                <w:szCs w:val="24"/>
                <w:lang w:eastAsia="zh-CN"/>
              </w:rPr>
            </w:pPr>
            <w:r>
              <w:rPr>
                <w:rFonts w:hint="eastAsia" w:ascii="黑体" w:hAnsi="黑体" w:eastAsia="黑体" w:cs="黑体"/>
                <w:szCs w:val="21"/>
                <w:lang w:val="en-US" w:eastAsia="zh-CN"/>
              </w:rPr>
              <w:t>4</w:t>
            </w:r>
          </w:p>
        </w:tc>
        <w:tc>
          <w:tcPr>
            <w:tcW w:w="1383"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售后服务</w:t>
            </w:r>
          </w:p>
        </w:tc>
        <w:tc>
          <w:tcPr>
            <w:tcW w:w="850"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14</w:t>
            </w:r>
            <w:r>
              <w:rPr>
                <w:rFonts w:hint="eastAsia" w:ascii="宋体" w:hAnsi="宋体" w:eastAsia="宋体" w:cs="宋体"/>
                <w:kern w:val="0"/>
                <w:szCs w:val="21"/>
              </w:rPr>
              <w:t>分</w:t>
            </w:r>
          </w:p>
        </w:tc>
        <w:tc>
          <w:tcPr>
            <w:tcW w:w="4150" w:type="dxa"/>
            <w:noWrap w:val="0"/>
            <w:vAlign w:val="center"/>
          </w:tcPr>
          <w:p>
            <w:pPr>
              <w:keepNext w:val="0"/>
              <w:keepLines w:val="0"/>
              <w:numPr>
                <w:ilvl w:val="0"/>
                <w:numId w:val="1"/>
              </w:numPr>
              <w:suppressLineNumbers w:val="0"/>
              <w:adjustRightInd w:val="0"/>
              <w:snapToGrid w:val="0"/>
              <w:spacing w:before="0" w:beforeAutospacing="0" w:after="0" w:afterAutospacing="0" w:line="312" w:lineRule="auto"/>
              <w:ind w:left="0" w:right="0"/>
              <w:rPr>
                <w:rFonts w:hint="eastAsia"/>
                <w:kern w:val="2"/>
                <w:sz w:val="21"/>
                <w:szCs w:val="21"/>
                <w:lang w:val="en-US" w:eastAsia="zh-CN" w:bidi="ar-SA"/>
              </w:rPr>
            </w:pPr>
            <w:r>
              <w:rPr>
                <w:rFonts w:hint="eastAsia" w:ascii="Times New Roman" w:hAnsi="Times New Roman" w:eastAsia="宋体" w:cs="Times New Roman"/>
                <w:lang w:val="en-US" w:eastAsia="zh-CN"/>
              </w:rPr>
              <w:t>投标人针对本项目提供的售后服务方案进行评审，方案内容包括（1）售后基础服务资质与能力；（2）响应时效硬件标准；（3）故障维修服务规范；（4）备件备用机制；（5）定期预防性维保服务；（6）耗材供应配套售后；（7）培训与技术支持服务。每一项内容详尽、针对性强且满足项目要求的得2分，总计14分；</w:t>
            </w:r>
            <w:r>
              <w:rPr>
                <w:rFonts w:hint="eastAsia" w:ascii="黑体" w:hAnsi="黑体" w:eastAsia="黑体" w:cs="黑体"/>
                <w:szCs w:val="21"/>
              </w:rPr>
              <w:t>每缺少一项内容扣2分，扣完为止；单项内容每存在一处缺陷扣1分，单项内容分扣完为止</w:t>
            </w:r>
            <w:r>
              <w:rPr>
                <w:rFonts w:hint="eastAsia" w:ascii="Times New Roman" w:hAnsi="Times New Roman" w:eastAsia="宋体" w:cs="Times New Roman"/>
                <w:lang w:val="en-US" w:eastAsia="zh-CN"/>
              </w:rPr>
              <w:t>。</w:t>
            </w:r>
          </w:p>
        </w:tc>
        <w:tc>
          <w:tcPr>
            <w:tcW w:w="1322"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主观分</w:t>
            </w:r>
          </w:p>
        </w:tc>
      </w:tr>
    </w:tbl>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附件3：资格性响应文件装订顺序</w:t>
      </w:r>
    </w:p>
    <w:p>
      <w:pPr>
        <w:keepNext w:val="0"/>
        <w:keepLines w:val="0"/>
        <w:widowControl w:val="0"/>
        <w:suppressLineNumbers w:val="0"/>
        <w:autoSpaceDE w:val="0"/>
        <w:autoSpaceDN/>
        <w:spacing w:before="0" w:beforeAutospacing="0" w:after="0" w:afterAutospacing="0"/>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资格性响应文件装订顺序</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3.在中国境内注册并具有独立法人资格或具有独立民事责任的合法企业</w:t>
      </w:r>
      <w:r>
        <w:rPr>
          <w:rFonts w:hint="eastAsia" w:ascii="宋体" w:hAnsi="宋体" w:eastAsia="宋体" w:cs="宋体"/>
          <w:b/>
          <w:bCs/>
          <w:spacing w:val="8"/>
          <w:kern w:val="0"/>
          <w:sz w:val="28"/>
          <w:szCs w:val="28"/>
          <w:shd w:val="clear" w:fill="FFFFFF"/>
          <w:lang w:val="en-US" w:eastAsia="zh-CN" w:bidi="ar"/>
        </w:rPr>
        <w:t>（提供承诺函，并加盖供应商公章）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4.</w:t>
      </w:r>
      <w:r>
        <w:rPr>
          <w:rFonts w:hint="default" w:ascii="宋体" w:hAnsi="宋体" w:eastAsia="宋体" w:cs="宋体"/>
          <w:spacing w:val="8"/>
          <w:kern w:val="0"/>
          <w:sz w:val="28"/>
          <w:szCs w:val="28"/>
          <w:shd w:val="clear" w:fill="FFFFFF"/>
          <w:lang w:val="en-US" w:eastAsia="zh-CN" w:bidi="ar"/>
        </w:rPr>
        <w:t>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default" w:ascii="宋体" w:hAnsi="宋体" w:eastAsia="宋体" w:cs="宋体"/>
          <w:b/>
          <w:bCs/>
          <w:spacing w:val="8"/>
          <w:kern w:val="0"/>
          <w:sz w:val="28"/>
          <w:szCs w:val="28"/>
          <w:shd w:val="clear" w:fill="FFFFFF"/>
          <w:lang w:val="en-US" w:eastAsia="zh-CN" w:bidi="ar"/>
        </w:rPr>
        <w:t>（提供相关证明材料复印件，并加盖供应商公章）</w:t>
      </w:r>
    </w:p>
    <w:p>
      <w:pPr>
        <w:keepNext w:val="0"/>
        <w:keepLines w:val="0"/>
        <w:widowControl/>
        <w:suppressLineNumbers w:val="0"/>
        <w:adjustRightInd w:val="0"/>
        <w:snapToGrid w:val="0"/>
        <w:spacing w:before="0" w:beforeAutospacing="0" w:after="0" w:afterAutospacing="0"/>
        <w:ind w:left="0" w:right="0" w:firstLine="592" w:firstLineChars="200"/>
        <w:jc w:val="both"/>
        <w:rPr>
          <w:rFonts w:hint="default" w:ascii="仿宋_GB2312" w:eastAsia="仿宋_GB2312" w:cs="仿宋_GB2312"/>
          <w:b/>
          <w:bCs/>
          <w:color w:val="000000"/>
          <w:kern w:val="0"/>
          <w:sz w:val="32"/>
          <w:szCs w:val="32"/>
        </w:rPr>
      </w:pPr>
      <w:r>
        <w:rPr>
          <w:rFonts w:hint="eastAsia" w:ascii="宋体" w:hAnsi="宋体" w:eastAsia="宋体" w:cs="宋体"/>
          <w:spacing w:val="8"/>
          <w:kern w:val="0"/>
          <w:sz w:val="28"/>
          <w:szCs w:val="28"/>
          <w:shd w:val="clear" w:fill="FFFFFF"/>
          <w:lang w:val="en-US" w:eastAsia="zh-CN" w:bidi="ar"/>
        </w:rPr>
        <w:t>5.</w:t>
      </w:r>
      <w:r>
        <w:rPr>
          <w:rFonts w:hint="default" w:ascii="宋体" w:hAnsi="宋体" w:eastAsia="宋体" w:cs="宋体"/>
          <w:spacing w:val="8"/>
          <w:kern w:val="0"/>
          <w:sz w:val="28"/>
          <w:szCs w:val="28"/>
          <w:shd w:val="clear" w:fill="FFFFFF"/>
          <w:lang w:val="en-US" w:eastAsia="zh-CN" w:bidi="ar"/>
        </w:rPr>
        <w:t>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default" w:ascii="仿宋_GB2312" w:hAnsi="Calibri" w:eastAsia="仿宋_GB2312" w:cs="仿宋_GB2312"/>
          <w:color w:val="000000"/>
          <w:kern w:val="0"/>
          <w:sz w:val="32"/>
          <w:szCs w:val="32"/>
          <w:lang w:val="en-US" w:eastAsia="zh-CN" w:bidi="ar"/>
        </w:rPr>
        <w:t>；</w:t>
      </w:r>
      <w:r>
        <w:rPr>
          <w:rFonts w:hint="eastAsia" w:ascii="宋体" w:hAnsi="宋体" w:eastAsia="宋体" w:cs="宋体"/>
          <w:spacing w:val="8"/>
          <w:kern w:val="0"/>
          <w:sz w:val="28"/>
          <w:szCs w:val="28"/>
          <w:shd w:val="clear" w:fill="FFFFFF"/>
          <w:lang w:val="en-US" w:eastAsia="zh-CN" w:bidi="ar"/>
        </w:rPr>
        <w:t>供应商负责人为同一人或者存在控股、管理关系的不同单位，均视为同一参会供应商，不得重复参加采购。</w:t>
      </w:r>
      <w:r>
        <w:rPr>
          <w:rFonts w:hint="default" w:ascii="仿宋_GB2312" w:hAnsi="Calibri" w:eastAsia="仿宋_GB2312" w:cs="仿宋_GB2312"/>
          <w:b/>
          <w:bCs/>
          <w:color w:val="000000"/>
          <w:kern w:val="0"/>
          <w:sz w:val="32"/>
          <w:szCs w:val="32"/>
          <w:lang w:val="en-US" w:eastAsia="zh-CN" w:bidi="ar"/>
        </w:rPr>
        <w:t>（</w:t>
      </w:r>
      <w:r>
        <w:rPr>
          <w:rFonts w:hint="eastAsia" w:ascii="仿宋_GB2312" w:hAnsi="Calibri" w:eastAsia="仿宋_GB2312" w:cs="仿宋_GB2312"/>
          <w:b/>
          <w:bCs/>
          <w:color w:val="000000"/>
          <w:kern w:val="0"/>
          <w:sz w:val="32"/>
          <w:szCs w:val="32"/>
          <w:lang w:val="en-US" w:eastAsia="zh-CN" w:bidi="ar"/>
        </w:rPr>
        <w:t>提供承诺函，并加盖供应商公章</w:t>
      </w:r>
      <w:r>
        <w:rPr>
          <w:rFonts w:hint="default" w:ascii="仿宋_GB2312" w:hAnsi="Calibri" w:eastAsia="仿宋_GB2312" w:cs="仿宋_GB2312"/>
          <w:b/>
          <w:bCs/>
          <w:color w:val="000000"/>
          <w:kern w:val="0"/>
          <w:sz w:val="32"/>
          <w:szCs w:val="32"/>
          <w:lang w:val="en-US" w:eastAsia="zh-CN" w:bidi="ar"/>
        </w:rPr>
        <w:t>）</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6.</w:t>
      </w:r>
      <w:r>
        <w:rPr>
          <w:rFonts w:hint="default" w:ascii="宋体" w:hAnsi="宋体" w:eastAsia="宋体" w:cs="宋体"/>
          <w:spacing w:val="8"/>
          <w:kern w:val="0"/>
          <w:sz w:val="28"/>
          <w:szCs w:val="28"/>
          <w:shd w:val="clear" w:fill="FFFFFF"/>
          <w:lang w:val="en-US" w:eastAsia="zh-CN" w:bidi="ar"/>
        </w:rPr>
        <w:t>根据会议公告附件模板提供反商业贿赂承诺书，无围标、串标行为承诺书，供应商遵守招标采购纪律相关承诺书</w:t>
      </w:r>
      <w:r>
        <w:rPr>
          <w:rFonts w:hint="eastAsia" w:ascii="宋体" w:hAnsi="宋体" w:eastAsia="宋体" w:cs="宋体"/>
          <w:spacing w:val="8"/>
          <w:kern w:val="0"/>
          <w:sz w:val="28"/>
          <w:szCs w:val="28"/>
          <w:shd w:val="clear" w:fill="FFFFFF"/>
          <w:lang w:val="en-US" w:eastAsia="zh-CN" w:bidi="ar"/>
        </w:rPr>
        <w:t>。</w:t>
      </w:r>
      <w:r>
        <w:rPr>
          <w:rFonts w:hint="default" w:ascii="宋体" w:hAnsi="宋体" w:eastAsia="宋体" w:cs="宋体"/>
          <w:b/>
          <w:bCs/>
          <w:spacing w:val="8"/>
          <w:kern w:val="0"/>
          <w:sz w:val="28"/>
          <w:szCs w:val="28"/>
          <w:shd w:val="clear" w:fill="FFFFFF"/>
          <w:lang w:val="en-US" w:eastAsia="zh-CN" w:bidi="ar"/>
        </w:rPr>
        <w:t>（提供承诺函，并加盖供应商公章）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7.</w:t>
      </w:r>
      <w:r>
        <w:rPr>
          <w:rFonts w:hint="default" w:ascii="宋体" w:hAnsi="宋体" w:eastAsia="宋体" w:cs="宋体"/>
          <w:spacing w:val="8"/>
          <w:kern w:val="0"/>
          <w:sz w:val="28"/>
          <w:szCs w:val="28"/>
          <w:shd w:val="clear" w:fill="FFFFFF"/>
          <w:lang w:val="en-US" w:eastAsia="zh-CN" w:bidi="ar"/>
        </w:rPr>
        <w:t>授权参加本次采购活动的供应商代表证明(供应商代表为“授权代表”时，提供授权委托书及身份证复印件；供应商代表为“法定代表人（单位负责人）”时，提供法定代表人（单位负责人）身份证复印件)。</w:t>
      </w:r>
      <w:r>
        <w:rPr>
          <w:rFonts w:hint="default" w:ascii="宋体" w:hAnsi="宋体" w:eastAsia="宋体" w:cs="宋体"/>
          <w:b/>
          <w:bCs/>
          <w:spacing w:val="8"/>
          <w:kern w:val="0"/>
          <w:sz w:val="28"/>
          <w:szCs w:val="28"/>
          <w:shd w:val="clear" w:fill="FFFFFF"/>
          <w:lang w:val="en-US" w:eastAsia="zh-CN" w:bidi="ar"/>
        </w:rPr>
        <w:t>（提供相关证明材料，并加盖供应商公章）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8.提供“信用中国”网站（www.creditchina.gov.cn）、查询在提交采购文件截止之日前的信用记录结果网页截图，拒绝列入失信被执行人名单、重大税收违法失信主体记录名单、严重失信主体名单中的供应商报名参加本项目的采购活动</w:t>
      </w:r>
      <w:r>
        <w:rPr>
          <w:rFonts w:hint="eastAsia" w:ascii="宋体" w:hAnsi="宋体" w:eastAsia="宋体" w:cs="宋体"/>
          <w:b/>
          <w:bCs/>
          <w:spacing w:val="8"/>
          <w:kern w:val="0"/>
          <w:sz w:val="28"/>
          <w:szCs w:val="28"/>
          <w:shd w:val="clear" w:fill="FFFFFF"/>
          <w:lang w:val="en-US" w:eastAsia="zh-CN" w:bidi="ar"/>
        </w:rPr>
        <w:t>（提供网页截图并加盖公章）</w:t>
      </w:r>
    </w:p>
    <w:p>
      <w:pPr>
        <w:pStyle w:val="8"/>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lang w:val="en-US" w:eastAsia="zh-CN" w:bidi="ar"/>
        </w:rPr>
      </w:pPr>
      <w:r>
        <w:rPr>
          <w:rFonts w:hint="eastAsia" w:ascii="黑体" w:hAnsi="宋体" w:eastAsia="黑体" w:cs="黑体"/>
          <w:b w:val="0"/>
          <w:bCs w:val="0"/>
          <w:kern w:val="2"/>
          <w:sz w:val="28"/>
          <w:szCs w:val="28"/>
          <w:lang w:val="en-US" w:eastAsia="zh-CN" w:bidi="ar"/>
        </w:rPr>
        <w:br w:type="page"/>
      </w:r>
    </w:p>
    <w:p>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pPr>
        <w:keepNext w:val="0"/>
        <w:keepLines w:val="0"/>
        <w:widowControl/>
        <w:suppressLineNumbers w:val="0"/>
        <w:adjustRightInd w:val="0"/>
        <w:snapToGrid w:val="0"/>
        <w:spacing w:before="0" w:beforeAutospacing="0" w:after="0" w:afterAutospacing="0" w:line="580" w:lineRule="exact"/>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其他响应文件装订顺序</w:t>
      </w:r>
    </w:p>
    <w:p>
      <w:pPr>
        <w:pStyle w:val="3"/>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4.技术、商务要求偏离表（格式见附件5-2）。</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7.供应商认为需要提供的其它资料。</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pPr>
        <w:pStyle w:val="12"/>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3"/>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u w:val="single"/>
          <w:lang w:val="en-US" w:eastAsia="zh-CN" w:bidi="ar"/>
        </w:rPr>
        <w:t>XXX</w:t>
      </w:r>
      <w:r>
        <w:rPr>
          <w:rFonts w:hint="eastAsia" w:ascii="宋体" w:hAnsi="宋体" w:eastAsia="宋体" w:cs="宋体"/>
          <w:kern w:val="0"/>
          <w:sz w:val="28"/>
          <w:szCs w:val="28"/>
          <w:lang w:val="en-US" w:eastAsia="zh-CN" w:bidi="ar"/>
        </w:rPr>
        <w:t>采购项目报价表</w:t>
      </w:r>
    </w:p>
    <w:p>
      <w:pPr>
        <w:rPr>
          <w:rFonts w:hint="eastAsia" w:ascii="宋体" w:hAnsi="宋体" w:eastAsia="宋体" w:cs="宋体"/>
          <w:color w:val="333333"/>
          <w:spacing w:val="0"/>
          <w:kern w:val="2"/>
          <w:sz w:val="24"/>
          <w:szCs w:val="24"/>
        </w:rPr>
      </w:pPr>
      <w:bookmarkStart w:id="0" w:name="OLE_LINK2"/>
      <w:r>
        <w:rPr>
          <w:rFonts w:hint="eastAsia"/>
          <w:sz w:val="24"/>
          <w:szCs w:val="24"/>
          <w:lang w:val="en-US" w:eastAsia="zh-CN"/>
        </w:rPr>
        <w:t>项目名称：</w:t>
      </w:r>
      <w:r>
        <w:rPr>
          <w:rFonts w:hint="eastAsia"/>
          <w:sz w:val="24"/>
          <w:szCs w:val="24"/>
          <w:lang w:val="en-US" w:eastAsia="zh-CN"/>
        </w:rPr>
        <w:br w:type="textWrapping"/>
      </w:r>
      <w:r>
        <w:rPr>
          <w:rFonts w:hint="eastAsia"/>
          <w:sz w:val="24"/>
          <w:szCs w:val="24"/>
          <w:lang w:val="en-US" w:eastAsia="zh-CN"/>
        </w:rPr>
        <w:t>项目编号：</w:t>
      </w:r>
      <w:bookmarkEnd w:id="0"/>
      <w:r>
        <w:rPr>
          <w:rFonts w:hint="eastAsia" w:ascii="宋体" w:hAnsi="宋体" w:eastAsia="宋体" w:cs="宋体"/>
          <w:color w:val="333333"/>
          <w:spacing w:val="0"/>
          <w:kern w:val="2"/>
          <w:sz w:val="24"/>
          <w:szCs w:val="24"/>
        </w:rPr>
        <w:t xml:space="preserve"> </w:t>
      </w:r>
    </w:p>
    <w:tbl>
      <w:tblPr>
        <w:tblStyle w:val="9"/>
        <w:tblW w:w="554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10"/>
        <w:gridCol w:w="501"/>
        <w:gridCol w:w="1630"/>
        <w:gridCol w:w="1243"/>
        <w:gridCol w:w="1269"/>
        <w:gridCol w:w="1025"/>
        <w:gridCol w:w="783"/>
        <w:gridCol w:w="1033"/>
        <w:gridCol w:w="11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33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包号</w:t>
            </w:r>
          </w:p>
        </w:tc>
        <w:tc>
          <w:tcPr>
            <w:tcW w:w="2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r>
              <w:rPr>
                <w:rFonts w:hint="eastAsia" w:ascii="宋体" w:hAnsi="宋体" w:eastAsia="宋体" w:cs="宋体"/>
                <w:b/>
                <w:color w:val="000000"/>
                <w:kern w:val="0"/>
                <w:sz w:val="21"/>
                <w:szCs w:val="21"/>
                <w:lang w:val="en-US" w:eastAsia="zh-CN" w:bidi="ar"/>
              </w:rPr>
              <w:t>序号</w:t>
            </w:r>
          </w:p>
        </w:tc>
        <w:tc>
          <w:tcPr>
            <w:tcW w:w="882"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r>
              <w:rPr>
                <w:rFonts w:hint="eastAsia" w:ascii="宋体" w:hAnsi="宋体" w:eastAsia="宋体" w:cs="宋体"/>
                <w:b/>
                <w:kern w:val="2"/>
                <w:sz w:val="21"/>
                <w:szCs w:val="21"/>
                <w:lang w:val="en-US" w:eastAsia="zh-CN" w:bidi="ar"/>
              </w:rPr>
              <w:t>标的名称</w:t>
            </w:r>
          </w:p>
        </w:tc>
        <w:tc>
          <w:tcPr>
            <w:tcW w:w="673"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rPr>
            </w:pPr>
            <w:r>
              <w:rPr>
                <w:rFonts w:hint="eastAsia" w:ascii="宋体" w:hAnsi="宋体" w:eastAsia="宋体" w:cs="宋体"/>
                <w:b/>
                <w:kern w:val="2"/>
                <w:sz w:val="21"/>
                <w:szCs w:val="21"/>
                <w:lang w:val="en-US" w:eastAsia="zh-CN"/>
              </w:rPr>
              <w:t>规格型号</w:t>
            </w:r>
          </w:p>
        </w:tc>
        <w:tc>
          <w:tcPr>
            <w:tcW w:w="6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rPr>
            </w:pPr>
            <w:r>
              <w:rPr>
                <w:rFonts w:hint="eastAsia" w:ascii="宋体" w:hAnsi="宋体" w:eastAsia="宋体" w:cs="宋体"/>
                <w:b/>
                <w:kern w:val="2"/>
                <w:sz w:val="21"/>
                <w:szCs w:val="21"/>
                <w:lang w:val="en-US" w:eastAsia="zh-CN"/>
              </w:rPr>
              <w:t>品牌</w:t>
            </w:r>
          </w:p>
        </w:tc>
        <w:tc>
          <w:tcPr>
            <w:tcW w:w="55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val="en-US" w:eastAsia="zh-CN"/>
              </w:rPr>
            </w:pPr>
            <w:r>
              <w:rPr>
                <w:rFonts w:hint="eastAsia" w:ascii="宋体" w:hAnsi="宋体" w:eastAsia="宋体" w:cs="宋体"/>
                <w:b/>
                <w:color w:val="000000"/>
                <w:kern w:val="0"/>
                <w:sz w:val="21"/>
                <w:szCs w:val="21"/>
                <w:lang w:val="en-US" w:eastAsia="zh-CN"/>
              </w:rPr>
              <w:t>数量</w:t>
            </w:r>
          </w:p>
        </w:tc>
        <w:tc>
          <w:tcPr>
            <w:tcW w:w="424"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lang w:val="en-US" w:eastAsia="zh-CN" w:bidi="ar"/>
              </w:rPr>
              <w:t>单位</w:t>
            </w:r>
          </w:p>
        </w:tc>
        <w:tc>
          <w:tcPr>
            <w:tcW w:w="55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8"/>
              <w:keepNext w:val="0"/>
              <w:keepLines w:val="0"/>
              <w:widowControl w:val="0"/>
              <w:suppressLineNumbers w:val="0"/>
              <w:autoSpaceDE w:val="0"/>
              <w:autoSpaceDN/>
              <w:adjustRightInd w:val="0"/>
              <w:spacing w:before="0" w:beforeAutospacing="0" w:after="0" w:afterAutospacing="0" w:line="0" w:lineRule="atLeast"/>
              <w:ind w:left="0" w:leftChars="0" w:right="0" w:firstLine="0" w:firstLineChars="0"/>
              <w:contextualSpacing w:val="0"/>
              <w:jc w:val="center"/>
              <w:outlineLvl w:val="0"/>
              <w:rPr>
                <w:rFonts w:hint="eastAsia" w:ascii="宋体" w:hAnsi="宋体" w:eastAsia="宋体" w:cs="宋体"/>
                <w:b w:val="0"/>
                <w:bCs/>
                <w:kern w:val="2"/>
                <w:sz w:val="21"/>
                <w:szCs w:val="21"/>
              </w:rPr>
            </w:pPr>
            <w:r>
              <w:rPr>
                <w:rFonts w:hint="eastAsia" w:ascii="宋体" w:hAnsi="宋体" w:eastAsia="宋体" w:cs="宋体"/>
                <w:b/>
                <w:color w:val="000000"/>
                <w:kern w:val="0"/>
                <w:sz w:val="21"/>
                <w:szCs w:val="21"/>
                <w:lang w:val="en-US" w:eastAsia="zh-CN" w:bidi="ar"/>
              </w:rPr>
              <w:t>单价限价（元）</w:t>
            </w:r>
          </w:p>
        </w:tc>
        <w:tc>
          <w:tcPr>
            <w:tcW w:w="61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color w:val="000000"/>
                <w:kern w:val="0"/>
                <w:sz w:val="21"/>
                <w:szCs w:val="21"/>
                <w:lang w:val="en-US"/>
              </w:rPr>
            </w:pPr>
            <w:r>
              <w:rPr>
                <w:rFonts w:hint="eastAsia" w:ascii="宋体" w:hAnsi="宋体" w:eastAsia="宋体" w:cs="宋体"/>
                <w:b/>
                <w:color w:val="000000"/>
                <w:kern w:val="0"/>
                <w:sz w:val="21"/>
                <w:szCs w:val="21"/>
                <w:lang w:val="en-US" w:eastAsia="zh-CN" w:bidi="ar"/>
              </w:rPr>
              <w:t>单价报价</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330" w:type="pct"/>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color w:val="000000"/>
                <w:kern w:val="0"/>
                <w:sz w:val="21"/>
                <w:szCs w:val="21"/>
                <w:lang w:val="en-US" w:eastAsia="zh-CN" w:bidi="ar"/>
              </w:rPr>
            </w:pPr>
            <w:r>
              <w:rPr>
                <w:rFonts w:hint="eastAsia" w:ascii="宋体" w:hAnsi="宋体" w:eastAsia="宋体" w:cs="宋体"/>
                <w:i w:val="0"/>
                <w:color w:val="000000"/>
                <w:kern w:val="0"/>
                <w:sz w:val="21"/>
                <w:szCs w:val="21"/>
                <w:lang w:val="en-US" w:eastAsia="zh-CN" w:bidi="ar"/>
              </w:rPr>
              <w:t>1</w:t>
            </w:r>
          </w:p>
        </w:tc>
        <w:tc>
          <w:tcPr>
            <w:tcW w:w="2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r>
              <w:rPr>
                <w:rFonts w:hint="eastAsia" w:ascii="宋体" w:hAnsi="宋体" w:eastAsia="宋体" w:cs="宋体"/>
                <w:i w:val="0"/>
                <w:color w:val="000000"/>
                <w:kern w:val="0"/>
                <w:sz w:val="21"/>
                <w:szCs w:val="21"/>
                <w:lang w:val="en-US" w:eastAsia="zh-CN" w:bidi="ar"/>
              </w:rPr>
              <w:t>1</w:t>
            </w:r>
          </w:p>
        </w:tc>
        <w:tc>
          <w:tcPr>
            <w:tcW w:w="882"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color w:val="000000"/>
                <w:kern w:val="0"/>
                <w:sz w:val="21"/>
                <w:szCs w:val="21"/>
              </w:rPr>
            </w:pPr>
            <w:r>
              <w:rPr>
                <w:rFonts w:hint="eastAsia" w:ascii="宋体" w:hAnsi="宋体" w:eastAsia="宋体" w:cs="宋体"/>
                <w:b w:val="0"/>
                <w:bCs/>
                <w:color w:val="000000"/>
                <w:kern w:val="2"/>
                <w:sz w:val="24"/>
                <w:szCs w:val="24"/>
                <w:lang w:val="en-US" w:eastAsia="zh-CN"/>
              </w:rPr>
              <w:t>多媒体教学用一体机</w:t>
            </w:r>
          </w:p>
        </w:tc>
        <w:tc>
          <w:tcPr>
            <w:tcW w:w="673"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6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p>
        </w:tc>
        <w:tc>
          <w:tcPr>
            <w:tcW w:w="55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color w:val="000000"/>
                <w:kern w:val="0"/>
                <w:sz w:val="21"/>
                <w:szCs w:val="21"/>
              </w:rPr>
            </w:pPr>
            <w:r>
              <w:rPr>
                <w:rFonts w:hint="eastAsia" w:ascii="宋体" w:hAnsi="宋体" w:eastAsia="宋体" w:cs="宋体"/>
                <w:b w:val="0"/>
                <w:bCs/>
                <w:color w:val="000000"/>
                <w:kern w:val="2"/>
                <w:sz w:val="24"/>
                <w:szCs w:val="24"/>
                <w:lang w:val="en-US" w:eastAsia="zh-CN"/>
              </w:rPr>
              <w:t>3</w:t>
            </w:r>
          </w:p>
        </w:tc>
        <w:tc>
          <w:tcPr>
            <w:tcW w:w="424"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0"/>
                <w:sz w:val="21"/>
                <w:szCs w:val="21"/>
                <w:lang w:val="en-US" w:eastAsia="zh-CN"/>
              </w:rPr>
            </w:pPr>
            <w:r>
              <w:rPr>
                <w:rFonts w:hint="eastAsia" w:ascii="宋体" w:hAnsi="宋体" w:cs="宋体"/>
                <w:b w:val="0"/>
                <w:bCs/>
                <w:color w:val="000000"/>
                <w:kern w:val="0"/>
                <w:sz w:val="21"/>
                <w:szCs w:val="21"/>
                <w:lang w:val="en-US" w:eastAsia="zh-CN"/>
              </w:rPr>
              <w:t>个</w:t>
            </w:r>
          </w:p>
        </w:tc>
        <w:tc>
          <w:tcPr>
            <w:tcW w:w="55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val="0"/>
                <w:bCs/>
                <w:kern w:val="2"/>
                <w:sz w:val="21"/>
                <w:szCs w:val="21"/>
              </w:rPr>
            </w:pPr>
            <w:r>
              <w:rPr>
                <w:rFonts w:hint="eastAsia" w:ascii="宋体" w:hAnsi="宋体" w:eastAsia="宋体" w:cs="宋体"/>
                <w:b w:val="0"/>
                <w:bCs/>
                <w:color w:val="000000"/>
                <w:kern w:val="2"/>
                <w:sz w:val="24"/>
                <w:szCs w:val="24"/>
                <w:lang w:val="en-US" w:eastAsia="zh-CN"/>
              </w:rPr>
              <w:t>12900</w:t>
            </w:r>
          </w:p>
        </w:tc>
        <w:tc>
          <w:tcPr>
            <w:tcW w:w="61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1" w:hRule="atLeast"/>
          <w:jc w:val="center"/>
        </w:trPr>
        <w:tc>
          <w:tcPr>
            <w:tcW w:w="330" w:type="pct"/>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lang w:val="en-US" w:eastAsia="zh-CN" w:bidi="ar"/>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1"/>
                <w:szCs w:val="21"/>
              </w:rPr>
            </w:pPr>
            <w:r>
              <w:rPr>
                <w:rFonts w:hint="eastAsia" w:ascii="宋体" w:hAnsi="宋体" w:eastAsia="宋体" w:cs="宋体"/>
                <w:i w:val="0"/>
                <w:color w:val="000000"/>
                <w:kern w:val="0"/>
                <w:sz w:val="21"/>
                <w:szCs w:val="21"/>
                <w:lang w:val="en-US" w:eastAsia="zh-CN" w:bidi="ar"/>
              </w:rPr>
              <w:t>2</w:t>
            </w:r>
          </w:p>
        </w:tc>
        <w:tc>
          <w:tcPr>
            <w:tcW w:w="882"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color w:val="000000"/>
                <w:kern w:val="0"/>
                <w:sz w:val="21"/>
                <w:szCs w:val="21"/>
              </w:rPr>
            </w:pPr>
            <w:r>
              <w:rPr>
                <w:rFonts w:hint="eastAsia" w:ascii="宋体" w:hAnsi="宋体" w:eastAsia="宋体" w:cs="宋体"/>
                <w:b w:val="0"/>
                <w:bCs/>
                <w:color w:val="000000"/>
                <w:kern w:val="2"/>
                <w:sz w:val="24"/>
                <w:szCs w:val="24"/>
                <w:lang w:val="en-US" w:eastAsia="zh-CN"/>
              </w:rPr>
              <w:t>教学一体机配套业务终端</w:t>
            </w:r>
          </w:p>
        </w:tc>
        <w:tc>
          <w:tcPr>
            <w:tcW w:w="673"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c>
          <w:tcPr>
            <w:tcW w:w="6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rPr>
            </w:pPr>
          </w:p>
        </w:tc>
        <w:tc>
          <w:tcPr>
            <w:tcW w:w="55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b/>
                <w:color w:val="000000"/>
                <w:kern w:val="0"/>
                <w:sz w:val="21"/>
                <w:szCs w:val="21"/>
              </w:rPr>
            </w:pPr>
            <w:r>
              <w:rPr>
                <w:rFonts w:hint="eastAsia" w:ascii="宋体" w:hAnsi="宋体" w:eastAsia="宋体" w:cs="宋体"/>
                <w:b w:val="0"/>
                <w:bCs/>
                <w:color w:val="000000"/>
                <w:kern w:val="2"/>
                <w:sz w:val="24"/>
                <w:szCs w:val="24"/>
                <w:lang w:val="en-US" w:eastAsia="zh-CN"/>
              </w:rPr>
              <w:t>4</w:t>
            </w:r>
          </w:p>
        </w:tc>
        <w:tc>
          <w:tcPr>
            <w:tcW w:w="424"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0"/>
                <w:sz w:val="21"/>
                <w:szCs w:val="21"/>
                <w:lang w:val="en-US" w:eastAsia="zh-CN"/>
              </w:rPr>
            </w:pPr>
            <w:r>
              <w:rPr>
                <w:rFonts w:hint="eastAsia" w:ascii="宋体" w:hAnsi="宋体" w:cs="宋体"/>
                <w:b w:val="0"/>
                <w:bCs/>
                <w:color w:val="000000"/>
                <w:kern w:val="0"/>
                <w:sz w:val="21"/>
                <w:szCs w:val="21"/>
                <w:lang w:val="en-US" w:eastAsia="zh-CN"/>
              </w:rPr>
              <w:t>个</w:t>
            </w:r>
          </w:p>
        </w:tc>
        <w:tc>
          <w:tcPr>
            <w:tcW w:w="55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val="0"/>
                <w:bCs/>
                <w:kern w:val="2"/>
                <w:sz w:val="21"/>
                <w:szCs w:val="21"/>
              </w:rPr>
            </w:pPr>
            <w:r>
              <w:rPr>
                <w:rFonts w:hint="eastAsia" w:ascii="宋体" w:hAnsi="宋体" w:eastAsia="宋体" w:cs="宋体"/>
                <w:b w:val="0"/>
                <w:bCs/>
                <w:color w:val="000000"/>
                <w:kern w:val="2"/>
                <w:sz w:val="24"/>
                <w:szCs w:val="24"/>
                <w:lang w:val="en-US" w:eastAsia="zh-CN"/>
              </w:rPr>
              <w:t>10000</w:t>
            </w:r>
          </w:p>
        </w:tc>
        <w:tc>
          <w:tcPr>
            <w:tcW w:w="61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2" w:hRule="atLeast"/>
          <w:jc w:val="center"/>
        </w:trPr>
        <w:tc>
          <w:tcPr>
            <w:tcW w:w="330" w:type="pct"/>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lang w:val="en-US" w:eastAsia="zh-CN" w:bidi="ar"/>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rPr>
            </w:pPr>
            <w:r>
              <w:rPr>
                <w:rFonts w:hint="eastAsia" w:ascii="宋体" w:hAnsi="宋体" w:eastAsia="宋体" w:cs="宋体"/>
                <w:i w:val="0"/>
                <w:color w:val="000000"/>
                <w:kern w:val="0"/>
                <w:sz w:val="21"/>
                <w:szCs w:val="21"/>
                <w:lang w:val="en-US" w:eastAsia="zh-CN" w:bidi="ar"/>
              </w:rPr>
              <w:t>3</w:t>
            </w:r>
          </w:p>
        </w:tc>
        <w:tc>
          <w:tcPr>
            <w:tcW w:w="882"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i w:val="0"/>
                <w:kern w:val="2"/>
                <w:sz w:val="21"/>
                <w:szCs w:val="21"/>
              </w:rPr>
            </w:pPr>
            <w:r>
              <w:rPr>
                <w:rFonts w:hint="eastAsia" w:ascii="宋体" w:hAnsi="宋体" w:eastAsia="宋体" w:cs="宋体"/>
                <w:b w:val="0"/>
                <w:bCs/>
                <w:color w:val="000000"/>
                <w:kern w:val="2"/>
                <w:sz w:val="24"/>
                <w:szCs w:val="24"/>
                <w:lang w:val="en-US" w:eastAsia="zh-CN"/>
              </w:rPr>
              <w:t>呼叫机顶盒</w:t>
            </w:r>
          </w:p>
        </w:tc>
        <w:tc>
          <w:tcPr>
            <w:tcW w:w="673"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top"/>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i w:val="0"/>
                <w:kern w:val="2"/>
                <w:sz w:val="21"/>
                <w:szCs w:val="21"/>
              </w:rPr>
            </w:pPr>
          </w:p>
        </w:tc>
        <w:tc>
          <w:tcPr>
            <w:tcW w:w="6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top"/>
          </w:tcPr>
          <w:p>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i w:val="0"/>
                <w:kern w:val="2"/>
                <w:sz w:val="21"/>
                <w:szCs w:val="21"/>
              </w:rPr>
            </w:pPr>
          </w:p>
        </w:tc>
        <w:tc>
          <w:tcPr>
            <w:tcW w:w="55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both"/>
              <w:outlineLvl w:val="9"/>
              <w:rPr>
                <w:rFonts w:hint="eastAsia" w:ascii="宋体" w:hAnsi="宋体" w:eastAsia="宋体" w:cs="宋体"/>
                <w:i w:val="0"/>
                <w:kern w:val="2"/>
                <w:sz w:val="21"/>
                <w:szCs w:val="21"/>
              </w:rPr>
            </w:pPr>
            <w:r>
              <w:rPr>
                <w:rFonts w:hint="eastAsia" w:ascii="宋体" w:hAnsi="宋体" w:eastAsia="宋体" w:cs="宋体"/>
                <w:b w:val="0"/>
                <w:bCs/>
                <w:color w:val="000000"/>
                <w:kern w:val="2"/>
                <w:sz w:val="24"/>
                <w:szCs w:val="24"/>
                <w:lang w:val="en-US" w:eastAsia="zh-CN"/>
              </w:rPr>
              <w:t>1</w:t>
            </w:r>
          </w:p>
        </w:tc>
        <w:tc>
          <w:tcPr>
            <w:tcW w:w="424"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i w:val="0"/>
                <w:kern w:val="2"/>
                <w:sz w:val="21"/>
                <w:szCs w:val="21"/>
                <w:lang w:val="en-US" w:eastAsia="zh-CN"/>
              </w:rPr>
            </w:pPr>
            <w:r>
              <w:rPr>
                <w:rFonts w:hint="eastAsia" w:ascii="宋体" w:hAnsi="宋体" w:cs="宋体"/>
                <w:b w:val="0"/>
                <w:bCs/>
                <w:i w:val="0"/>
                <w:kern w:val="2"/>
                <w:sz w:val="21"/>
                <w:szCs w:val="21"/>
                <w:lang w:val="en-US" w:eastAsia="zh-CN"/>
              </w:rPr>
              <w:t>个</w:t>
            </w:r>
          </w:p>
        </w:tc>
        <w:tc>
          <w:tcPr>
            <w:tcW w:w="55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pStyle w:val="13"/>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i w:val="0"/>
                <w:kern w:val="2"/>
                <w:sz w:val="21"/>
                <w:szCs w:val="21"/>
              </w:rPr>
            </w:pPr>
            <w:r>
              <w:rPr>
                <w:rFonts w:hint="eastAsia" w:ascii="宋体" w:hAnsi="宋体" w:eastAsia="宋体" w:cs="宋体"/>
                <w:b w:val="0"/>
                <w:bCs/>
                <w:color w:val="000000"/>
                <w:kern w:val="2"/>
                <w:sz w:val="24"/>
                <w:szCs w:val="24"/>
                <w:lang w:val="en-US" w:eastAsia="zh-CN"/>
              </w:rPr>
              <w:t>1300</w:t>
            </w:r>
          </w:p>
        </w:tc>
        <w:tc>
          <w:tcPr>
            <w:tcW w:w="61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2" w:hRule="atLeast"/>
          <w:jc w:val="center"/>
        </w:trPr>
        <w:tc>
          <w:tcPr>
            <w:tcW w:w="5000" w:type="pct"/>
            <w:gridSpan w:val="9"/>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lang w:val="en-US" w:eastAsia="zh-CN" w:bidi="ar"/>
              </w:rPr>
              <w:t>合计总价：          元（大写：                   ）</w:t>
            </w:r>
          </w:p>
        </w:tc>
      </w:tr>
    </w:tbl>
    <w:p>
      <w:pPr>
        <w:pStyle w:val="6"/>
        <w:widowControl/>
        <w:ind w:left="0" w:leftChars="0" w:right="0" w:firstLine="0" w:firstLineChars="0"/>
        <w:rPr>
          <w:rFonts w:hint="eastAsia" w:ascii="宋体" w:hAnsi="宋体" w:eastAsia="宋体" w:cs="宋体"/>
          <w:color w:val="333333"/>
          <w:spacing w:val="0"/>
          <w:kern w:val="2"/>
          <w:sz w:val="24"/>
          <w:szCs w:val="24"/>
        </w:rPr>
      </w:pPr>
    </w:p>
    <w:p>
      <w:pPr>
        <w:pStyle w:val="6"/>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“报价表”为多页的，每页均需由法定代表人或授权代表签字并盖供应商印章。</w:t>
      </w:r>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4.预估数量</w:t>
      </w:r>
      <w:r>
        <w:rPr>
          <w:rFonts w:hint="eastAsia" w:ascii="宋体" w:eastAsia="宋体" w:cs="宋体"/>
          <w:color w:val="333333"/>
          <w:spacing w:val="0"/>
          <w:kern w:val="2"/>
          <w:sz w:val="24"/>
          <w:szCs w:val="24"/>
          <w:lang w:val="en-US" w:eastAsia="zh-CN"/>
        </w:rPr>
        <w:t>（如有）</w:t>
      </w:r>
      <w:r>
        <w:rPr>
          <w:rFonts w:hint="eastAsia" w:ascii="宋体" w:hAnsi="宋体" w:eastAsia="宋体" w:cs="宋体"/>
          <w:color w:val="333333"/>
          <w:spacing w:val="0"/>
          <w:kern w:val="2"/>
          <w:sz w:val="24"/>
          <w:szCs w:val="24"/>
          <w:lang w:val="en-US" w:eastAsia="zh-CN"/>
        </w:rPr>
        <w:t>只用作报价测算，不作为其他使用。</w:t>
      </w:r>
    </w:p>
    <w:p>
      <w:pPr>
        <w:pStyle w:val="6"/>
        <w:widowControl/>
        <w:ind w:left="0" w:leftChars="0" w:right="0" w:firstLine="0" w:firstLineChars="0"/>
        <w:rPr>
          <w:rFonts w:hint="eastAsia" w:ascii="宋体" w:hAnsi="宋体" w:eastAsia="宋体" w:cs="宋体"/>
          <w:color w:val="333333"/>
          <w:spacing w:val="0"/>
          <w:kern w:val="2"/>
          <w:sz w:val="24"/>
          <w:szCs w:val="24"/>
        </w:rPr>
      </w:pPr>
      <w:bookmarkStart w:id="1" w:name="OLE_LINK3"/>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供应商名称（盖章）：</w:t>
      </w:r>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pPr>
        <w:pStyle w:val="6"/>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1"/>
    <w:p>
      <w:pPr>
        <w:rPr>
          <w:rFonts w:hint="default"/>
          <w:lang w:val="en-US" w:eastAsia="zh-CN"/>
        </w:rPr>
      </w:pPr>
    </w:p>
    <w:p>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：技术、商务要求偏离表</w:t>
      </w:r>
    </w:p>
    <w:p>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微软雅黑" w:hAnsi="微软雅黑" w:eastAsia="微软雅黑" w:cs="微软雅黑"/>
          <w:b w:val="0"/>
          <w:bCs w:val="0"/>
          <w:kern w:val="0"/>
          <w:sz w:val="28"/>
          <w:szCs w:val="28"/>
          <w:shd w:val="clear" w:fill="FFFFFF"/>
        </w:rPr>
      </w:pPr>
      <w:r>
        <w:rPr>
          <w:rFonts w:hint="eastAsia" w:ascii="微软雅黑" w:hAnsi="微软雅黑" w:eastAsia="微软雅黑" w:cs="微软雅黑"/>
          <w:b w:val="0"/>
          <w:bCs w:val="0"/>
          <w:kern w:val="0"/>
          <w:sz w:val="28"/>
          <w:szCs w:val="28"/>
          <w:shd w:val="clear" w:fill="FFFFFF"/>
          <w:lang w:val="en-US" w:eastAsia="zh-CN" w:bidi="ar"/>
        </w:rPr>
        <w:t>技术、商务要求偏离表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1.供应商根据附件1“采购需求”中的“技术要求”、“商务要求”进行填写。</w:t>
      </w:r>
      <w:r>
        <w:rPr>
          <w:rFonts w:hint="eastAsia" w:ascii="宋体" w:hAnsi="宋体" w:eastAsia="宋体" w:cs="宋体"/>
          <w:b/>
          <w:bCs/>
          <w:kern w:val="0"/>
          <w:sz w:val="28"/>
          <w:szCs w:val="28"/>
          <w:shd w:val="clear" w:fill="FFFFFF"/>
          <w:lang w:val="en-US" w:eastAsia="zh-CN" w:bidi="ar"/>
        </w:rPr>
        <w:t>若未填写此表，视为完全响应并满足所有“技术要求”、“商务要求”。</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3.若“技术要求”、“商务要求”要求提供证明材料，需按要求提供证明材料。</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供应商名称：XXXX（盖单位公章）</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9"/>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pPr>
        <w:pStyle w:val="14"/>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微软雅黑" w:hAnsi="微软雅黑" w:eastAsia="微软雅黑" w:cs="微软雅黑"/>
          <w:b w:val="0"/>
          <w:bCs/>
          <w:kern w:val="2"/>
          <w:sz w:val="28"/>
          <w:szCs w:val="28"/>
        </w:rPr>
      </w:pPr>
      <w:r>
        <w:rPr>
          <w:rFonts w:hint="eastAsia" w:ascii="微软雅黑" w:hAnsi="微软雅黑" w:eastAsia="微软雅黑" w:cs="微软雅黑"/>
          <w:b w:val="0"/>
          <w:bCs/>
          <w:kern w:val="2"/>
          <w:sz w:val="28"/>
          <w:szCs w:val="28"/>
        </w:rPr>
        <w:t>授权委托书</w:t>
      </w:r>
    </w:p>
    <w:p>
      <w:pPr>
        <w:pStyle w:val="14"/>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（若供应商代表为“授权代表”时，提供此委托书）</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rPr>
      </w:pPr>
      <w:r>
        <w:rPr>
          <w:rFonts w:hint="eastAsia" w:ascii="微软雅黑" w:hAnsi="微软雅黑" w:eastAsia="微软雅黑" w:cs="微软雅黑"/>
          <w:b w:val="0"/>
          <w:bCs/>
          <w:kern w:val="2"/>
          <w:sz w:val="28"/>
          <w:szCs w:val="28"/>
          <w:lang w:val="en-US" w:eastAsia="zh-CN" w:bidi="ar"/>
        </w:rPr>
        <w:t>法定代表人（单位负责人）身份证明</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（若供应商代表为“法定代表人（单位负责人）”时，提供此证明）</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pPr>
        <w:pStyle w:val="8"/>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pPr>
        <w:pStyle w:val="5"/>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pPr>
        <w:pStyle w:val="8"/>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pPr>
        <w:pStyle w:val="5"/>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pPr>
        <w:pStyle w:val="11"/>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pPr>
        <w:pStyle w:val="11"/>
        <w:widowControl/>
        <w:autoSpaceDE w:val="0"/>
        <w:autoSpaceDN/>
        <w:snapToGrid w:val="0"/>
        <w:spacing w:before="156" w:beforeLines="50" w:beforeAutospacing="0" w:after="312" w:afterLines="100" w:afterAutospacing="0" w:line="360" w:lineRule="auto"/>
        <w:ind w:left="0" w:firstLine="0" w:firstLineChars="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rPr>
        <w:t>承诺函</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本供应商</w:t>
      </w:r>
      <w:r>
        <w:rPr>
          <w:rFonts w:hint="eastAsia" w:ascii="宋体" w:hAnsi="宋体" w:eastAsia="宋体" w:cs="宋体"/>
          <w:kern w:val="2"/>
          <w:sz w:val="24"/>
          <w:szCs w:val="24"/>
          <w:u w:val="single"/>
          <w:lang w:val="en-US" w:eastAsia="zh-CN" w:bidi="ar"/>
        </w:rPr>
        <w:t xml:space="preserve">      （供应商全称）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（三）具有履行合同所必需的设备和专业技术能力；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（四）有依法缴纳税收和社会保障资金的良好记录； </w:t>
      </w:r>
    </w:p>
    <w:p>
      <w:pPr>
        <w:pStyle w:val="8"/>
        <w:keepNext w:val="0"/>
        <w:keepLines w:val="0"/>
        <w:widowControl/>
        <w:suppressLineNumbers w:val="0"/>
        <w:adjustRightInd w:val="0"/>
        <w:snapToGrid w:val="0"/>
        <w:spacing w:before="0" w:beforeAutospacing="1" w:after="0" w:afterAutospacing="1" w:line="500" w:lineRule="exact"/>
        <w:ind w:left="0" w:right="0"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（五）</w:t>
      </w:r>
      <w:r>
        <w:rPr>
          <w:rFonts w:hint="eastAsia" w:ascii="宋体" w:hAnsi="宋体" w:eastAsia="宋体" w:cs="宋体"/>
          <w:kern w:val="2"/>
          <w:sz w:val="24"/>
          <w:szCs w:val="24"/>
          <w:lang w:val="en-US" w:eastAsia="zh-CN" w:bidi="ar"/>
        </w:rPr>
        <w:t>参加采购活动前三年内，在经营活动中没有重大违法记录；没有因安全事故、质量事故、违规等被政府有关部门记录。</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（六）不存在与单位负责人为同一人或者存在直接控股、管理关系的不同供应商参加同一合同项下的政府采购活动的行为。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（七）不属于为本项目提供整体设计、规范编制或者项目管理、监理、检测等服务的供应商。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三、本单位未参与本采购项目前期咨询论证，不属于禁止参加本项目的供应商。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四、参加本次采购活动，不存在和其他供应商在同一合同项下的采购项目中，同时委托同一个自然人、同一家庭的人员、同一单位的人员作为代理人的行为。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        （盖章）</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rPr>
      </w:pPr>
      <w:r>
        <w:rPr>
          <w:rFonts w:hint="eastAsia" w:ascii="微软雅黑" w:hAnsi="微软雅黑" w:eastAsia="微软雅黑" w:cs="微软雅黑"/>
          <w:b w:val="0"/>
          <w:bCs w:val="0"/>
          <w:kern w:val="0"/>
          <w:sz w:val="28"/>
          <w:szCs w:val="28"/>
          <w:lang w:val="en-US" w:eastAsia="zh-CN" w:bidi="ar"/>
        </w:rPr>
        <w:t>反商业贿赂承诺书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1、不与其他供应商相互串通投标报价，损害贵院的合法权益；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pPr>
        <w:pStyle w:val="5"/>
        <w:widowControl/>
        <w:spacing w:before="0" w:beforeAutospacing="1"/>
        <w:ind w:left="0" w:right="0" w:firstLine="2108" w:firstLineChars="750"/>
        <w:rPr>
          <w:rFonts w:hint="default" w:ascii="仿宋_GB2312" w:hAnsi="Segoe UI" w:eastAsia="仿宋_GB2312" w:cs="Segoe UI"/>
          <w:b/>
          <w:bCs/>
          <w:kern w:val="0"/>
          <w:sz w:val="28"/>
          <w:szCs w:val="28"/>
        </w:rPr>
      </w:pPr>
      <w:r>
        <w:rPr>
          <w:rFonts w:hint="default" w:ascii="仿宋_GB2312" w:hAnsi="Segoe UI" w:eastAsia="仿宋_GB2312" w:cs="Segoe UI"/>
          <w:b/>
          <w:bCs/>
          <w:kern w:val="0"/>
          <w:sz w:val="28"/>
          <w:szCs w:val="28"/>
        </w:rPr>
        <w:t xml:space="preserve"> </w:t>
      </w:r>
      <w:r>
        <w:rPr>
          <w:rFonts w:hint="eastAsia" w:ascii="微软雅黑" w:hAnsi="微软雅黑" w:eastAsia="微软雅黑" w:cs="微软雅黑"/>
          <w:b w:val="0"/>
          <w:bCs w:val="0"/>
          <w:kern w:val="0"/>
          <w:sz w:val="28"/>
          <w:szCs w:val="28"/>
        </w:rPr>
        <w:t>无围标、串标行为承诺书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1.不同供应商的投标文件由同一单位或者个人编制；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2.不同供应商委托同一单位或者个人办理投标事宜；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3.不同供应商的投标文件载明的项目管理成员或者联系人员为同一人；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4.不同供应商的投标文件异常一致或者投标报价呈规律性差异；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5.不同供应商的投标文件相互混装；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6.不同供应商的投标保证金从同一单位或者个人的账户转出；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7.不同供应商的董事、监事、高管、单位负责人为同一人或者存在控股、管理关系的不同单位参加同一采购项目；</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8.供应商之间事先约定由某一特定供应商中标、成交；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9.供应商之间商定部分供应商放弃参加采购活动或者放弃中标、成交；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供应商法人代表或委托代理人（承诺人）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供应商：（公章）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附件8：供应商遵守招标采购纪律承诺书</w:t>
      </w:r>
    </w:p>
    <w:p>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lang w:val="en-US" w:eastAsia="zh-CN" w:bidi="ar"/>
        </w:rPr>
        <w:t>供应商遵守招标采购纪律承诺书</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我单位作为本次采购项目的供应商，根据采购文件要求，现郑重承诺如下：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一、参加本次采购活动，我单位不存在与单位负责人为同一人或者存在直接控股、管理关系的其他供应商参与同一合同项下的采购活动的行为。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二、参加本次采购活动，不得直接或者间接从采购人或者采购代理机构处获得其他供应商的相关情况并修改其投标文件或者响应文件。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四、参加本次采购活动，不得和本次采购供应商之间协商报价、技术方案等投标文件或者响应文件的实质性内容。</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五、本次采购活动中，不存在属于同一集团、协会、商会等组织成员的供应商按照该组织要求协同参加本次采购活动。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六、参加本次采购活动，不存在与其他供应商之间事先约定由某一特定供应商中标、成交。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七、参加本次采购活动，不存在与其他供应商商定部分供应商放弃参加采购活动或者放弃中标、成交。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九、参加本次采购活动，不存在我单位与采购人之间、供应商相互之间，为谋求特定供应商中标、成交或者排斥其他供应商的其他串通行为。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供应商名称（单位公章）：                 年    月   日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7C33EC-9064-4BCD-AC77-76829AD801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DFC5556-7238-4695-A7E3-A9D7042AA3D6}"/>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5AF33657-DE08-4F2B-8C0A-693F6C0A7E34}"/>
  </w:font>
  <w:font w:name="微软雅黑">
    <w:panose1 w:val="020B0503020204020204"/>
    <w:charset w:val="86"/>
    <w:family w:val="auto"/>
    <w:pitch w:val="default"/>
    <w:sig w:usb0="80000287" w:usb1="2ACF3C50" w:usb2="00000016" w:usb3="00000000" w:csb0="0004001F" w:csb1="00000000"/>
    <w:embedRegular r:id="rId4" w:fontKey="{C7E32892-CCB5-4FDE-AE43-03BB2902719D}"/>
  </w:font>
  <w:font w:name="Segoe UI">
    <w:panose1 w:val="020B0502040204020203"/>
    <w:charset w:val="00"/>
    <w:family w:val="auto"/>
    <w:pitch w:val="default"/>
    <w:sig w:usb0="E4002EFF" w:usb1="C000E47F" w:usb2="00000009" w:usb3="00000000" w:csb0="200001FF" w:csb1="00000000"/>
    <w:embedRegular r:id="rId5" w:fontKey="{A9ACB965-E59F-4CEC-85CE-35DFCBA8D44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4B2F6E"/>
    <w:multiLevelType w:val="singleLevel"/>
    <w:tmpl w:val="4D4B2F6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23A0C48"/>
    <w:rsid w:val="12661A3D"/>
    <w:rsid w:val="12791770"/>
    <w:rsid w:val="17E21B65"/>
    <w:rsid w:val="18153CE9"/>
    <w:rsid w:val="20B56069"/>
    <w:rsid w:val="21D544E9"/>
    <w:rsid w:val="22A94DF5"/>
    <w:rsid w:val="255E092A"/>
    <w:rsid w:val="25BF33FF"/>
    <w:rsid w:val="26777C58"/>
    <w:rsid w:val="2CF43330"/>
    <w:rsid w:val="2E3A5DFF"/>
    <w:rsid w:val="318F7DE7"/>
    <w:rsid w:val="3321758E"/>
    <w:rsid w:val="3A0A0D7C"/>
    <w:rsid w:val="43AF4742"/>
    <w:rsid w:val="46FE3A16"/>
    <w:rsid w:val="49137521"/>
    <w:rsid w:val="49A87E95"/>
    <w:rsid w:val="4B683B54"/>
    <w:rsid w:val="594554D5"/>
    <w:rsid w:val="5DA6050C"/>
    <w:rsid w:val="5F3202A9"/>
    <w:rsid w:val="5FE13A7D"/>
    <w:rsid w:val="64C9520C"/>
    <w:rsid w:val="666F7255"/>
    <w:rsid w:val="69E76134"/>
    <w:rsid w:val="6A8549B2"/>
    <w:rsid w:val="6C501D9F"/>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4">
    <w:name w:val="annotation text"/>
    <w:basedOn w:val="1"/>
    <w:qFormat/>
    <w:uiPriority w:val="0"/>
    <w:pPr>
      <w:jc w:val="left"/>
    </w:pPr>
  </w:style>
  <w:style w:type="paragraph" w:styleId="5">
    <w:name w:val="Body Text"/>
    <w:basedOn w:val="1"/>
    <w:next w:val="6"/>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6">
    <w:name w:val="Body Text First Indent"/>
    <w:basedOn w:val="5"/>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customStyle="1" w:styleId="11">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2">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3">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4">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5">
    <w:name w:val="正文首行缩进两字符"/>
    <w:basedOn w:val="1"/>
    <w:qFormat/>
    <w:uiPriority w:val="0"/>
    <w:pPr>
      <w:spacing w:line="360" w:lineRule="auto"/>
      <w:ind w:firstLine="200" w:firstLineChars="200"/>
    </w:pPr>
  </w:style>
  <w:style w:type="paragraph" w:customStyle="1" w:styleId="16">
    <w:name w:val="U_正文2"/>
    <w:basedOn w:val="1"/>
    <w:qFormat/>
    <w:uiPriority w:val="0"/>
    <w:pPr>
      <w:spacing w:beforeLines="10" w:after="160" w:line="300" w:lineRule="auto"/>
    </w:pPr>
    <w:rPr>
      <w:rFonts w:ascii="Times New Roman" w:hAnsi="Times New Roman" w:eastAsia="仿宋_GB2312" w:cs="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430</Words>
  <Characters>463</Characters>
  <Lines>0</Lines>
  <Paragraphs>0</Paragraphs>
  <TotalTime>1</TotalTime>
  <ScaleCrop>false</ScaleCrop>
  <LinksUpToDate>false</LinksUpToDate>
  <CharactersWithSpaces>465</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喵ba喵by</cp:lastModifiedBy>
  <dcterms:modified xsi:type="dcterms:W3CDTF">2026-10-09T04:45:13Z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70C3CE87281D4A218A44A0109CCFEF18_13</vt:lpwstr>
  </property>
  <property fmtid="{D5CDD505-2E9C-101B-9397-08002B2CF9AE}" pid="4" name="KSOTemplateDocerSaveRecord">
    <vt:lpwstr>eyJoZGlkIjoiNGY0ZWU5M2EzNGVhNzI3MWM5NWJkN2JhMTNhZjY4ZGQiLCJ1c2VySWQiOiIxMTM4ODg2OTkzIn0=</vt:lpwstr>
  </property>
</Properties>
</file>