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rPr>
        <w:t>游戏设备</w:t>
      </w:r>
      <w:r>
        <w:rPr>
          <w:rFonts w:hint="eastAsia" w:ascii="方正小标宋简体" w:hAnsi="方正小标宋简体" w:eastAsia="方正小标宋简体" w:cs="方正小标宋简体"/>
          <w:b w:val="0"/>
          <w:bCs w:val="0"/>
          <w:sz w:val="36"/>
          <w:szCs w:val="36"/>
          <w:lang w:val="en-US" w:eastAsia="zh-CN"/>
        </w:rPr>
        <w:t>采购项目要求</w:t>
      </w:r>
    </w:p>
    <w:p>
      <w:pPr>
        <w:rPr>
          <w:rFonts w:hint="eastAsia"/>
          <w:b/>
          <w:bCs/>
          <w:sz w:val="28"/>
          <w:szCs w:val="28"/>
        </w:rPr>
      </w:pPr>
      <w:r>
        <w:rPr>
          <w:rFonts w:hint="eastAsia"/>
          <w:b/>
          <w:bCs/>
          <w:sz w:val="28"/>
          <w:szCs w:val="28"/>
        </w:rPr>
        <w:t>一、项目概况</w:t>
      </w:r>
      <w:bookmarkStart w:id="0" w:name="_GoBack"/>
      <w:bookmarkEnd w:id="0"/>
    </w:p>
    <w:p>
      <w:pPr>
        <w:rPr>
          <w:rFonts w:hint="eastAsia"/>
          <w:sz w:val="28"/>
          <w:szCs w:val="28"/>
          <w:lang w:val="en-US" w:eastAsia="zh-CN"/>
        </w:rPr>
      </w:pPr>
      <w:r>
        <w:rPr>
          <w:rFonts w:hint="eastAsia"/>
          <w:sz w:val="28"/>
          <w:szCs w:val="28"/>
          <w:lang w:val="en-US" w:eastAsia="zh-CN"/>
        </w:rPr>
        <w:t>1、</w:t>
      </w:r>
      <w:r>
        <w:rPr>
          <w:rFonts w:hint="eastAsia"/>
          <w:sz w:val="28"/>
          <w:szCs w:val="28"/>
        </w:rPr>
        <w:t>项目名称：</w:t>
      </w:r>
      <w:r>
        <w:rPr>
          <w:rFonts w:hint="eastAsia"/>
          <w:sz w:val="28"/>
          <w:szCs w:val="28"/>
          <w:lang w:val="en-US" w:eastAsia="zh-CN"/>
        </w:rPr>
        <w:t>游戏设备采购项目</w:t>
      </w:r>
    </w:p>
    <w:p>
      <w:pPr>
        <w:rPr>
          <w:rFonts w:hint="default"/>
          <w:sz w:val="28"/>
          <w:szCs w:val="28"/>
          <w:lang w:val="en-US" w:eastAsia="zh-CN"/>
        </w:rPr>
      </w:pPr>
      <w:r>
        <w:rPr>
          <w:rFonts w:hint="eastAsia"/>
          <w:sz w:val="28"/>
          <w:szCs w:val="28"/>
          <w:lang w:val="en-US" w:eastAsia="zh-CN"/>
        </w:rPr>
        <w:t>2、</w:t>
      </w:r>
      <w:r>
        <w:rPr>
          <w:rFonts w:hint="eastAsia"/>
          <w:sz w:val="28"/>
          <w:szCs w:val="28"/>
        </w:rPr>
        <w:t>项目位置：四川省妇幼保健院</w:t>
      </w:r>
      <w:r>
        <w:rPr>
          <w:rFonts w:hint="eastAsia"/>
          <w:sz w:val="28"/>
          <w:szCs w:val="28"/>
          <w:lang w:val="en-US" w:eastAsia="zh-CN"/>
        </w:rPr>
        <w:t>天府院区产后照护中心</w:t>
      </w:r>
    </w:p>
    <w:p>
      <w:pPr>
        <w:pStyle w:val="3"/>
        <w:keepNext w:val="0"/>
        <w:keepLines w:val="0"/>
        <w:pageBreakBefore w:val="0"/>
        <w:widowControl/>
        <w:suppressLineNumbers w:val="0"/>
        <w:kinsoku/>
        <w:wordWrap/>
        <w:overflowPunct/>
        <w:topLinePunct w:val="0"/>
        <w:autoSpaceDE/>
        <w:autoSpaceDN/>
        <w:bidi w:val="0"/>
        <w:adjustRightInd/>
        <w:snapToGrid/>
        <w:spacing w:line="360" w:lineRule="exact"/>
        <w:textAlignment w:val="auto"/>
        <w:rPr>
          <w:rFonts w:hint="default" w:eastAsia="宋体"/>
          <w:sz w:val="28"/>
          <w:szCs w:val="28"/>
          <w:lang w:val="en-US" w:eastAsia="zh-CN"/>
        </w:rPr>
      </w:pPr>
      <w:r>
        <w:rPr>
          <w:rFonts w:hint="eastAsia"/>
          <w:sz w:val="28"/>
          <w:szCs w:val="28"/>
          <w:lang w:val="en-US" w:eastAsia="zh-CN"/>
        </w:rPr>
        <w:t>二、项目参数要求</w:t>
      </w:r>
    </w:p>
    <w:p>
      <w:pPr>
        <w:pStyle w:val="3"/>
        <w:keepNext w:val="0"/>
        <w:keepLines w:val="0"/>
        <w:pageBreakBefore w:val="0"/>
        <w:widowControl/>
        <w:suppressLineNumbers w:val="0"/>
        <w:kinsoku/>
        <w:wordWrap/>
        <w:overflowPunct/>
        <w:topLinePunct w:val="0"/>
        <w:autoSpaceDE/>
        <w:autoSpaceDN/>
        <w:bidi w:val="0"/>
        <w:adjustRightInd/>
        <w:snapToGrid/>
        <w:spacing w:line="360" w:lineRule="exact"/>
        <w:textAlignment w:val="auto"/>
      </w:pPr>
      <w:r>
        <w:rPr>
          <w:rFonts w:hint="eastAsia"/>
          <w:b w:val="0"/>
          <w:bCs w:val="0"/>
          <w:sz w:val="30"/>
          <w:szCs w:val="30"/>
          <w:lang w:eastAsia="zh-CN"/>
        </w:rPr>
        <w:t>（</w:t>
      </w:r>
      <w:r>
        <w:rPr>
          <w:rFonts w:hint="eastAsia"/>
          <w:b w:val="0"/>
          <w:bCs w:val="0"/>
          <w:sz w:val="30"/>
          <w:szCs w:val="30"/>
          <w:lang w:val="en-US" w:eastAsia="zh-CN"/>
        </w:rPr>
        <w:t>一</w:t>
      </w:r>
      <w:r>
        <w:rPr>
          <w:rFonts w:hint="eastAsia"/>
          <w:b w:val="0"/>
          <w:bCs w:val="0"/>
          <w:sz w:val="30"/>
          <w:szCs w:val="30"/>
          <w:lang w:eastAsia="zh-CN"/>
        </w:rPr>
        <w:t>）</w:t>
      </w:r>
      <w:r>
        <w:rPr>
          <w:rFonts w:hint="eastAsia"/>
          <w:b w:val="0"/>
          <w:bCs w:val="0"/>
          <w:sz w:val="30"/>
          <w:szCs w:val="30"/>
          <w:lang w:val="en-US" w:eastAsia="zh-CN"/>
        </w:rPr>
        <w:t>游戏机1</w:t>
      </w:r>
      <w:r>
        <w:rPr>
          <w:b w:val="0"/>
          <w:bCs w:val="0"/>
          <w:sz w:val="30"/>
          <w:szCs w:val="30"/>
        </w:rPr>
        <w:t>（1 台）技术参数</w:t>
      </w:r>
    </w:p>
    <w:tbl>
      <w:tblPr>
        <w:tblStyle w:val="7"/>
        <w:tblW w:w="8571"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91"/>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07" w:hRule="atLeast"/>
          <w:tblHeader/>
          <w:tblCellSpacing w:w="15" w:type="dxa"/>
        </w:trPr>
        <w:tc>
          <w:tcPr>
            <w:tcW w:w="1146"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项目</w:t>
            </w:r>
          </w:p>
        </w:tc>
        <w:tc>
          <w:tcPr>
            <w:tcW w:w="7335"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技术要求参数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主机类型</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任天堂 Switch2，掌机 + 主机二合一模式，磁吸式 Joy</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Con2可拆卸手柄，支持本地多人游戏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处理器</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NVIDIA 定制处理器，支持DLSS超分技术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内置存储</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≥256GB UFS高速存储；支持 MicroSD</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Express存储卡扩展，最大支持2TB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内存</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12GB LPDDR5X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自带屏幕</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7.9 英寸广色域 LCD电容触摸屏；分辨率1920×1080；支持HDR10，最大120Hz可变刷新率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视频输出</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底座模式支持 4K 超高清输出、HDR、VRR 可变刷新率；HDMI输出接口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网络</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Wi</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Fi 6、蓝牙；底座支持有线网口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电池</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内置锂离子电池 5220mAh；续航 2</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6.5小时，睡眠模式充电约3小时Vandal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接口</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双 Type</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C 接口、3.5mm 耳机麦克风插孔、游戏卡插槽，兼容 Switch 老版游戏卡带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7"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标配配件</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主机本体、Joy</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Con2 手柄一对、原装电源适配器、原装底座、HDMI2.1 线缆、Joy</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Con 握把、腕带、说明书全套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74" w:hRule="atLeast"/>
          <w:tblCellSpacing w:w="15" w:type="dxa"/>
        </w:trPr>
        <w:tc>
          <w:tcPr>
            <w:tcW w:w="114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语言系统</w:t>
            </w:r>
          </w:p>
        </w:tc>
        <w:tc>
          <w:tcPr>
            <w:tcW w:w="733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完整简体中文系统界面，支持保修</w:t>
            </w:r>
          </w:p>
        </w:tc>
      </w:tr>
    </w:tbl>
    <w:p>
      <w:pPr>
        <w:pStyle w:val="6"/>
        <w:keepNext w:val="0"/>
        <w:keepLines w:val="0"/>
        <w:widowControl/>
        <w:suppressLineNumbers w:val="0"/>
      </w:pPr>
      <w:r>
        <w:rPr>
          <w:rStyle w:val="9"/>
        </w:rPr>
        <w:t>配套游戏（3 款，实体游戏卡）</w:t>
      </w:r>
    </w:p>
    <w:p>
      <w:pPr>
        <w:keepNext w:val="0"/>
        <w:keepLines w:val="0"/>
        <w:widowControl/>
        <w:numPr>
          <w:ilvl w:val="0"/>
          <w:numId w:val="1"/>
        </w:numPr>
        <w:suppressLineNumbers w:val="0"/>
        <w:spacing w:before="0" w:beforeAutospacing="1" w:after="0" w:afterAutospacing="1"/>
        <w:ind w:left="720" w:hanging="360"/>
        <w:rPr>
          <w:sz w:val="24"/>
          <w:szCs w:val="24"/>
        </w:rPr>
      </w:pPr>
      <w:r>
        <w:rPr>
          <w:sz w:val="24"/>
          <w:szCs w:val="24"/>
        </w:rPr>
        <w:t>《马力欧卡丁车 世界》：开放世界竞速，支持本地多人，简体中文</w:t>
      </w:r>
    </w:p>
    <w:p>
      <w:pPr>
        <w:keepNext w:val="0"/>
        <w:keepLines w:val="0"/>
        <w:widowControl/>
        <w:numPr>
          <w:ilvl w:val="0"/>
          <w:numId w:val="1"/>
        </w:numPr>
        <w:suppressLineNumbers w:val="0"/>
        <w:spacing w:before="0" w:beforeAutospacing="1" w:after="0" w:afterAutospacing="1"/>
        <w:ind w:left="720" w:hanging="360"/>
        <w:rPr>
          <w:sz w:val="24"/>
          <w:szCs w:val="24"/>
        </w:rPr>
      </w:pPr>
      <w:r>
        <w:rPr>
          <w:sz w:val="24"/>
          <w:szCs w:val="24"/>
        </w:rPr>
        <w:t>《任天堂 Switch 运动》：体感运动聚会游戏，支持多人同玩，简体中文</w:t>
      </w:r>
    </w:p>
    <w:p>
      <w:pPr>
        <w:keepNext w:val="0"/>
        <w:keepLines w:val="0"/>
        <w:widowControl/>
        <w:numPr>
          <w:ilvl w:val="0"/>
          <w:numId w:val="1"/>
        </w:numPr>
        <w:suppressLineNumbers w:val="0"/>
        <w:spacing w:before="0" w:beforeAutospacing="1" w:after="0" w:afterAutospacing="1"/>
        <w:ind w:left="720" w:hanging="360"/>
        <w:rPr>
          <w:sz w:val="24"/>
          <w:szCs w:val="24"/>
        </w:rPr>
      </w:pPr>
      <w:r>
        <w:rPr>
          <w:sz w:val="24"/>
          <w:szCs w:val="24"/>
        </w:rPr>
        <w:t>《双影奇境（Split Fiction）》：双人合作冒险，支持本地双人，简体中文</w:t>
      </w:r>
    </w:p>
    <w:p>
      <w:pPr>
        <w:pStyle w:val="3"/>
        <w:keepNext w:val="0"/>
        <w:keepLines w:val="0"/>
        <w:widowControl/>
        <w:suppressLineNumbers w:val="0"/>
        <w:rPr>
          <w:sz w:val="28"/>
          <w:szCs w:val="28"/>
        </w:rPr>
      </w:pPr>
      <w:r>
        <w:rPr>
          <w:rFonts w:hint="eastAsia"/>
          <w:sz w:val="28"/>
          <w:szCs w:val="28"/>
          <w:lang w:val="en-US" w:eastAsia="zh-CN"/>
        </w:rPr>
        <w:t>（二）游戏机2</w:t>
      </w:r>
      <w:r>
        <w:rPr>
          <w:sz w:val="28"/>
          <w:szCs w:val="28"/>
        </w:rPr>
        <w:t>（1 台）技术参数</w:t>
      </w:r>
    </w:p>
    <w:tbl>
      <w:tblPr>
        <w:tblStyle w:val="7"/>
        <w:tblW w:w="8559"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189"/>
        <w:gridCol w:w="7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56" w:hRule="atLeast"/>
          <w:tblHeader/>
          <w:tblCellSpacing w:w="15" w:type="dxa"/>
        </w:trPr>
        <w:tc>
          <w:tcPr>
            <w:tcW w:w="1144"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项目</w:t>
            </w:r>
          </w:p>
        </w:tc>
        <w:tc>
          <w:tcPr>
            <w:tcW w:w="7325"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技术要求参数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主机型号</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带 Ultra</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HD 蓝光光驱，支持游戏光盘、蓝光碟播放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CPU</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AMD Zen2 8 核 16 线程，可变频率最高 3.5GHz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45"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GPU</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AMD RDNA2 架构，硬件光线追踪，可变频率最高 2.23GHz，算力 10.3TFLO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内存</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16GB GDDR6，带宽 448GB/s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固态硬盘</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内置≥1TB 定制高速 SSD，支持 M.2 NVMe 固态硬盘扩展；读取速度≥5.5GB/s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35"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音视频输出</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HDMI2.1 输出；支持 4K@120Hz、HDR、VRR 可变刷新率、Tempest 3D 空间音频技术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网络</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千兆以太网，Wi</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Fi6，蓝牙 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手柄</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原装 DualSense 无线控制器；自适应扳机、触觉反馈，内置麦克风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32"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接口</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USB</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A×2、USB</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C×2、M.2 扩展位、HDMI2.1、网口；整机功率≤350W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75"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标配配件</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轻薄光驱主机、DualSense 手柄、原装电源线、HDMI 线缆、USB 充电线、卧式支架、说明书全套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51" w:hRule="atLeast"/>
          <w:tblCellSpacing w:w="15" w:type="dxa"/>
        </w:trPr>
        <w:tc>
          <w:tcPr>
            <w:tcW w:w="1144"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系统语言</w:t>
            </w:r>
          </w:p>
        </w:tc>
        <w:tc>
          <w:tcPr>
            <w:tcW w:w="7325"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简体中文，官方质保，完整 PSN 网络功能</w:t>
            </w:r>
          </w:p>
        </w:tc>
      </w:tr>
    </w:tbl>
    <w:p>
      <w:pPr>
        <w:pStyle w:val="6"/>
        <w:keepNext w:val="0"/>
        <w:keepLines w:val="0"/>
        <w:pageBreakBefore w:val="0"/>
        <w:widowControl/>
        <w:suppressLineNumbers w:val="0"/>
        <w:kinsoku/>
        <w:wordWrap/>
        <w:overflowPunct/>
        <w:topLinePunct w:val="0"/>
        <w:autoSpaceDE/>
        <w:autoSpaceDN/>
        <w:bidi w:val="0"/>
        <w:adjustRightInd/>
        <w:snapToGrid/>
        <w:spacing w:line="360" w:lineRule="exact"/>
        <w:textAlignment w:val="auto"/>
        <w:rPr>
          <w:sz w:val="28"/>
          <w:szCs w:val="28"/>
        </w:rPr>
      </w:pPr>
      <w:r>
        <w:rPr>
          <w:rStyle w:val="9"/>
          <w:sz w:val="28"/>
          <w:szCs w:val="28"/>
        </w:rPr>
        <w:t>配套游戏（3 款，实体光盘）</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line="360" w:lineRule="exact"/>
        <w:ind w:left="720" w:hanging="3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《漫威蜘蛛侠 2》：3A 动作冒险大作，简体中文</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line="360" w:lineRule="exact"/>
        <w:ind w:left="720" w:hanging="3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《艾尔登法环》：开放世界动作 RPG，简体中文</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line="360" w:lineRule="exact"/>
        <w:ind w:left="720" w:hanging="36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《双人成行》：双人合作冒险，支持本地双人，简体中文</w:t>
      </w:r>
    </w:p>
    <w:p>
      <w:pPr>
        <w:pStyle w:val="3"/>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sz w:val="28"/>
          <w:szCs w:val="28"/>
        </w:rPr>
      </w:pPr>
      <w:r>
        <w:rPr>
          <w:rFonts w:hint="eastAsia"/>
          <w:sz w:val="28"/>
          <w:szCs w:val="28"/>
          <w:lang w:eastAsia="zh-CN"/>
        </w:rPr>
        <w:t>（</w:t>
      </w:r>
      <w:r>
        <w:rPr>
          <w:rFonts w:hint="eastAsia"/>
          <w:sz w:val="28"/>
          <w:szCs w:val="28"/>
          <w:lang w:val="en-US" w:eastAsia="zh-CN"/>
        </w:rPr>
        <w:t>三</w:t>
      </w:r>
      <w:r>
        <w:rPr>
          <w:rFonts w:hint="eastAsia"/>
          <w:sz w:val="28"/>
          <w:szCs w:val="28"/>
          <w:lang w:eastAsia="zh-CN"/>
        </w:rPr>
        <w:t>）</w:t>
      </w:r>
      <w:r>
        <w:rPr>
          <w:sz w:val="28"/>
          <w:szCs w:val="28"/>
        </w:rPr>
        <w:t>游戏显示器（</w:t>
      </w:r>
      <w:r>
        <w:rPr>
          <w:rFonts w:hint="eastAsia"/>
          <w:sz w:val="28"/>
          <w:szCs w:val="28"/>
          <w:lang w:val="en-US" w:eastAsia="zh-CN"/>
        </w:rPr>
        <w:t>2</w:t>
      </w:r>
      <w:r>
        <w:rPr>
          <w:sz w:val="28"/>
          <w:szCs w:val="28"/>
        </w:rPr>
        <w:t>台，同时适配</w:t>
      </w:r>
      <w:r>
        <w:rPr>
          <w:rFonts w:hint="eastAsia"/>
          <w:sz w:val="28"/>
          <w:szCs w:val="28"/>
          <w:lang w:val="en-US" w:eastAsia="zh-CN"/>
        </w:rPr>
        <w:t>游戏机1</w:t>
      </w:r>
      <w:r>
        <w:rPr>
          <w:sz w:val="28"/>
          <w:szCs w:val="28"/>
        </w:rPr>
        <w:t>、</w:t>
      </w:r>
      <w:r>
        <w:rPr>
          <w:rFonts w:hint="eastAsia"/>
          <w:sz w:val="28"/>
          <w:szCs w:val="28"/>
          <w:lang w:val="en-US" w:eastAsia="zh-CN"/>
        </w:rPr>
        <w:t>游戏机2</w:t>
      </w:r>
      <w:r>
        <w:rPr>
          <w:sz w:val="28"/>
          <w:szCs w:val="28"/>
        </w:rPr>
        <w:t xml:space="preserve"> 主机）</w:t>
      </w:r>
    </w:p>
    <w:p>
      <w:pPr>
        <w:pStyle w:val="6"/>
        <w:keepNext w:val="0"/>
        <w:keepLines w:val="0"/>
        <w:pageBreakBefore w:val="0"/>
        <w:widowControl/>
        <w:suppressLineNumbers w:val="0"/>
        <w:kinsoku/>
        <w:wordWrap/>
        <w:overflowPunct/>
        <w:topLinePunct w:val="0"/>
        <w:autoSpaceDE/>
        <w:autoSpaceDN/>
        <w:bidi w:val="0"/>
        <w:adjustRightInd/>
        <w:snapToGrid/>
        <w:spacing w:line="400" w:lineRule="exact"/>
        <w:ind w:right="720"/>
        <w:jc w:val="both"/>
        <w:textAlignment w:val="auto"/>
      </w:pPr>
      <w:r>
        <w:rPr>
          <w:rFonts w:hint="eastAsia" w:ascii="宋体" w:hAnsi="宋体" w:eastAsia="宋体" w:cs="宋体"/>
          <w:kern w:val="0"/>
          <w:sz w:val="24"/>
          <w:szCs w:val="24"/>
          <w:lang w:val="en-US" w:eastAsia="zh-CN" w:bidi="ar"/>
        </w:rPr>
        <w:t>关键硬性要求：必须双路 HDMI2.1（48Gbps带宽），完整支持 4K120Hz、VRR、ALLM自动低延迟模式，适配主机输出。</w:t>
      </w:r>
    </w:p>
    <w:tbl>
      <w:tblPr>
        <w:tblStyle w:val="7"/>
        <w:tblW w:w="8539"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01"/>
        <w:gridCol w:w="7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16" w:hRule="atLeast"/>
          <w:tblHeader/>
          <w:tblCellSpacing w:w="15" w:type="dxa"/>
        </w:trPr>
        <w:tc>
          <w:tcPr>
            <w:tcW w:w="1156"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项目</w:t>
            </w:r>
          </w:p>
        </w:tc>
        <w:tc>
          <w:tcPr>
            <w:tcW w:w="7293" w:type="dxa"/>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面板尺寸</w:t>
            </w:r>
          </w:p>
        </w:tc>
        <w:tc>
          <w:tcPr>
            <w:tcW w:w="7293" w:type="dxa"/>
            <w:shd w:val="clear" w:color="auto" w:fill="auto"/>
            <w:vAlign w:val="center"/>
          </w:tcPr>
          <w:p>
            <w:pPr>
              <w:keepNext w:val="0"/>
              <w:keepLines w:val="0"/>
              <w:widowControl/>
              <w:suppressLineNumbers w:val="0"/>
              <w:jc w:val="left"/>
            </w:pP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27 英寸 IPS 游戏面板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分辨率</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3840×2160（4K UHD）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刷新率</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原生 120Hz 及以上；支持 VRR 可变刷新率、ALLM 自动低延迟模式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9"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色彩</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10bit 色深；DCI</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P3≥90% 色域；支持 HDR10；VESA DisplayHDR600 及以上认证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响应时间</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灰阶响应时间 GTG≤5ms，低输入延迟，减少拖影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0"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接口</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≥2 个完整带宽 HDMI2.1 接口，DP 接口，USB 扩展接口；支持同时接 PS5、Switch2 信号源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同步技术</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AMD FreeSync Premium Pro，兼容 G</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SYNC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8"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支架功能</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支持高度升降、俯仰、旋转调节；VESA 壁挂孔位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45" w:hRule="atLeast"/>
          <w:tblCellSpacing w:w="15" w:type="dxa"/>
        </w:trPr>
        <w:tc>
          <w:tcPr>
            <w:tcW w:w="1156"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其他</w:t>
            </w:r>
          </w:p>
        </w:tc>
        <w:tc>
          <w:tcPr>
            <w:tcW w:w="7293" w:type="dxa"/>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不闪屏、低蓝光；出厂校色；含原装电源线、HDMI2.1 高速线缆</w:t>
            </w:r>
          </w:p>
        </w:tc>
      </w:tr>
    </w:tbl>
    <w:p>
      <w:pPr>
        <w:pStyle w:val="3"/>
        <w:keepNext w:val="0"/>
        <w:keepLines w:val="0"/>
        <w:pageBreakBefore w:val="0"/>
        <w:widowControl/>
        <w:suppressLineNumbers w:val="0"/>
        <w:kinsoku/>
        <w:wordWrap/>
        <w:overflowPunct/>
        <w:topLinePunct w:val="0"/>
        <w:autoSpaceDE/>
        <w:autoSpaceDN/>
        <w:bidi w:val="0"/>
        <w:adjustRightInd/>
        <w:snapToGrid/>
        <w:spacing w:line="360" w:lineRule="exact"/>
        <w:textAlignment w:val="auto"/>
        <w:rPr>
          <w:rFonts w:hint="eastAsia" w:eastAsia="宋体"/>
          <w:sz w:val="28"/>
          <w:szCs w:val="28"/>
          <w:lang w:eastAsia="zh-CN"/>
        </w:rPr>
      </w:pPr>
      <w:r>
        <w:rPr>
          <w:sz w:val="28"/>
          <w:szCs w:val="28"/>
        </w:rPr>
        <w:t>四、供货及</w:t>
      </w:r>
      <w:r>
        <w:rPr>
          <w:rFonts w:hint="eastAsia"/>
          <w:sz w:val="28"/>
          <w:szCs w:val="28"/>
          <w:lang w:val="en-US" w:eastAsia="zh-CN"/>
        </w:rPr>
        <w:t>售后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1.</w:t>
      </w:r>
      <w:r>
        <w:rPr>
          <w:rFonts w:hint="eastAsia" w:asciiTheme="minorEastAsia" w:hAnsiTheme="minorEastAsia" w:eastAsiaTheme="minorEastAsia" w:cstheme="minorEastAsia"/>
          <w:sz w:val="28"/>
          <w:szCs w:val="36"/>
        </w:rPr>
        <w:t>全部设备为全新原装正品，无拆封翻新，配件齐全；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2.</w:t>
      </w:r>
      <w:r>
        <w:rPr>
          <w:rFonts w:hint="eastAsia" w:asciiTheme="minorEastAsia" w:hAnsiTheme="minorEastAsia" w:eastAsiaTheme="minorEastAsia" w:cstheme="minorEastAsia"/>
          <w:sz w:val="28"/>
          <w:szCs w:val="36"/>
        </w:rPr>
        <w:t>主机享受官方整机质保；游戏卡/光盘为全新正版实体介质；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3.</w:t>
      </w:r>
      <w:r>
        <w:rPr>
          <w:rFonts w:hint="eastAsia" w:asciiTheme="minorEastAsia" w:hAnsiTheme="minorEastAsia" w:eastAsiaTheme="minorEastAsia" w:cstheme="minorEastAsia"/>
          <w:sz w:val="28"/>
          <w:szCs w:val="36"/>
        </w:rPr>
        <w:t>到货完成通电测试，主机系统为最新版本，游戏可正常运行；显示器可正常输出4K 120Hz信号。</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4.供货周期：合同签订后_5_个工作日内完成交货、安装。</w:t>
      </w:r>
    </w:p>
    <w:p>
      <w:pPr>
        <w:rPr>
          <w:rFonts w:hint="default"/>
          <w:sz w:val="28"/>
          <w:szCs w:val="28"/>
          <w:lang w:val="en-US" w:eastAsia="zh-CN"/>
        </w:rPr>
      </w:pPr>
      <w:r>
        <w:rPr>
          <w:rFonts w:hint="eastAsia" w:asciiTheme="minorEastAsia" w:hAnsiTheme="minorEastAsia" w:eastAsiaTheme="minorEastAsia" w:cstheme="minorEastAsia"/>
          <w:sz w:val="28"/>
          <w:szCs w:val="28"/>
          <w:lang w:val="en-US" w:eastAsia="zh-CN"/>
        </w:rPr>
        <w:t>5.</w:t>
      </w:r>
      <w:r>
        <w:rPr>
          <w:rFonts w:hint="eastAsia"/>
          <w:sz w:val="28"/>
          <w:szCs w:val="28"/>
          <w:lang w:val="en-US" w:eastAsia="zh-CN"/>
        </w:rPr>
        <w:t>售后：</w:t>
      </w:r>
      <w:r>
        <w:rPr>
          <w:rFonts w:hint="default"/>
          <w:sz w:val="28"/>
          <w:szCs w:val="28"/>
          <w:lang w:val="en-US" w:eastAsia="zh-CN"/>
        </w:rPr>
        <w:t>质保期为验收合格后</w:t>
      </w:r>
      <w:r>
        <w:rPr>
          <w:rFonts w:hint="eastAsia"/>
          <w:sz w:val="28"/>
          <w:szCs w:val="28"/>
          <w:lang w:val="en-US" w:eastAsia="zh-CN"/>
        </w:rPr>
        <w:t>2</w:t>
      </w:r>
      <w:r>
        <w:rPr>
          <w:rFonts w:hint="default"/>
          <w:sz w:val="28"/>
          <w:szCs w:val="28"/>
          <w:lang w:val="en-US" w:eastAsia="zh-CN"/>
        </w:rPr>
        <w:t>年，质保期内出现质量问题，供应商在接到通知后2小时内响应到场，24小时内完成维修或更换，并承担修理调换的费用；如货物经供应商2次维修仍不能达到本合同约定的质量标准，视作供应商未能按时交货，采购人有权退货。</w:t>
      </w:r>
    </w:p>
    <w:p>
      <w:pPr>
        <w:rPr>
          <w:rFonts w:hint="eastAsia"/>
          <w:b/>
          <w:bCs/>
          <w:sz w:val="28"/>
          <w:szCs w:val="28"/>
          <w:lang w:val="en-US" w:eastAsia="zh-CN"/>
        </w:rPr>
      </w:pPr>
      <w:r>
        <w:rPr>
          <w:rFonts w:hint="eastAsia"/>
          <w:b/>
          <w:bCs/>
          <w:sz w:val="28"/>
          <w:szCs w:val="28"/>
          <w:lang w:val="en-US" w:eastAsia="zh-CN"/>
        </w:rPr>
        <w:t>五、项目最高限价：20000元</w:t>
      </w:r>
    </w:p>
    <w:p>
      <w:pPr>
        <w:pStyle w:val="2"/>
        <w:rPr>
          <w:rFonts w:hint="eastAsia"/>
          <w:lang w:val="en-US" w:eastAsia="zh-CN"/>
        </w:rPr>
      </w:pPr>
    </w:p>
    <w:p>
      <w:pPr>
        <w:pStyle w:val="6"/>
        <w:widowControl/>
        <w:spacing w:line="440" w:lineRule="atLeast"/>
        <w:rPr>
          <w:rFonts w:ascii="黑体" w:hAnsi="黑体" w:eastAsia="黑体" w:cs="仿宋"/>
          <w:color w:val="000000"/>
          <w:sz w:val="28"/>
          <w:szCs w:val="28"/>
        </w:rPr>
      </w:pPr>
      <w:r>
        <w:rPr>
          <w:rFonts w:hint="eastAsia" w:ascii="黑体" w:hAnsi="黑体" w:eastAsia="黑体" w:cs="仿宋"/>
          <w:color w:val="000000"/>
          <w:sz w:val="28"/>
          <w:szCs w:val="28"/>
        </w:rPr>
        <w:t>附件2</w:t>
      </w:r>
    </w:p>
    <w:p>
      <w:pPr>
        <w:spacing w:line="240" w:lineRule="atLeast"/>
        <w:jc w:val="center"/>
        <w:rPr>
          <w:rFonts w:ascii="方正小标宋简体" w:hAnsi="仿宋" w:eastAsia="方正小标宋简体"/>
          <w:bCs/>
          <w:sz w:val="32"/>
          <w:szCs w:val="32"/>
        </w:rPr>
      </w:pPr>
      <w:r>
        <w:rPr>
          <w:rFonts w:hint="eastAsia" w:ascii="方正小标宋简体" w:hAnsi="仿宋" w:eastAsia="方正小标宋简体"/>
          <w:bCs/>
          <w:sz w:val="32"/>
          <w:szCs w:val="32"/>
        </w:rPr>
        <w:t>采购投标文件装订顺序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1、封面（公司、项目、联系人、联系方式）；</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目录；</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3、品目及报价表；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4、企业营业执照（复印件）；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5、法定代表人授权书、法人、经办人身份证（复印件）；</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val="en-US" w:eastAsia="zh-CN"/>
        </w:rPr>
        <w:t>产品介绍；</w:t>
      </w:r>
    </w:p>
    <w:p>
      <w:pPr>
        <w:pStyle w:val="2"/>
        <w:rPr>
          <w:rFonts w:hint="default"/>
          <w:lang w:val="en-US" w:eastAsia="zh-CN"/>
        </w:rPr>
      </w:pPr>
      <w:r>
        <w:rPr>
          <w:rFonts w:hint="eastAsia" w:ascii="仿宋_GB2312" w:hAnsi="仿宋_GB2312" w:eastAsia="仿宋_GB2312" w:cs="仿宋_GB2312"/>
          <w:sz w:val="28"/>
          <w:szCs w:val="28"/>
          <w:lang w:val="en-US" w:eastAsia="zh-CN"/>
        </w:rPr>
        <w:t>7、参数响应表或承诺书（自拟）；</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、售后服务承诺书</w:t>
      </w:r>
      <w:r>
        <w:rPr>
          <w:rFonts w:hint="eastAsia" w:ascii="仿宋_GB2312" w:hAnsi="仿宋_GB2312" w:eastAsia="仿宋_GB2312" w:cs="仿宋_GB2312"/>
          <w:sz w:val="28"/>
          <w:szCs w:val="28"/>
          <w:lang w:eastAsia="zh-CN"/>
        </w:rPr>
        <w:t>（质保期和售后服务）；</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无围标、串标行为承诺书</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10、反商业贿赂承诺书；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11、供应商遵守招标采购纪律承诺书；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12、封底。</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黑体" w:hAnsi="黑体" w:eastAsia="黑体" w:cs="仿宋"/>
          <w:color w:val="000000"/>
          <w:sz w:val="28"/>
          <w:szCs w:val="28"/>
        </w:rPr>
      </w:pPr>
      <w:r>
        <w:rPr>
          <w:rFonts w:hint="eastAsia" w:ascii="仿宋_GB2312" w:eastAsia="仿宋_GB2312"/>
          <w:sz w:val="28"/>
          <w:szCs w:val="28"/>
        </w:rPr>
        <w:t>注：请务必按以上顺序装订资料，如有非中文资料，请同时提供中文翻译件。</w:t>
      </w:r>
    </w:p>
    <w:p>
      <w:pPr>
        <w:widowControl/>
        <w:spacing w:line="360" w:lineRule="auto"/>
        <w:jc w:val="center"/>
        <w:rPr>
          <w:rFonts w:hint="eastAsia" w:ascii="方正小标宋简体" w:hAnsi="方正小标宋简体" w:eastAsia="方正小标宋简体" w:cs="方正小标宋简体"/>
          <w:color w:val="000000"/>
          <w:kern w:val="0"/>
          <w:sz w:val="30"/>
          <w:szCs w:val="30"/>
        </w:rPr>
      </w:pPr>
    </w:p>
    <w:p>
      <w:pPr>
        <w:widowControl/>
        <w:spacing w:line="360" w:lineRule="auto"/>
        <w:jc w:val="center"/>
        <w:rPr>
          <w:rFonts w:hint="eastAsia" w:ascii="方正小标宋简体" w:hAnsi="方正小标宋简体" w:eastAsia="方正小标宋简体" w:cs="方正小标宋简体"/>
          <w:color w:val="333333"/>
          <w:kern w:val="0"/>
          <w:sz w:val="30"/>
          <w:szCs w:val="30"/>
        </w:rPr>
      </w:pPr>
      <w:r>
        <w:rPr>
          <w:rFonts w:hint="eastAsia" w:ascii="方正小标宋简体" w:hAnsi="方正小标宋简体" w:eastAsia="方正小标宋简体" w:cs="方正小标宋简体"/>
          <w:color w:val="000000"/>
          <w:kern w:val="0"/>
          <w:sz w:val="30"/>
          <w:szCs w:val="30"/>
        </w:rPr>
        <w:t>品目及报价表</w:t>
      </w:r>
    </w:p>
    <w:tbl>
      <w:tblPr>
        <w:tblStyle w:val="7"/>
        <w:tblW w:w="857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52"/>
        <w:gridCol w:w="2192"/>
        <w:gridCol w:w="953"/>
        <w:gridCol w:w="1783"/>
        <w:gridCol w:w="1442"/>
        <w:gridCol w:w="135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6" w:hRule="atLeast"/>
          <w:jc w:val="center"/>
        </w:trPr>
        <w:tc>
          <w:tcPr>
            <w:tcW w:w="85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b/>
                <w:bCs/>
                <w:color w:val="000000"/>
                <w:kern w:val="0"/>
                <w:sz w:val="24"/>
              </w:rPr>
              <w:t xml:space="preserve"> </w:t>
            </w:r>
            <w:r>
              <w:rPr>
                <w:rFonts w:hint="eastAsia" w:ascii="宋体" w:hAnsi="宋体" w:cs="宋体"/>
                <w:color w:val="000000"/>
                <w:kern w:val="0"/>
                <w:sz w:val="24"/>
              </w:rPr>
              <w:t>序号</w:t>
            </w:r>
          </w:p>
        </w:tc>
        <w:tc>
          <w:tcPr>
            <w:tcW w:w="2192"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名称</w:t>
            </w:r>
          </w:p>
        </w:tc>
        <w:tc>
          <w:tcPr>
            <w:tcW w:w="953"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单位</w:t>
            </w:r>
          </w:p>
        </w:tc>
        <w:tc>
          <w:tcPr>
            <w:tcW w:w="1783" w:type="dxa"/>
            <w:tcBorders>
              <w:top w:val="single" w:color="auto" w:sz="8" w:space="0"/>
              <w:left w:val="outset" w:color="000000" w:sz="2" w:space="0"/>
              <w:bottom w:val="single" w:color="auto" w:sz="8" w:space="0"/>
              <w:right w:val="outset" w:color="000000" w:sz="2"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规格</w:t>
            </w:r>
          </w:p>
        </w:tc>
        <w:tc>
          <w:tcPr>
            <w:tcW w:w="1442"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单价（元）</w:t>
            </w:r>
          </w:p>
        </w:tc>
        <w:tc>
          <w:tcPr>
            <w:tcW w:w="1352" w:type="dxa"/>
            <w:tcBorders>
              <w:top w:val="single" w:color="auto" w:sz="8"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52" w:type="dxa"/>
            <w:tcBorders>
              <w:top w:val="outset" w:color="000000" w:sz="2"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1</w:t>
            </w:r>
          </w:p>
        </w:tc>
        <w:tc>
          <w:tcPr>
            <w:tcW w:w="2192" w:type="dxa"/>
            <w:tcBorders>
              <w:top w:val="outset" w:color="000000" w:sz="2"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953" w:type="dxa"/>
            <w:tcBorders>
              <w:top w:val="outset" w:color="000000" w:sz="2"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783" w:type="dxa"/>
            <w:tcBorders>
              <w:top w:val="outset" w:color="000000" w:sz="2" w:space="0"/>
              <w:left w:val="outset" w:color="000000" w:sz="2" w:space="0"/>
              <w:bottom w:val="single" w:color="auto" w:sz="8" w:space="0"/>
              <w:right w:val="outset" w:color="000000" w:sz="2" w:space="0"/>
            </w:tcBorders>
            <w:noWrap w:val="0"/>
            <w:tcMar>
              <w:top w:w="0" w:type="dxa"/>
              <w:left w:w="108" w:type="dxa"/>
              <w:bottom w:w="0" w:type="dxa"/>
              <w:right w:w="108" w:type="dxa"/>
            </w:tcMar>
            <w:vAlign w:val="top"/>
          </w:tcPr>
          <w:p>
            <w:pPr>
              <w:widowControl/>
              <w:spacing w:line="360" w:lineRule="auto"/>
              <w:jc w:val="center"/>
              <w:rPr>
                <w:rFonts w:ascii="宋体" w:hAnsi="宋体" w:cs="宋体"/>
                <w:color w:val="000000"/>
                <w:kern w:val="0"/>
                <w:sz w:val="24"/>
              </w:rPr>
            </w:pPr>
          </w:p>
        </w:tc>
        <w:tc>
          <w:tcPr>
            <w:tcW w:w="1442" w:type="dxa"/>
            <w:tcBorders>
              <w:top w:val="outset" w:color="000000" w:sz="2"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352" w:type="dxa"/>
            <w:tcBorders>
              <w:top w:val="outset" w:color="000000" w:sz="2" w:space="0"/>
              <w:left w:val="outset" w:color="000000" w:sz="2" w:space="0"/>
              <w:bottom w:val="single" w:color="auto" w:sz="8" w:space="0"/>
              <w:right w:val="single" w:color="auto" w:sz="8" w:space="0"/>
            </w:tcBorders>
            <w:noWrap w:val="0"/>
            <w:tcMar>
              <w:top w:w="0" w:type="dxa"/>
              <w:left w:w="108" w:type="dxa"/>
              <w:bottom w:w="0" w:type="dxa"/>
              <w:right w:w="108" w:type="dxa"/>
            </w:tcMar>
            <w:vAlign w:val="center"/>
          </w:tcPr>
          <w:p>
            <w:pPr>
              <w:widowControl/>
              <w:spacing w:line="360" w:lineRule="auto"/>
              <w:jc w:val="left"/>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52" w:type="dxa"/>
            <w:tcBorders>
              <w:top w:val="outset" w:color="000000" w:sz="2" w:space="0"/>
              <w:left w:val="single" w:color="auto" w:sz="8"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2</w:t>
            </w:r>
          </w:p>
        </w:tc>
        <w:tc>
          <w:tcPr>
            <w:tcW w:w="2192"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953"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783" w:type="dxa"/>
            <w:tcBorders>
              <w:top w:val="outset" w:color="000000" w:sz="2" w:space="0"/>
              <w:left w:val="outset" w:color="000000" w:sz="2" w:space="0"/>
              <w:bottom w:val="outset" w:color="000000" w:sz="2" w:space="0"/>
              <w:right w:val="outset" w:color="000000" w:sz="2" w:space="0"/>
            </w:tcBorders>
            <w:noWrap w:val="0"/>
            <w:tcMar>
              <w:top w:w="0" w:type="dxa"/>
              <w:left w:w="108" w:type="dxa"/>
              <w:bottom w:w="0" w:type="dxa"/>
              <w:right w:w="108" w:type="dxa"/>
            </w:tcMar>
            <w:vAlign w:val="top"/>
          </w:tcPr>
          <w:p>
            <w:pPr>
              <w:widowControl/>
              <w:spacing w:line="360" w:lineRule="auto"/>
              <w:jc w:val="center"/>
              <w:rPr>
                <w:rFonts w:ascii="宋体" w:hAnsi="宋体" w:cs="宋体"/>
                <w:color w:val="000000"/>
                <w:kern w:val="0"/>
                <w:sz w:val="24"/>
              </w:rPr>
            </w:pPr>
          </w:p>
        </w:tc>
        <w:tc>
          <w:tcPr>
            <w:tcW w:w="1442"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352"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5780" w:type="dxa"/>
            <w:gridSpan w:val="4"/>
            <w:tcBorders>
              <w:top w:val="outset" w:color="000000" w:sz="2" w:space="0"/>
              <w:left w:val="single" w:color="auto" w:sz="8" w:space="0"/>
              <w:bottom w:val="outset" w:color="000000" w:sz="2" w:space="0"/>
              <w:right w:val="outset" w:color="000000" w:sz="2" w:space="0"/>
            </w:tcBorders>
            <w:noWrap w:val="0"/>
            <w:tcMar>
              <w:top w:w="0" w:type="dxa"/>
              <w:left w:w="108" w:type="dxa"/>
              <w:bottom w:w="0" w:type="dxa"/>
              <w:right w:w="108" w:type="dxa"/>
            </w:tcMar>
            <w:vAlign w:val="top"/>
          </w:tcPr>
          <w:p>
            <w:pPr>
              <w:widowControl/>
              <w:spacing w:line="360" w:lineRule="auto"/>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合计</w:t>
            </w:r>
          </w:p>
        </w:tc>
        <w:tc>
          <w:tcPr>
            <w:tcW w:w="1442"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352" w:type="dxa"/>
            <w:tcBorders>
              <w:top w:val="outset" w:color="000000" w:sz="2" w:space="0"/>
              <w:left w:val="outset" w:color="000000" w:sz="2" w:space="0"/>
              <w:bottom w:val="outset" w:color="000000" w:sz="2" w:space="0"/>
              <w:right w:val="single" w:color="auto" w:sz="8" w:space="0"/>
            </w:tcBorders>
            <w:noWrap w:val="0"/>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r>
    </w:tbl>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仿宋_GB2312" w:hAnsi="宋体" w:eastAsia="仿宋_GB2312" w:cs="宋体"/>
          <w:color w:val="333333"/>
          <w:kern w:val="0"/>
          <w:sz w:val="24"/>
        </w:rPr>
      </w:pPr>
      <w:r>
        <w:rPr>
          <w:rFonts w:hint="eastAsia" w:ascii="仿宋_GB2312" w:hAnsi="宋体" w:eastAsia="仿宋_GB2312" w:cs="宋体"/>
          <w:color w:val="000000"/>
          <w:kern w:val="0"/>
          <w:sz w:val="24"/>
        </w:rPr>
        <w:t>注：1.报价应是最终用户验收合格后的总价，</w:t>
      </w:r>
      <w:r>
        <w:rPr>
          <w:rFonts w:hint="eastAsia" w:ascii="仿宋_GB2312" w:hAnsi="宋体" w:eastAsia="仿宋_GB2312" w:cs="宋体"/>
          <w:color w:val="000000"/>
          <w:kern w:val="0"/>
          <w:sz w:val="24"/>
          <w:lang w:val="en-US" w:eastAsia="zh-CN"/>
        </w:rPr>
        <w:t>包含安装费、</w:t>
      </w:r>
      <w:r>
        <w:rPr>
          <w:rFonts w:hint="eastAsia" w:ascii="仿宋_GB2312" w:hAnsi="宋体" w:eastAsia="仿宋_GB2312" w:cs="宋体"/>
          <w:color w:val="000000"/>
          <w:kern w:val="0"/>
          <w:sz w:val="24"/>
        </w:rPr>
        <w:t>税费、采购文件规定的其它费用。</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left"/>
        <w:textAlignment w:val="auto"/>
        <w:rPr>
          <w:rFonts w:ascii="仿宋_GB2312" w:hAnsi="宋体" w:eastAsia="仿宋_GB2312" w:cs="宋体"/>
          <w:color w:val="333333"/>
          <w:kern w:val="0"/>
          <w:sz w:val="24"/>
        </w:rPr>
      </w:pPr>
      <w:r>
        <w:rPr>
          <w:rFonts w:hint="eastAsia" w:ascii="仿宋_GB2312" w:hAnsi="宋体" w:eastAsia="仿宋_GB2312" w:cs="宋体"/>
          <w:color w:val="000000"/>
          <w:kern w:val="0"/>
          <w:sz w:val="24"/>
        </w:rPr>
        <w:t>2.“报价一览表”为多页的，每页均需由法定代表人或授权代表签字并盖投标人印章。</w:t>
      </w:r>
    </w:p>
    <w:p>
      <w:pPr>
        <w:keepNext w:val="0"/>
        <w:keepLines w:val="0"/>
        <w:pageBreakBefore w:val="0"/>
        <w:widowControl/>
        <w:kinsoku/>
        <w:wordWrap/>
        <w:overflowPunct/>
        <w:topLinePunct w:val="0"/>
        <w:autoSpaceDE/>
        <w:autoSpaceDN/>
        <w:bidi w:val="0"/>
        <w:adjustRightInd/>
        <w:snapToGrid/>
        <w:spacing w:line="320" w:lineRule="exact"/>
        <w:ind w:firstLine="480" w:firstLineChars="200"/>
        <w:jc w:val="left"/>
        <w:textAlignment w:val="auto"/>
        <w:rPr>
          <w:rFonts w:ascii="仿宋_GB2312" w:hAnsi="宋体" w:eastAsia="仿宋_GB2312" w:cs="宋体"/>
          <w:color w:val="333333"/>
          <w:kern w:val="0"/>
          <w:sz w:val="24"/>
        </w:rPr>
      </w:pPr>
      <w:r>
        <w:rPr>
          <w:rFonts w:hint="eastAsia" w:ascii="仿宋_GB2312" w:hAnsi="宋体" w:eastAsia="仿宋_GB2312" w:cs="宋体"/>
          <w:color w:val="000000"/>
          <w:kern w:val="0"/>
          <w:sz w:val="24"/>
        </w:rPr>
        <w:t>3.“报价一览表”需单独密封。</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供应商名称（盖章）：        </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法定代表人或授权代表人（签字）：     </w:t>
      </w:r>
    </w:p>
    <w:p>
      <w:pPr>
        <w:keepNext w:val="0"/>
        <w:keepLines w:val="0"/>
        <w:pageBreakBefore w:val="0"/>
        <w:widowControl/>
        <w:kinsoku/>
        <w:wordWrap/>
        <w:overflowPunct/>
        <w:topLinePunct w:val="0"/>
        <w:autoSpaceDE/>
        <w:autoSpaceDN/>
        <w:bidi w:val="0"/>
        <w:adjustRightInd/>
        <w:snapToGrid/>
        <w:spacing w:line="320" w:lineRule="exact"/>
        <w:ind w:firstLine="480"/>
        <w:jc w:val="left"/>
        <w:textAlignment w:val="auto"/>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w:t>
      </w:r>
    </w:p>
    <w:p>
      <w:pPr>
        <w:pStyle w:val="4"/>
      </w:pPr>
    </w:p>
    <w:p>
      <w:pPr>
        <w:adjustRightInd w:val="0"/>
        <w:snapToGrid w:val="0"/>
        <w:spacing w:line="360" w:lineRule="auto"/>
        <w:jc w:val="center"/>
        <w:rPr>
          <w:rFonts w:hint="eastAsia" w:ascii="方正小标宋简体" w:hAnsi="方正小标宋简体" w:eastAsia="方正小标宋简体" w:cs="方正小标宋简体"/>
          <w:b w:val="0"/>
          <w:bCs/>
          <w:sz w:val="28"/>
          <w:szCs w:val="28"/>
        </w:rPr>
      </w:pPr>
      <w:r>
        <w:rPr>
          <w:rFonts w:hint="eastAsia" w:ascii="方正小标宋简体" w:hAnsi="方正小标宋简体" w:eastAsia="方正小标宋简体" w:cs="方正小标宋简体"/>
          <w:b w:val="0"/>
          <w:bCs/>
          <w:sz w:val="28"/>
          <w:szCs w:val="28"/>
        </w:rPr>
        <w:t>法定代表人身份授权书</w:t>
      </w:r>
    </w:p>
    <w:p>
      <w:pPr>
        <w:adjustRightInd w:val="0"/>
        <w:snapToGrid w:val="0"/>
        <w:spacing w:line="360" w:lineRule="auto"/>
        <w:rPr>
          <w:rFonts w:hint="eastAsia" w:hAnsi="宋体" w:cs="宋体"/>
          <w:bCs/>
          <w:sz w:val="24"/>
          <w:szCs w:val="24"/>
        </w:rPr>
      </w:pPr>
      <w:r>
        <w:rPr>
          <w:rFonts w:hint="eastAsia" w:hAnsi="宋体" w:cs="宋体"/>
          <w:bCs/>
          <w:sz w:val="24"/>
          <w:szCs w:val="24"/>
        </w:rPr>
        <w:t>（采购单位名称）：</w:t>
      </w:r>
    </w:p>
    <w:p>
      <w:pPr>
        <w:adjustRightInd w:val="0"/>
        <w:snapToGrid w:val="0"/>
        <w:spacing w:line="360" w:lineRule="auto"/>
        <w:rPr>
          <w:rFonts w:hint="eastAsia" w:hAnsi="宋体" w:cs="宋体"/>
          <w:bCs/>
          <w:sz w:val="24"/>
          <w:szCs w:val="24"/>
        </w:rPr>
      </w:pPr>
      <w:r>
        <w:rPr>
          <w:rFonts w:hint="eastAsia" w:hAnsi="宋体" w:cs="宋体"/>
          <w:bCs/>
          <w:sz w:val="24"/>
          <w:szCs w:val="24"/>
        </w:rPr>
        <w:t>本授权声明：（投标人名称）</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（法定代表人姓名、职务）授权（被授权人姓名、职务）为我方“</w:t>
      </w:r>
      <w:r>
        <w:rPr>
          <w:rFonts w:hint="eastAsia" w:hAnsi="宋体" w:cs="宋体"/>
          <w:bCs/>
          <w:sz w:val="24"/>
          <w:szCs w:val="24"/>
          <w:u w:val="single"/>
          <w:lang w:val="en-US" w:eastAsia="zh-CN"/>
        </w:rPr>
        <w:t xml:space="preserve">   </w:t>
      </w:r>
      <w:r>
        <w:rPr>
          <w:rFonts w:hint="eastAsia" w:hAnsi="宋体" w:cs="宋体"/>
          <w:bCs/>
          <w:sz w:val="24"/>
          <w:szCs w:val="24"/>
        </w:rPr>
        <w:t>”项目投标活动的合法代表，以我方名义全权处理该项目有关投标、签订合同以及执行合同等一切事宜。</w:t>
      </w:r>
    </w:p>
    <w:p>
      <w:pPr>
        <w:adjustRightInd w:val="0"/>
        <w:snapToGrid w:val="0"/>
        <w:spacing w:line="360" w:lineRule="auto"/>
        <w:rPr>
          <w:rFonts w:hint="eastAsia" w:hAnsi="宋体" w:cs="宋体"/>
          <w:bCs/>
          <w:sz w:val="24"/>
          <w:szCs w:val="24"/>
        </w:rPr>
      </w:pPr>
      <w:r>
        <w:rPr>
          <w:rFonts w:hint="eastAsia" w:hAnsi="宋体" w:cs="宋体"/>
          <w:bCs/>
          <w:sz w:val="24"/>
          <w:szCs w:val="24"/>
        </w:rPr>
        <w:t>特此声明。</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法定代表人签字：</w:t>
      </w:r>
    </w:p>
    <w:p>
      <w:pPr>
        <w:adjustRightInd w:val="0"/>
        <w:snapToGrid w:val="0"/>
        <w:spacing w:line="360" w:lineRule="auto"/>
        <w:rPr>
          <w:rFonts w:hint="eastAsia" w:hAnsi="宋体" w:cs="宋体"/>
          <w:bCs/>
          <w:sz w:val="24"/>
          <w:szCs w:val="24"/>
        </w:rPr>
      </w:pPr>
      <w:r>
        <w:rPr>
          <w:rFonts w:hint="eastAsia" w:hAnsi="宋体" w:cs="宋体"/>
          <w:bCs/>
          <w:sz w:val="24"/>
          <w:szCs w:val="24"/>
        </w:rPr>
        <w:t>授权代表签字：</w:t>
      </w:r>
    </w:p>
    <w:p>
      <w:pPr>
        <w:adjustRightInd w:val="0"/>
        <w:snapToGrid w:val="0"/>
        <w:spacing w:line="360" w:lineRule="auto"/>
        <w:rPr>
          <w:rFonts w:hint="eastAsia" w:hAnsi="宋体" w:cs="宋体"/>
          <w:bCs/>
          <w:sz w:val="24"/>
          <w:szCs w:val="24"/>
        </w:rPr>
      </w:pPr>
      <w:r>
        <w:rPr>
          <w:rFonts w:hint="eastAsia" w:hAnsi="宋体" w:cs="宋体"/>
          <w:bCs/>
          <w:sz w:val="24"/>
          <w:szCs w:val="24"/>
        </w:rPr>
        <w:t>投标人名称：（加盖公章）</w:t>
      </w:r>
    </w:p>
    <w:p>
      <w:pPr>
        <w:adjustRightInd w:val="0"/>
        <w:snapToGrid w:val="0"/>
        <w:spacing w:line="360" w:lineRule="auto"/>
        <w:rPr>
          <w:rFonts w:hint="eastAsia" w:hAnsi="宋体" w:cs="宋体"/>
          <w:bCs/>
          <w:sz w:val="24"/>
          <w:szCs w:val="24"/>
        </w:rPr>
      </w:pPr>
      <w:r>
        <w:rPr>
          <w:rFonts w:hint="eastAsia" w:hAnsi="宋体" w:cs="宋体"/>
          <w:bCs/>
          <w:sz w:val="24"/>
          <w:szCs w:val="24"/>
        </w:rPr>
        <w:t>日期：</w:t>
      </w:r>
    </w:p>
    <w:p>
      <w:pPr>
        <w:adjustRightInd w:val="0"/>
        <w:snapToGrid w:val="0"/>
        <w:spacing w:line="360" w:lineRule="auto"/>
        <w:rPr>
          <w:rFonts w:hint="eastAsia" w:hAnsi="宋体" w:cs="宋体"/>
          <w:bCs/>
          <w:sz w:val="24"/>
          <w:szCs w:val="24"/>
        </w:rPr>
      </w:pPr>
      <w:r>
        <w:rPr>
          <w:rFonts w:hint="eastAsia" w:hAnsi="宋体" w:cs="宋体"/>
          <w:bCs/>
          <w:sz w:val="24"/>
          <w:szCs w:val="24"/>
        </w:rPr>
        <w:t>★说明：上述证明文件附有法定代表人、被授权代表身份证复印件（加盖公章）时才能生效。</w:t>
      </w:r>
    </w:p>
    <w:p>
      <w:pPr>
        <w:pStyle w:val="10"/>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良好的商业信誉和健全的财务会计制度的承诺函</w:t>
      </w:r>
    </w:p>
    <w:p>
      <w:pPr>
        <w:snapToGrid w:val="0"/>
        <w:spacing w:line="360" w:lineRule="auto"/>
        <w:rPr>
          <w:rFonts w:hint="eastAsia" w:ascii="宋体" w:hAnsi="宋体" w:cs="宋体"/>
          <w:sz w:val="24"/>
          <w:szCs w:val="24"/>
        </w:rPr>
      </w:pPr>
      <w:r>
        <w:rPr>
          <w:rFonts w:hint="eastAsia" w:ascii="宋体" w:hAnsi="宋体" w:cs="宋体"/>
          <w:sz w:val="24"/>
          <w:szCs w:val="24"/>
        </w:rPr>
        <w:t>四川省妇幼保健院：</w:t>
      </w:r>
    </w:p>
    <w:p>
      <w:pPr>
        <w:snapToGrid w:val="0"/>
        <w:spacing w:after="156" w:afterLines="50" w:line="360" w:lineRule="auto"/>
        <w:ind w:firstLine="480" w:firstLineChars="200"/>
        <w:rPr>
          <w:rFonts w:hint="eastAsia" w:ascii="宋体" w:hAnsi="宋体" w:cs="宋体"/>
          <w:sz w:val="24"/>
          <w:szCs w:val="24"/>
        </w:rPr>
      </w:pPr>
      <w:r>
        <w:rPr>
          <w:rFonts w:hint="eastAsia" w:ascii="宋体" w:hAnsi="宋体" w:cs="宋体"/>
          <w:sz w:val="24"/>
          <w:szCs w:val="24"/>
        </w:rPr>
        <w:t>本投标人</w:t>
      </w:r>
      <w:r>
        <w:rPr>
          <w:rFonts w:hint="eastAsia" w:ascii="宋体" w:hAnsi="宋体" w:cs="宋体"/>
          <w:sz w:val="24"/>
          <w:szCs w:val="24"/>
          <w:u w:val="single"/>
        </w:rPr>
        <w:t xml:space="preserve">      （投标人全称）        </w:t>
      </w:r>
      <w:r>
        <w:rPr>
          <w:rFonts w:hint="eastAsia" w:ascii="宋体" w:hAnsi="宋体" w:cs="宋体"/>
          <w:sz w:val="24"/>
          <w:szCs w:val="24"/>
        </w:rPr>
        <w:t>参加</w:t>
      </w:r>
      <w:r>
        <w:rPr>
          <w:rFonts w:hint="eastAsia" w:ascii="宋体" w:hAnsi="宋体" w:cs="宋体"/>
          <w:sz w:val="24"/>
          <w:szCs w:val="24"/>
          <w:u w:val="single"/>
        </w:rPr>
        <w:t xml:space="preserve">   （项目名称）   </w:t>
      </w:r>
      <w:r>
        <w:rPr>
          <w:rFonts w:hint="eastAsia" w:ascii="宋体" w:hAnsi="宋体" w:cs="宋体"/>
          <w:sz w:val="24"/>
          <w:szCs w:val="24"/>
        </w:rPr>
        <w:t>（项目编号：</w:t>
      </w:r>
      <w:r>
        <w:rPr>
          <w:rFonts w:hint="eastAsia" w:ascii="宋体" w:hAnsi="宋体" w:cs="宋体"/>
          <w:sz w:val="24"/>
          <w:szCs w:val="24"/>
          <w:u w:val="single"/>
        </w:rPr>
        <w:t xml:space="preserve">            </w:t>
      </w:r>
      <w:r>
        <w:rPr>
          <w:rFonts w:hint="eastAsia" w:ascii="宋体" w:hAnsi="宋体" w:cs="宋体"/>
          <w:sz w:val="24"/>
          <w:szCs w:val="24"/>
        </w:rPr>
        <w:t>）的磋商活动，现郑重承诺：</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本投标人具有良好的商业信誉和健全的财务会计制度。</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本投标人对上述承诺的内容事项真实性负责，如经查实上述承诺的内容事项存在虚假，本投标人愿意接受以提供虚假材料谋取中标追究法律责任。</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特此承诺。</w:t>
      </w:r>
    </w:p>
    <w:p>
      <w:pPr>
        <w:snapToGrid w:val="0"/>
        <w:spacing w:line="360" w:lineRule="auto"/>
        <w:ind w:firstLine="480" w:firstLineChars="200"/>
        <w:rPr>
          <w:rFonts w:hint="eastAsia" w:ascii="宋体" w:hAnsi="宋体" w:cs="宋体"/>
          <w:sz w:val="24"/>
          <w:szCs w:val="24"/>
        </w:rPr>
      </w:pP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投标人名称：</w:t>
      </w:r>
      <w:r>
        <w:rPr>
          <w:rFonts w:hint="eastAsia" w:ascii="宋体" w:hAnsi="宋体" w:cs="宋体"/>
          <w:sz w:val="24"/>
          <w:szCs w:val="24"/>
          <w:u w:val="single"/>
        </w:rPr>
        <w:t xml:space="preserve">  （投标人全称）  </w:t>
      </w:r>
      <w:r>
        <w:rPr>
          <w:rFonts w:hint="eastAsia" w:ascii="宋体" w:hAnsi="宋体" w:cs="宋体"/>
          <w:sz w:val="24"/>
          <w:szCs w:val="24"/>
        </w:rPr>
        <w:t>（加盖公章）</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法定代表人或授权代表：</w:t>
      </w:r>
      <w:r>
        <w:rPr>
          <w:rFonts w:hint="eastAsia" w:ascii="宋体" w:hAnsi="宋体" w:cs="宋体"/>
          <w:sz w:val="24"/>
          <w:szCs w:val="24"/>
          <w:u w:val="single"/>
        </w:rPr>
        <w:t xml:space="preserve">    （签字或盖章）   </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tabs>
          <w:tab w:val="left" w:pos="6645"/>
        </w:tabs>
        <w:snapToGrid w:val="0"/>
        <w:spacing w:line="360" w:lineRule="auto"/>
        <w:textAlignment w:val="baseline"/>
        <w:rPr>
          <w:rFonts w:hint="eastAsia" w:ascii="宋体" w:hAnsi="宋体" w:cs="宋体"/>
          <w:b/>
          <w:bCs/>
          <w:sz w:val="24"/>
          <w:szCs w:val="24"/>
        </w:rPr>
      </w:pPr>
    </w:p>
    <w:p>
      <w:pPr>
        <w:pStyle w:val="4"/>
        <w:spacing w:line="360" w:lineRule="auto"/>
        <w:jc w:val="center"/>
        <w:rPr>
          <w:rFonts w:hint="eastAsia" w:ascii="方正小标宋简体" w:hAnsi="方正小标宋简体" w:eastAsia="方正小标宋简体" w:cs="方正小标宋简体"/>
          <w:b w:val="0"/>
          <w:bCs w:val="0"/>
          <w:sz w:val="28"/>
          <w:szCs w:val="28"/>
        </w:rPr>
      </w:pPr>
      <w:r>
        <w:rPr>
          <w:rFonts w:hint="eastAsia" w:ascii="方正小标宋简体" w:hAnsi="方正小标宋简体" w:eastAsia="方正小标宋简体" w:cs="方正小标宋简体"/>
          <w:b w:val="0"/>
          <w:bCs w:val="0"/>
          <w:sz w:val="28"/>
          <w:szCs w:val="28"/>
        </w:rPr>
        <w:t>无围标、串标行为承诺书</w:t>
      </w:r>
    </w:p>
    <w:p>
      <w:pPr>
        <w:spacing w:line="360" w:lineRule="auto"/>
        <w:ind w:firstLine="640"/>
        <w:rPr>
          <w:rFonts w:hint="eastAsia" w:ascii="宋体" w:hAnsi="宋体" w:cs="宋体"/>
          <w:sz w:val="24"/>
          <w:szCs w:val="24"/>
        </w:rPr>
      </w:pPr>
      <w:r>
        <w:rPr>
          <w:rFonts w:hint="eastAsia" w:ascii="宋体" w:hAnsi="宋体" w:cs="宋体"/>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1.不同供应商的投标文件由同一单位或者个人编制；</w:t>
      </w:r>
    </w:p>
    <w:p>
      <w:pPr>
        <w:spacing w:line="360" w:lineRule="auto"/>
        <w:ind w:firstLine="640"/>
        <w:rPr>
          <w:rFonts w:hint="eastAsia" w:ascii="宋体" w:hAnsi="宋体" w:cs="宋体"/>
          <w:sz w:val="24"/>
          <w:szCs w:val="24"/>
        </w:rPr>
      </w:pPr>
      <w:r>
        <w:rPr>
          <w:rFonts w:hint="eastAsia" w:ascii="宋体" w:hAnsi="宋体" w:cs="宋体"/>
          <w:sz w:val="24"/>
          <w:szCs w:val="24"/>
        </w:rPr>
        <w:t>2.不同供应商委托同一单位或者个人办理投标事宜；</w:t>
      </w:r>
    </w:p>
    <w:p>
      <w:pPr>
        <w:pStyle w:val="4"/>
        <w:spacing w:line="360" w:lineRule="auto"/>
        <w:ind w:firstLine="640"/>
        <w:rPr>
          <w:rFonts w:hint="eastAsia" w:ascii="宋体" w:hAnsi="宋体" w:cs="宋体"/>
          <w:sz w:val="24"/>
          <w:szCs w:val="24"/>
        </w:rPr>
      </w:pPr>
      <w:r>
        <w:rPr>
          <w:rFonts w:hint="eastAsia" w:ascii="宋体" w:hAnsi="宋体" w:cs="宋体"/>
          <w:sz w:val="24"/>
          <w:szCs w:val="24"/>
        </w:rPr>
        <w:t>3.不同供应商的投标文件载明的项目管理成员或者联系人员为同一人；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4.不同供应商的投标文件异常一致或者投标报价呈规律性差异；</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5.不同供应商的投标文件相互混装；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6.不同供应商的投标保证金从同一单位或者个人的账户转出；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7.不同供应商的董事、监事、高管、单位负责人为同一人或者存在控股、管理关系的不同单位参加同一采购项目；</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8.供应商之间事先约定由某一特定供应商中标、成交；</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9.供应商之间商定部分供应商放弃参加采购活动或者放弃中标、成交；</w:t>
      </w:r>
    </w:p>
    <w:p>
      <w:pPr>
        <w:pStyle w:val="4"/>
        <w:spacing w:line="360" w:lineRule="auto"/>
        <w:rPr>
          <w:rFonts w:hint="eastAsia" w:ascii="宋体" w:hAnsi="宋体" w:cs="宋体"/>
          <w:sz w:val="24"/>
          <w:szCs w:val="24"/>
        </w:rPr>
      </w:pPr>
      <w:r>
        <w:rPr>
          <w:rFonts w:hint="eastAsia" w:ascii="宋体" w:hAnsi="宋体" w:cs="宋体"/>
          <w:sz w:val="24"/>
          <w:szCs w:val="24"/>
        </w:rPr>
        <w:t xml:space="preserve">    10.法律法规界定的其他围标串标行为。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投标供应商法人代表或委托代理人（承诺人） ：</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投标供应商：（公章）  </w:t>
      </w:r>
    </w:p>
    <w:p>
      <w:pPr>
        <w:pStyle w:val="4"/>
        <w:spacing w:line="360" w:lineRule="auto"/>
        <w:ind w:firstLine="480" w:firstLineChars="200"/>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 xml:space="preserve">   年   月   日</w:t>
      </w:r>
    </w:p>
    <w:p>
      <w:pPr>
        <w:pStyle w:val="10"/>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p>
    <w:p>
      <w:pPr>
        <w:tabs>
          <w:tab w:val="left" w:pos="6645"/>
        </w:tabs>
        <w:snapToGrid w:val="0"/>
        <w:spacing w:line="360" w:lineRule="auto"/>
        <w:jc w:val="center"/>
        <w:textAlignment w:val="baseline"/>
        <w:rPr>
          <w:rFonts w:hint="eastAsia" w:ascii="方正小标宋简体" w:hAnsi="方正小标宋简体" w:eastAsia="方正小标宋简体" w:cs="方正小标宋简体"/>
          <w:sz w:val="28"/>
          <w:szCs w:val="28"/>
        </w:rPr>
      </w:pPr>
    </w:p>
    <w:p>
      <w:pPr>
        <w:tabs>
          <w:tab w:val="left" w:pos="6645"/>
        </w:tabs>
        <w:snapToGrid w:val="0"/>
        <w:spacing w:line="360" w:lineRule="auto"/>
        <w:jc w:val="center"/>
        <w:textAlignment w:val="baseline"/>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反商业贿赂承诺书</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二、本厂家、商家、公司保证在药品、医疗器械、设备、物资、基建工程竞标工作及药品、试剂销售等工作中承诺做到：</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1.不与其他投标人相互串通投标报价，损害贵院的合法权益；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2.不与招标人串通投标，损害国家利益、社会公共利益或他人的合法权益；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3.不以向招标人或者评标委员会成员行贿的手段谋取中标；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4.竞标报价不违反相关法律的规定，也不以他人名义投标或者以其他方式弄虚作假，骗取中标；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5.保证不以其他任何方式扰乱贵院的招标工作；</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6.保证不在药品销售、医疗器械、设备、物资、基建工程竞标中采取账外暗中给予回扣的手段腐蚀、贿赂医护、药剂人员、干部等其他相关人员；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8.保证不让贵院临床科室、药剂部门以及有关人员登记、统计医生处方或为此提供方便，干扰贵院的正常工作秩序；</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9.保证不以其他任何不正当竞争手段推销药品、医疗器械、设备、物资。</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三、本厂家、商家、公司保证竭力维护贵院的声誉，不做任何有损贵院形象的事情。</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五、对本厂家、商家、公司及本厂家、商家、公司工作人员采取以上手段竞标、促销等，干扰贵院正常工作秩序，损害贵院形象的，本厂家、商家、公司保证：</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1.对尚处在竞标阶段的，贵院有权取消本厂家、商家、公司的竞标资格；已经中标的，贵院有权取消中标；对已经获得准入资格的，贵院有权随时取消本厂家、商家、公司的准入资格；</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2.对本厂家、商家、公司相关工作人员作出严肃处理；</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3.对由于本厂家、商家、公司或本厂家、商家、公司工作人员的上述行为给贵院造成经济或名誉损失的，由本厂家、商家、公司负责，并愿意承担全部民事赔偿责任。</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 xml:space="preserve">六、 采购物资名称：                                   </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本《承诺书》一式二份（一份由承诺人自存；一份随竞价书传递）</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 xml:space="preserve">承诺企业名称（公章）：                </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法人代表或委托代理人（承诺人）：</w:t>
      </w:r>
    </w:p>
    <w:p>
      <w:pPr>
        <w:pStyle w:val="4"/>
        <w:spacing w:line="360" w:lineRule="auto"/>
        <w:rPr>
          <w:rFonts w:hint="eastAsia" w:ascii="宋体" w:hAnsi="宋体" w:cs="宋体"/>
          <w:b/>
          <w:bCs/>
          <w:sz w:val="24"/>
          <w:szCs w:val="24"/>
        </w:rPr>
      </w:pPr>
    </w:p>
    <w:p>
      <w:pPr>
        <w:pStyle w:val="5"/>
        <w:rPr>
          <w:rFonts w:hint="eastAsia"/>
        </w:rPr>
      </w:pPr>
    </w:p>
    <w:p>
      <w:pPr>
        <w:spacing w:line="360" w:lineRule="auto"/>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供应商遵守招标采购纪律承诺书</w:t>
      </w:r>
    </w:p>
    <w:p>
      <w:pPr>
        <w:spacing w:line="360" w:lineRule="auto"/>
        <w:rPr>
          <w:rFonts w:hint="eastAsia" w:ascii="宋体" w:hAnsi="宋体" w:cs="宋体"/>
          <w:sz w:val="24"/>
          <w:szCs w:val="24"/>
        </w:rPr>
      </w:pPr>
      <w:r>
        <w:rPr>
          <w:rFonts w:hint="eastAsia" w:ascii="宋体" w:hAnsi="宋体" w:cs="宋体"/>
          <w:sz w:val="24"/>
          <w:szCs w:val="24"/>
        </w:rPr>
        <w:t>致四川省妇幼保健院：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我单位作为本次采购项目的供应商，根据响应文件要求，现郑重承诺如下：</w:t>
      </w:r>
    </w:p>
    <w:p>
      <w:pPr>
        <w:spacing w:line="360" w:lineRule="auto"/>
        <w:rPr>
          <w:rFonts w:hint="eastAsia" w:ascii="宋体" w:hAnsi="宋体" w:cs="宋体"/>
          <w:sz w:val="24"/>
          <w:szCs w:val="24"/>
        </w:rPr>
      </w:pPr>
      <w:r>
        <w:rPr>
          <w:rFonts w:hint="eastAsia" w:ascii="宋体" w:hAnsi="宋体" w:cs="宋体"/>
          <w:sz w:val="24"/>
          <w:szCs w:val="24"/>
        </w:rPr>
        <w:t>一、参加本次采购活动，我单位不存在与单位负责人为同一人或者存在直接控股、管理关系的其他供应商参与同一合同项下的采购活动的行为。</w:t>
      </w:r>
    </w:p>
    <w:p>
      <w:pPr>
        <w:spacing w:line="360" w:lineRule="auto"/>
        <w:rPr>
          <w:rFonts w:hint="eastAsia" w:ascii="宋体" w:hAnsi="宋体" w:cs="宋体"/>
          <w:sz w:val="24"/>
          <w:szCs w:val="24"/>
        </w:rPr>
      </w:pPr>
      <w:r>
        <w:rPr>
          <w:rFonts w:hint="eastAsia" w:ascii="宋体" w:hAnsi="宋体" w:cs="宋体"/>
          <w:sz w:val="24"/>
          <w:szCs w:val="24"/>
        </w:rPr>
        <w:t>二、参加本次采购活动，不得直接或者间接从采购人或者采购代理机构处获得其他供应商的相关情况并修改其投标文件或者响应文件。</w:t>
      </w:r>
    </w:p>
    <w:p>
      <w:pPr>
        <w:spacing w:line="360" w:lineRule="auto"/>
        <w:rPr>
          <w:rFonts w:hint="eastAsia" w:ascii="宋体" w:hAnsi="宋体" w:cs="宋体"/>
          <w:sz w:val="24"/>
          <w:szCs w:val="24"/>
        </w:rPr>
      </w:pPr>
      <w:r>
        <w:rPr>
          <w:rFonts w:hint="eastAsia" w:ascii="宋体" w:hAnsi="宋体" w:cs="宋体"/>
          <w:sz w:val="24"/>
          <w:szCs w:val="24"/>
        </w:rPr>
        <w:t>三、参加本次采购活动，不得按照采购人的授意撤换、修改投标文件或者响应文件。</w:t>
      </w:r>
    </w:p>
    <w:p>
      <w:pPr>
        <w:spacing w:line="360" w:lineRule="auto"/>
        <w:rPr>
          <w:rFonts w:hint="eastAsia" w:ascii="宋体" w:hAnsi="宋体" w:cs="宋体"/>
          <w:sz w:val="24"/>
          <w:szCs w:val="24"/>
        </w:rPr>
      </w:pPr>
      <w:r>
        <w:rPr>
          <w:rFonts w:hint="eastAsia" w:ascii="宋体" w:hAnsi="宋体" w:cs="宋体"/>
          <w:sz w:val="24"/>
          <w:szCs w:val="24"/>
        </w:rPr>
        <w:t>四、参加本次采购活动，不得和本次采购供应商之间协商报价、技术方案等投标文件或者响应文件的实质性内容。</w:t>
      </w:r>
    </w:p>
    <w:p>
      <w:pPr>
        <w:spacing w:line="360" w:lineRule="auto"/>
        <w:rPr>
          <w:rFonts w:hint="eastAsia" w:ascii="宋体" w:hAnsi="宋体" w:cs="宋体"/>
          <w:sz w:val="24"/>
          <w:szCs w:val="24"/>
        </w:rPr>
      </w:pPr>
      <w:r>
        <w:rPr>
          <w:rFonts w:hint="eastAsia" w:ascii="宋体" w:hAnsi="宋体" w:cs="宋体"/>
          <w:sz w:val="24"/>
          <w:szCs w:val="24"/>
        </w:rPr>
        <w:t>五、本次采购活动中，不存在属于同一集团、协会、商会等组织成员的供应商按照该组织要求协同参加本次采购活动。</w:t>
      </w:r>
    </w:p>
    <w:p>
      <w:pPr>
        <w:spacing w:line="360" w:lineRule="auto"/>
        <w:rPr>
          <w:rFonts w:hint="eastAsia" w:ascii="宋体" w:hAnsi="宋体" w:cs="宋体"/>
          <w:sz w:val="24"/>
          <w:szCs w:val="24"/>
        </w:rPr>
      </w:pPr>
      <w:r>
        <w:rPr>
          <w:rFonts w:hint="eastAsia" w:ascii="宋体" w:hAnsi="宋体" w:cs="宋体"/>
          <w:sz w:val="24"/>
          <w:szCs w:val="24"/>
        </w:rPr>
        <w:t>六、参加本次采购活动，不存在与其他供应商之间事先约定由某一特定供应商中标、成交。</w:t>
      </w:r>
    </w:p>
    <w:p>
      <w:pPr>
        <w:spacing w:line="360" w:lineRule="auto"/>
        <w:rPr>
          <w:rFonts w:hint="eastAsia" w:ascii="宋体" w:hAnsi="宋体" w:cs="宋体"/>
          <w:sz w:val="24"/>
          <w:szCs w:val="24"/>
        </w:rPr>
      </w:pPr>
      <w:r>
        <w:rPr>
          <w:rFonts w:hint="eastAsia" w:ascii="宋体" w:hAnsi="宋体" w:cs="宋体"/>
          <w:sz w:val="24"/>
          <w:szCs w:val="24"/>
        </w:rPr>
        <w:t>七、参加本次采购活动，不存在与其他供应商商定部分供应商放弃参加采购活动或者放弃中标、成交。</w:t>
      </w:r>
    </w:p>
    <w:p>
      <w:pPr>
        <w:spacing w:line="360" w:lineRule="auto"/>
        <w:rPr>
          <w:rFonts w:hint="eastAsia" w:ascii="宋体" w:hAnsi="宋体" w:cs="宋体"/>
          <w:sz w:val="24"/>
          <w:szCs w:val="24"/>
        </w:rPr>
      </w:pPr>
      <w:r>
        <w:rPr>
          <w:rFonts w:hint="eastAsia" w:ascii="宋体" w:hAnsi="宋体" w:cs="宋体"/>
          <w:sz w:val="24"/>
          <w:szCs w:val="24"/>
        </w:rPr>
        <w:t>八、参加本次采购活动，不存在我单位的投标文件或者响应文件由其他参与本项目的单位或个人编制或委托办理投标事宜。</w:t>
      </w:r>
    </w:p>
    <w:p>
      <w:pPr>
        <w:spacing w:line="360" w:lineRule="auto"/>
        <w:rPr>
          <w:rFonts w:hint="eastAsia" w:ascii="宋体" w:hAnsi="宋体" w:cs="宋体"/>
          <w:sz w:val="24"/>
          <w:szCs w:val="24"/>
        </w:rPr>
      </w:pPr>
      <w:r>
        <w:rPr>
          <w:rFonts w:hint="eastAsia" w:ascii="宋体" w:hAnsi="宋体" w:cs="宋体"/>
          <w:sz w:val="24"/>
          <w:szCs w:val="24"/>
        </w:rPr>
        <w:t>九、参加本次采购活动，不存在我单位与采购人之间、供应商相互之间，为谋求特定供应商中标、成交或者排斥其他供应商的其他串通行为。</w:t>
      </w:r>
    </w:p>
    <w:p>
      <w:pPr>
        <w:spacing w:line="360" w:lineRule="auto"/>
        <w:rPr>
          <w:rFonts w:hint="eastAsia" w:ascii="宋体" w:hAnsi="宋体" w:cs="宋体"/>
          <w:sz w:val="24"/>
          <w:szCs w:val="24"/>
        </w:rPr>
      </w:pPr>
      <w:r>
        <w:rPr>
          <w:rFonts w:hint="eastAsia" w:ascii="宋体" w:hAnsi="宋体" w:cs="宋体"/>
          <w:sz w:val="24"/>
          <w:szCs w:val="24"/>
        </w:rPr>
        <w:t>十、与我方存在直接控股关系的单位为：XXX；存在管理关系单位为：XXX。</w:t>
      </w:r>
    </w:p>
    <w:p>
      <w:pPr>
        <w:spacing w:line="360" w:lineRule="auto"/>
        <w:rPr>
          <w:rFonts w:hint="eastAsia" w:ascii="宋体" w:hAnsi="宋体" w:cs="宋体"/>
          <w:sz w:val="24"/>
          <w:szCs w:val="24"/>
        </w:rPr>
      </w:pPr>
      <w:r>
        <w:rPr>
          <w:rFonts w:hint="eastAsia" w:ascii="宋体" w:hAnsi="宋体" w:cs="宋体"/>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spacing w:line="360" w:lineRule="auto"/>
        <w:rPr>
          <w:rFonts w:hint="eastAsia" w:ascii="宋体" w:hAnsi="宋体" w:cs="宋体"/>
          <w:sz w:val="24"/>
          <w:szCs w:val="24"/>
        </w:rPr>
      </w:pPr>
      <w:r>
        <w:rPr>
          <w:rFonts w:hint="eastAsia" w:ascii="宋体" w:hAnsi="宋体" w:cs="宋体"/>
          <w:sz w:val="24"/>
          <w:szCs w:val="24"/>
        </w:rPr>
        <w:t xml:space="preserve">供应商名称（单位公章）：                          </w:t>
      </w:r>
    </w:p>
    <w:p>
      <w:pPr>
        <w:spacing w:line="360" w:lineRule="auto"/>
        <w:rPr>
          <w:rFonts w:hint="eastAsia" w:ascii="宋体" w:hAnsi="宋体" w:cs="宋体"/>
          <w:sz w:val="24"/>
          <w:szCs w:val="24"/>
        </w:rPr>
      </w:pPr>
      <w:r>
        <w:rPr>
          <w:rFonts w:hint="eastAsia" w:ascii="宋体" w:hAnsi="宋体" w:cs="宋体"/>
          <w:sz w:val="24"/>
          <w:szCs w:val="24"/>
        </w:rPr>
        <w:t>法定代表人/单位负责人或授权代表（签字或加盖个人名章）：</w:t>
      </w:r>
    </w:p>
    <w:p>
      <w:pPr>
        <w:ind w:firstLine="6720" w:firstLineChars="2800"/>
        <w:rPr>
          <w:rFonts w:hint="eastAsia" w:ascii="仿宋_GB2312" w:hAnsi="宋体" w:eastAsia="仿宋_GB2312" w:cs="宋体"/>
          <w:color w:val="000000"/>
          <w:kern w:val="0"/>
          <w:sz w:val="24"/>
        </w:rPr>
      </w:pPr>
      <w:r>
        <w:rPr>
          <w:rFonts w:hint="eastAsia" w:ascii="宋体" w:hAnsi="宋体" w:cs="宋体"/>
          <w:sz w:val="24"/>
          <w:szCs w:val="24"/>
        </w:rPr>
        <w:t>年   月   日</w:t>
      </w:r>
    </w:p>
    <w:p>
      <w:pPr>
        <w:widowControl/>
        <w:spacing w:line="360" w:lineRule="auto"/>
        <w:ind w:firstLine="480"/>
        <w:jc w:val="left"/>
        <w:rPr>
          <w:rFonts w:ascii="仿宋_GB2312" w:hAnsi="宋体" w:eastAsia="仿宋_GB2312" w:cs="宋体"/>
          <w:color w:val="333333"/>
          <w:kern w:val="0"/>
          <w:sz w:val="24"/>
        </w:rPr>
      </w:pPr>
    </w:p>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Theme="minorEastAsia" w:hAnsiTheme="minorEastAsia" w:eastAsiaTheme="minorEastAsia" w:cstheme="minorEastAsia"/>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C73D4E"/>
    <w:multiLevelType w:val="multilevel"/>
    <w:tmpl w:val="9EC73D4E"/>
    <w:lvl w:ilvl="0" w:tentative="0">
      <w:start w:val="1"/>
      <w:numFmt w:val="decimal"/>
      <w:lvlText w:val="%1."/>
      <w:lvlJc w:val="left"/>
      <w:pPr>
        <w:tabs>
          <w:tab w:val="left" w:pos="720"/>
        </w:tabs>
        <w:ind w:left="720" w:hanging="360"/>
      </w:pPr>
      <w:rPr>
        <w:rFonts w:hint="default"/>
        <w:sz w:val="28"/>
        <w:szCs w:val="28"/>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1C27D22"/>
    <w:multiLevelType w:val="multilevel"/>
    <w:tmpl w:val="B1C27D2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5151F"/>
    <w:rsid w:val="22BD0E9F"/>
    <w:rsid w:val="2975151F"/>
    <w:rsid w:val="46613A18"/>
    <w:rsid w:val="4A7E43CF"/>
    <w:rsid w:val="6AD773BC"/>
    <w:rsid w:val="6E881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4">
    <w:name w:val="Body Text"/>
    <w:basedOn w:val="1"/>
    <w:next w:val="5"/>
    <w:qFormat/>
    <w:uiPriority w:val="0"/>
    <w:rPr>
      <w:rFonts w:ascii="华文中宋" w:eastAsia="华文中宋"/>
      <w:bCs/>
      <w:sz w:val="28"/>
    </w:rPr>
  </w:style>
  <w:style w:type="paragraph" w:styleId="5">
    <w:name w:val="Body Text First Indent"/>
    <w:basedOn w:val="4"/>
    <w:next w:val="1"/>
    <w:qFormat/>
    <w:uiPriority w:val="0"/>
    <w:pPr>
      <w:spacing w:line="312" w:lineRule="auto"/>
      <w:ind w:firstLine="42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2026-09-23T07:15:00Z</dcterms:created>
  <dc:creator>天啊娃娃</dc:creator>
  <cp:lastModifiedBy>Admin</cp:lastModifiedBy>
  <dcterms:modified xsi:type="dcterms:W3CDTF">2026-09-23T07:51:43Z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7C85B722E05C4FA4BAEE8E15AEE644C2_11</vt:lpwstr>
  </property>
  <property fmtid="{D5CDD505-2E9C-101B-9397-08002B2CF9AE}" pid="4" name="KSOTemplateDocerSaveRecord">
    <vt:lpwstr>eyJoZGlkIjoiMmJhNDdhMTA3MmJiYWIxMWY0YjE1MTgyNzljMmRmYzgiLCJ1c2VySWQiOiI3NDg0NTEyMzEifQ==</vt:lpwstr>
  </property>
</Properties>
</file>