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numPr>
          <w:numId w:val="0"/>
        </w:numPr>
        <w:tabs>
          <w:tab w:val="left" w:pos="3573"/>
        </w:tabs>
        <w:spacing w:line="360" w:lineRule="auto"/>
        <w:jc w:val="center"/>
        <w:rPr>
          <w:rFonts w:hint="default" w:ascii="黑体" w:hAnsi="黑体" w:eastAsia="黑体" w:cs="仿宋_GB2312"/>
          <w:b/>
          <w:bCs/>
          <w:color w:val="000000"/>
          <w:kern w:val="2"/>
          <w:sz w:val="32"/>
          <w:szCs w:val="32"/>
          <w:lang w:val="en-US" w:eastAsia="zh-CN" w:bidi="ar-SA"/>
        </w:rPr>
      </w:pPr>
      <w:r>
        <w:rPr>
          <w:rFonts w:hint="eastAsia" w:ascii="黑体" w:hAnsi="黑体" w:eastAsia="黑体" w:cs="仿宋_GB2312"/>
          <w:b/>
          <w:bCs/>
          <w:color w:val="000000"/>
          <w:kern w:val="2"/>
          <w:sz w:val="32"/>
          <w:szCs w:val="32"/>
          <w:lang w:val="en-US" w:eastAsia="zh-CN" w:bidi="ar-SA"/>
        </w:rPr>
        <w:t>采购项目需求</w:t>
      </w:r>
    </w:p>
    <w:p>
      <w:pPr>
        <w:widowControl/>
        <w:numPr>
          <w:numId w:val="0"/>
        </w:numPr>
        <w:tabs>
          <w:tab w:val="left" w:pos="3573"/>
        </w:tabs>
        <w:spacing w:line="360" w:lineRule="auto"/>
        <w:jc w:val="left"/>
        <w:rPr>
          <w:rFonts w:hint="eastAsia" w:ascii="黑体" w:hAnsi="黑体" w:eastAsia="黑体" w:cs="仿宋_GB2312"/>
          <w:b/>
          <w:bCs/>
          <w:color w:val="000000"/>
          <w:kern w:val="2"/>
          <w:sz w:val="24"/>
          <w:szCs w:val="24"/>
          <w:lang w:val="en-US" w:eastAsia="zh-CN" w:bidi="ar-SA"/>
        </w:rPr>
      </w:pPr>
    </w:p>
    <w:p>
      <w:pPr>
        <w:widowControl/>
        <w:numPr>
          <w:ilvl w:val="0"/>
          <w:numId w:val="2"/>
        </w:numPr>
        <w:tabs>
          <w:tab w:val="left" w:pos="3573"/>
        </w:tabs>
        <w:spacing w:line="360" w:lineRule="auto"/>
        <w:ind w:firstLine="482" w:firstLineChars="200"/>
        <w:jc w:val="left"/>
        <w:rPr>
          <w:rFonts w:hint="eastAsia" w:ascii="黑体" w:hAnsi="黑体" w:eastAsia="黑体"/>
          <w:color w:val="000000"/>
          <w:sz w:val="24"/>
          <w:szCs w:val="24"/>
        </w:rPr>
      </w:pPr>
      <w:r>
        <w:rPr>
          <w:rFonts w:hint="eastAsia" w:ascii="黑体" w:hAnsi="黑体" w:eastAsia="黑体" w:cs="仿宋_GB2312"/>
          <w:b/>
          <w:bCs/>
          <w:color w:val="000000"/>
          <w:kern w:val="2"/>
          <w:sz w:val="24"/>
          <w:szCs w:val="24"/>
          <w:lang w:val="en-US" w:eastAsia="zh-CN" w:bidi="ar-SA"/>
        </w:rPr>
        <w:t>项目名称：</w:t>
      </w:r>
      <w:r>
        <w:rPr>
          <w:rFonts w:hint="eastAsia" w:ascii="黑体" w:hAnsi="黑体" w:eastAsia="黑体"/>
          <w:color w:val="000000"/>
          <w:sz w:val="24"/>
          <w:szCs w:val="24"/>
        </w:rPr>
        <w:t>2026年晋阳院区住院医技综合楼建设项目产权办理等历史遗留问题</w:t>
      </w:r>
      <w:r>
        <w:rPr>
          <w:rFonts w:hint="eastAsia" w:ascii="黑体" w:hAnsi="黑体" w:eastAsia="黑体"/>
          <w:color w:val="000000"/>
          <w:sz w:val="24"/>
          <w:szCs w:val="24"/>
          <w:lang w:val="en-US" w:eastAsia="zh-CN"/>
        </w:rPr>
        <w:t>技术</w:t>
      </w:r>
      <w:r>
        <w:rPr>
          <w:rFonts w:hint="eastAsia" w:ascii="黑体" w:hAnsi="黑体" w:eastAsia="黑体"/>
          <w:color w:val="000000"/>
          <w:sz w:val="24"/>
          <w:szCs w:val="24"/>
        </w:rPr>
        <w:t>咨询服务项目</w:t>
      </w:r>
    </w:p>
    <w:p>
      <w:pPr>
        <w:widowControl/>
        <w:tabs>
          <w:tab w:val="left" w:pos="3573"/>
        </w:tabs>
        <w:spacing w:line="360" w:lineRule="auto"/>
        <w:ind w:firstLine="482" w:firstLineChars="200"/>
        <w:jc w:val="left"/>
        <w:rPr>
          <w:rFonts w:hint="eastAsia" w:ascii="黑体" w:hAnsi="黑体" w:eastAsia="黑体" w:cs="仿宋_GB2312"/>
          <w:b/>
          <w:bCs/>
          <w:color w:val="000000"/>
          <w:kern w:val="2"/>
          <w:sz w:val="24"/>
          <w:szCs w:val="24"/>
          <w:lang w:val="en-US" w:eastAsia="zh-CN" w:bidi="ar-SA"/>
        </w:rPr>
      </w:pPr>
      <w:r>
        <w:rPr>
          <w:rFonts w:hint="eastAsia" w:ascii="黑体" w:hAnsi="黑体" w:eastAsia="黑体" w:cs="仿宋_GB2312"/>
          <w:b/>
          <w:bCs/>
          <w:color w:val="000000"/>
          <w:kern w:val="2"/>
          <w:sz w:val="24"/>
          <w:szCs w:val="24"/>
          <w:lang w:val="en-US" w:eastAsia="zh-CN" w:bidi="ar-SA"/>
        </w:rPr>
        <w:t>二、★技术要求：</w:t>
      </w:r>
    </w:p>
    <w:p>
      <w:pPr>
        <w:pStyle w:val="7"/>
        <w:numPr>
          <w:numId w:val="0"/>
        </w:numPr>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1.供应商办理并通过行政主管部门对晋阳院区住院医技综合楼建设项目工程规划验收、并联验收及竣工验收备案、产权，提供技术咨询服务，不包含施工整改内容。</w:t>
      </w:r>
    </w:p>
    <w:p>
      <w:pPr>
        <w:pStyle w:val="7"/>
        <w:numPr>
          <w:numId w:val="0"/>
        </w:numPr>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2.供应商完成上一条办理过程中涉及的所有四川省妇幼保健院晋阳院区的规划及建筑竣工测绘（多测合一）的工作内容。</w:t>
      </w:r>
    </w:p>
    <w:p>
      <w:pPr>
        <w:widowControl/>
        <w:tabs>
          <w:tab w:val="left" w:pos="3573"/>
        </w:tabs>
        <w:spacing w:line="360" w:lineRule="auto"/>
        <w:ind w:firstLine="482" w:firstLineChars="200"/>
        <w:jc w:val="left"/>
        <w:rPr>
          <w:rFonts w:hint="eastAsia" w:ascii="黑体" w:hAnsi="黑体" w:eastAsia="黑体" w:cs="仿宋_GB2312"/>
          <w:b/>
          <w:bCs/>
          <w:color w:val="000000"/>
          <w:kern w:val="2"/>
          <w:sz w:val="24"/>
          <w:szCs w:val="24"/>
          <w:lang w:val="en-US" w:eastAsia="zh-CN" w:bidi="ar-SA"/>
        </w:rPr>
      </w:pPr>
      <w:r>
        <w:rPr>
          <w:rFonts w:hint="eastAsia" w:ascii="黑体" w:hAnsi="黑体" w:eastAsia="黑体" w:cs="仿宋_GB2312"/>
          <w:b/>
          <w:bCs/>
          <w:color w:val="000000"/>
          <w:kern w:val="2"/>
          <w:sz w:val="24"/>
          <w:szCs w:val="24"/>
          <w:lang w:val="en-US" w:eastAsia="zh-CN" w:bidi="ar-SA"/>
        </w:rPr>
        <w:t>三、★商务要求：</w:t>
      </w:r>
    </w:p>
    <w:p>
      <w:pPr>
        <w:pStyle w:val="7"/>
        <w:spacing w:line="360" w:lineRule="auto"/>
        <w:ind w:firstLine="480" w:firstLineChars="200"/>
        <w:rPr>
          <w:rFonts w:hint="default"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1.项目最高限价：40万元</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2.服务期限：合同签订之日起1年。</w:t>
      </w:r>
    </w:p>
    <w:p>
      <w:pPr>
        <w:pStyle w:val="7"/>
        <w:spacing w:line="360" w:lineRule="auto"/>
        <w:ind w:firstLine="480" w:firstLineChars="200"/>
        <w:rPr>
          <w:rFonts w:hint="default"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工期：</w:t>
      </w:r>
      <w:bookmarkStart w:id="0" w:name="OLE_LINK1"/>
      <w:r>
        <w:rPr>
          <w:rFonts w:hint="eastAsia" w:ascii="黑体" w:hAnsi="黑体" w:eastAsia="黑体" w:cs="仿宋_GB2312"/>
          <w:b w:val="0"/>
          <w:bCs w:val="0"/>
          <w:color w:val="000000"/>
          <w:kern w:val="2"/>
          <w:sz w:val="24"/>
          <w:szCs w:val="24"/>
          <w:lang w:val="en-US" w:eastAsia="zh-CN" w:bidi="ar-SA"/>
        </w:rPr>
        <w:t>2027年3月31日前完成。</w:t>
      </w:r>
    </w:p>
    <w:bookmarkEnd w:id="0"/>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3.付款条件</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付款进度：合同签订后支付中标金额10%；提交正式测绘成果文件（各电子版1份、纸质6份）后支付中标金额40%；按工期取得产权证后支付中标金额 50%。</w:t>
      </w:r>
    </w:p>
    <w:p>
      <w:pPr>
        <w:pStyle w:val="7"/>
        <w:spacing w:line="360" w:lineRule="auto"/>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注：款项支付前提均为投标人向采购人出具等额有效的发票以及付款申请和相关凭证后，经采购人确认无误后在30个工作日办理款项支付事宜。</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4.违约责任</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1）投标人如存在可能影响中标、成交结果、合同履行的失信行为，将按合同总金额的5%扣除失信违约金，如果失信违约金不足以弥补医院损失的，由投标人向采购人足额赔偿经济损失。解决争议的方法，在合同履行过程中发生的争议，由双方当事人协商解决，协商不成的，依法向项目所在地人民法院起诉的方式解决。</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（2）投标人逾期未完成而违约的，除应及时完成外，应向采购人偿付中标金额的0.5‰/天的违约金；逾期超过30天仍未完成，采购人有权解除合同。</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（3）投标人偿付的违约金不足以弥补采购人实际损失的，投标人应当予以补足。投标人拒不支付违约金、赔偿款的，采购人有权从应付款中相应扣除。</w:t>
      </w:r>
    </w:p>
    <w:p>
      <w:pPr>
        <w:pStyle w:val="7"/>
        <w:spacing w:line="360" w:lineRule="auto"/>
        <w:ind w:firstLine="480" w:firstLineChars="200"/>
        <w:rPr>
          <w:rFonts w:hint="eastAsia" w:ascii="黑体" w:hAnsi="黑体" w:eastAsia="黑体" w:cs="仿宋_GB2312"/>
          <w:b w:val="0"/>
          <w:bCs w:val="0"/>
          <w:color w:val="000000"/>
          <w:kern w:val="2"/>
          <w:sz w:val="24"/>
          <w:szCs w:val="24"/>
          <w:lang w:val="en-US" w:eastAsia="zh-CN" w:bidi="ar-SA"/>
        </w:rPr>
      </w:pPr>
      <w:r>
        <w:rPr>
          <w:rFonts w:hint="eastAsia" w:ascii="黑体" w:hAnsi="黑体" w:eastAsia="黑体" w:cs="仿宋_GB2312"/>
          <w:b w:val="0"/>
          <w:bCs w:val="0"/>
          <w:color w:val="000000"/>
          <w:kern w:val="2"/>
          <w:sz w:val="24"/>
          <w:szCs w:val="24"/>
          <w:lang w:val="en-US" w:eastAsia="zh-CN" w:bidi="ar-SA"/>
        </w:rPr>
        <w:t>5.履约地点：成都市武侯区沙堰西二街290号</w:t>
      </w:r>
    </w:p>
    <w:p>
      <w:pPr>
        <w:pStyle w:val="7"/>
        <w:spacing w:line="360" w:lineRule="auto"/>
        <w:ind w:firstLine="482" w:firstLineChars="200"/>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四、采购方式</w:t>
      </w:r>
    </w:p>
    <w:p>
      <w:pPr>
        <w:numPr>
          <w:ilvl w:val="0"/>
          <w:numId w:val="0"/>
        </w:numPr>
        <w:spacing w:line="440" w:lineRule="exact"/>
        <w:ind w:firstLine="480" w:firstLineChars="200"/>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本次评审采用综合评分法。经磋商确定最终采购需求和提交最后报价的供应商后，由磋商小组采用综合评分法对提交最后报价的供应商的响应文件和最后报价进行综合评分。综合评分法，是指响应文件满足采购文件全部实质性要求且按评审因素的量化指标评审得分最高的供应商为成交候选供应商的评审方法。</w:t>
      </w:r>
    </w:p>
    <w:p>
      <w:pPr>
        <w:pStyle w:val="7"/>
        <w:spacing w:line="360" w:lineRule="auto"/>
        <w:ind w:firstLine="480" w:firstLineChars="200"/>
        <w:rPr>
          <w:rFonts w:hint="default" w:ascii="黑体" w:hAnsi="黑体" w:eastAsia="黑体" w:cs="仿宋_GB2312"/>
          <w:b w:val="0"/>
          <w:bCs w:val="0"/>
          <w:color w:val="000000"/>
          <w:kern w:val="2"/>
          <w:sz w:val="24"/>
          <w:szCs w:val="24"/>
          <w:lang w:val="en-US" w:eastAsia="zh-CN" w:bidi="ar-SA"/>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714"/>
        <w:gridCol w:w="488"/>
        <w:gridCol w:w="6275"/>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0" w:type="auto"/>
            <w:gridSpan w:val="5"/>
            <w:noWrap w:val="0"/>
            <w:vAlign w:val="center"/>
          </w:tcPr>
          <w:p>
            <w:pPr>
              <w:widowControl/>
              <w:spacing w:line="440" w:lineRule="exact"/>
              <w:jc w:val="center"/>
              <w:rPr>
                <w:rFonts w:ascii="黑体" w:hAnsi="黑体" w:eastAsia="黑体"/>
                <w:color w:val="000000"/>
                <w:sz w:val="24"/>
                <w:szCs w:val="24"/>
              </w:rPr>
            </w:pPr>
            <w:r>
              <w:rPr>
                <w:rFonts w:hint="eastAsia" w:ascii="黑体" w:hAnsi="黑体" w:eastAsia="黑体"/>
                <w:b/>
                <w:bCs/>
                <w:color w:val="000000"/>
                <w:sz w:val="24"/>
                <w:szCs w:val="24"/>
              </w:rPr>
              <w:t>评分实施细则（根据项目实际情况进行增减）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wordWrap w:val="0"/>
              <w:overflowPunct w:val="0"/>
              <w:topLinePunct/>
              <w:spacing w:line="24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序号</w:t>
            </w:r>
          </w:p>
        </w:tc>
        <w:tc>
          <w:tcPr>
            <w:tcW w:w="0" w:type="auto"/>
            <w:noWrap w:val="0"/>
            <w:vAlign w:val="center"/>
          </w:tcPr>
          <w:p>
            <w:pPr>
              <w:wordWrap w:val="0"/>
              <w:overflowPunct w:val="0"/>
              <w:topLinePunct/>
              <w:spacing w:line="24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评分因素</w:t>
            </w:r>
          </w:p>
        </w:tc>
        <w:tc>
          <w:tcPr>
            <w:tcW w:w="0" w:type="auto"/>
            <w:noWrap w:val="0"/>
            <w:vAlign w:val="center"/>
          </w:tcPr>
          <w:p>
            <w:pPr>
              <w:wordWrap w:val="0"/>
              <w:overflowPunct w:val="0"/>
              <w:topLinePunct/>
              <w:spacing w:line="24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分值</w:t>
            </w:r>
          </w:p>
        </w:tc>
        <w:tc>
          <w:tcPr>
            <w:tcW w:w="0" w:type="auto"/>
            <w:noWrap w:val="0"/>
            <w:vAlign w:val="center"/>
          </w:tcPr>
          <w:p>
            <w:pPr>
              <w:wordWrap w:val="0"/>
              <w:overflowPunct w:val="0"/>
              <w:topLinePunct/>
              <w:spacing w:line="240" w:lineRule="auto"/>
              <w:jc w:val="center"/>
              <w:textAlignment w:val="center"/>
              <w:rPr>
                <w:rFonts w:hint="eastAsia" w:ascii="黑体" w:hAnsi="黑体" w:eastAsia="黑体" w:cs="黑体"/>
                <w:bCs/>
                <w:szCs w:val="21"/>
              </w:rPr>
            </w:pPr>
            <w:r>
              <w:rPr>
                <w:rFonts w:hint="eastAsia" w:ascii="黑体" w:hAnsi="黑体" w:eastAsia="黑体" w:cs="黑体"/>
                <w:bCs/>
                <w:szCs w:val="21"/>
              </w:rPr>
              <w:t>评分标准</w:t>
            </w:r>
          </w:p>
        </w:tc>
        <w:tc>
          <w:tcPr>
            <w:tcW w:w="0" w:type="auto"/>
            <w:noWrap w:val="0"/>
            <w:vAlign w:val="center"/>
          </w:tcPr>
          <w:p>
            <w:pPr>
              <w:wordWrap w:val="0"/>
              <w:overflowPunct w:val="0"/>
              <w:topLinePunct/>
              <w:spacing w:line="240" w:lineRule="auto"/>
              <w:jc w:val="center"/>
              <w:textAlignment w:val="center"/>
              <w:rPr>
                <w:rFonts w:ascii="黑体" w:hAnsi="黑体" w:eastAsia="黑体" w:cs="黑体"/>
                <w:bCs/>
                <w:szCs w:val="21"/>
              </w:rPr>
            </w:pPr>
            <w:r>
              <w:rPr>
                <w:rFonts w:hint="eastAsia" w:ascii="黑体" w:hAnsi="黑体" w:eastAsia="黑体" w:cs="黑体"/>
                <w:bCs/>
                <w:szCs w:val="21"/>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trPr>
        <w:tc>
          <w:tcPr>
            <w:tcW w:w="0" w:type="auto"/>
            <w:noWrap w:val="0"/>
            <w:vAlign w:val="center"/>
          </w:tcPr>
          <w:p>
            <w:pPr>
              <w:spacing w:line="360" w:lineRule="auto"/>
              <w:ind w:firstLine="28"/>
              <w:jc w:val="center"/>
              <w:rPr>
                <w:rFonts w:hint="eastAsia" w:ascii="黑体" w:hAnsi="黑体" w:eastAsia="黑体" w:cs="黑体"/>
                <w:bCs/>
                <w:sz w:val="24"/>
                <w:szCs w:val="24"/>
              </w:rPr>
            </w:pPr>
            <w:r>
              <w:rPr>
                <w:rFonts w:hint="eastAsia" w:ascii="黑体" w:hAnsi="黑体" w:eastAsia="黑体" w:cs="黑体"/>
                <w:szCs w:val="21"/>
              </w:rPr>
              <w:t>1</w:t>
            </w:r>
          </w:p>
        </w:tc>
        <w:tc>
          <w:tcPr>
            <w:tcW w:w="0" w:type="auto"/>
            <w:noWrap w:val="0"/>
            <w:vAlign w:val="center"/>
          </w:tcPr>
          <w:p>
            <w:pPr>
              <w:spacing w:line="360" w:lineRule="auto"/>
              <w:jc w:val="center"/>
              <w:rPr>
                <w:rFonts w:hint="eastAsia" w:ascii="黑体" w:hAnsi="黑体" w:eastAsia="黑体" w:cs="黑体"/>
                <w:bCs/>
                <w:sz w:val="24"/>
                <w:szCs w:val="24"/>
              </w:rPr>
            </w:pPr>
            <w:r>
              <w:rPr>
                <w:rFonts w:hint="eastAsia" w:ascii="黑体" w:hAnsi="黑体" w:eastAsia="黑体" w:cs="黑体"/>
                <w:bCs/>
                <w:sz w:val="24"/>
                <w:szCs w:val="24"/>
              </w:rPr>
              <w:t>报价</w:t>
            </w:r>
          </w:p>
        </w:tc>
        <w:tc>
          <w:tcPr>
            <w:tcW w:w="0" w:type="auto"/>
            <w:noWrap w:val="0"/>
            <w:vAlign w:val="center"/>
          </w:tcPr>
          <w:p>
            <w:pPr>
              <w:spacing w:line="360" w:lineRule="auto"/>
              <w:jc w:val="center"/>
              <w:rPr>
                <w:rFonts w:hint="default" w:ascii="黑体" w:hAnsi="黑体" w:eastAsia="黑体" w:cs="黑体"/>
                <w:bCs/>
                <w:sz w:val="24"/>
                <w:szCs w:val="24"/>
                <w:lang w:val="en-US" w:eastAsia="zh-CN"/>
              </w:rPr>
            </w:pPr>
            <w:r>
              <w:rPr>
                <w:rFonts w:hint="eastAsia" w:ascii="黑体" w:hAnsi="黑体" w:eastAsia="黑体" w:cs="黑体"/>
                <w:bCs/>
                <w:sz w:val="24"/>
                <w:szCs w:val="24"/>
                <w:lang w:val="en-US" w:eastAsia="zh-CN"/>
              </w:rPr>
              <w:t>10</w:t>
            </w:r>
          </w:p>
        </w:tc>
        <w:tc>
          <w:tcPr>
            <w:tcW w:w="0" w:type="auto"/>
            <w:noWrap w:val="0"/>
            <w:vAlign w:val="center"/>
          </w:tcPr>
          <w:p>
            <w:pPr>
              <w:spacing w:line="360" w:lineRule="auto"/>
              <w:rPr>
                <w:rFonts w:hint="eastAsia" w:ascii="黑体" w:hAnsi="黑体" w:eastAsia="黑体" w:cs="黑体"/>
                <w:bCs/>
                <w:sz w:val="24"/>
                <w:szCs w:val="24"/>
              </w:rPr>
            </w:pPr>
            <w:r>
              <w:rPr>
                <w:rFonts w:hint="eastAsia" w:ascii="黑体" w:hAnsi="黑体" w:eastAsia="黑体" w:cs="黑体"/>
                <w:bCs/>
                <w:sz w:val="21"/>
                <w:szCs w:val="21"/>
              </w:rPr>
              <w:t>1. 经</w:t>
            </w:r>
            <w:r>
              <w:rPr>
                <w:rFonts w:hint="eastAsia" w:ascii="黑体" w:hAnsi="黑体" w:eastAsia="黑体" w:cs="黑体"/>
                <w:bCs/>
                <w:sz w:val="21"/>
                <w:szCs w:val="21"/>
                <w:highlight w:val="none"/>
              </w:rPr>
              <w:t>评标委员会评审，通过资格和符合性审查，且投标报价</w:t>
            </w:r>
            <w:r>
              <w:rPr>
                <w:rFonts w:hint="eastAsia" w:ascii="黑体" w:hAnsi="黑体" w:eastAsia="黑体" w:cs="黑体"/>
                <w:bCs/>
                <w:sz w:val="21"/>
                <w:szCs w:val="21"/>
              </w:rPr>
              <w:t>最低的投标人的投标报价作为评标基准价。2.投标报价得分=(评标基准价／投标报价)×分值。评审价格=响应报价。</w:t>
            </w:r>
          </w:p>
        </w:tc>
        <w:tc>
          <w:tcPr>
            <w:tcW w:w="0" w:type="auto"/>
            <w:noWrap w:val="0"/>
            <w:vAlign w:val="center"/>
          </w:tcPr>
          <w:p>
            <w:pPr>
              <w:spacing w:line="360" w:lineRule="auto"/>
              <w:jc w:val="center"/>
              <w:rPr>
                <w:rFonts w:hint="eastAsia" w:ascii="黑体" w:hAnsi="黑体" w:eastAsia="黑体" w:cs="黑体"/>
                <w:bCs/>
                <w:sz w:val="24"/>
                <w:szCs w:val="24"/>
              </w:rPr>
            </w:pPr>
            <w:r>
              <w:rPr>
                <w:rFonts w:hint="eastAsia" w:ascii="黑体" w:hAnsi="黑体" w:eastAsia="黑体" w:cs="黑体"/>
                <w:bCs/>
                <w:sz w:val="24"/>
                <w:szCs w:val="24"/>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spacing w:line="360" w:lineRule="auto"/>
              <w:ind w:firstLine="28"/>
              <w:jc w:val="center"/>
              <w:rPr>
                <w:rFonts w:hint="default" w:ascii="黑体" w:hAnsi="黑体" w:eastAsia="黑体" w:cs="黑体"/>
                <w:szCs w:val="21"/>
                <w:lang w:val="en-US" w:eastAsia="zh-CN"/>
              </w:rPr>
            </w:pPr>
            <w:r>
              <w:rPr>
                <w:rFonts w:hint="eastAsia" w:ascii="黑体" w:hAnsi="黑体" w:eastAsia="黑体" w:cs="黑体"/>
                <w:szCs w:val="21"/>
                <w:lang w:val="en-US" w:eastAsia="zh-CN"/>
              </w:rPr>
              <w:t>2</w:t>
            </w:r>
          </w:p>
        </w:tc>
        <w:tc>
          <w:tcPr>
            <w:tcW w:w="0" w:type="auto"/>
            <w:noWrap w:val="0"/>
            <w:vAlign w:val="center"/>
          </w:tcPr>
          <w:p>
            <w:pPr>
              <w:spacing w:line="360" w:lineRule="auto"/>
              <w:jc w:val="both"/>
              <w:rPr>
                <w:rFonts w:hint="eastAsia" w:ascii="黑体" w:hAnsi="黑体" w:eastAsia="黑体" w:cs="黑体"/>
                <w:szCs w:val="21"/>
              </w:rPr>
            </w:pPr>
            <w:r>
              <w:rPr>
                <w:rFonts w:hint="eastAsia" w:ascii="黑体" w:hAnsi="黑体" w:eastAsia="黑体" w:cs="黑体"/>
                <w:szCs w:val="21"/>
              </w:rPr>
              <w:t>项目主要人员配置</w:t>
            </w:r>
          </w:p>
        </w:tc>
        <w:tc>
          <w:tcPr>
            <w:tcW w:w="0" w:type="auto"/>
            <w:noWrap w:val="0"/>
            <w:vAlign w:val="center"/>
          </w:tcPr>
          <w:p>
            <w:pPr>
              <w:spacing w:line="360" w:lineRule="auto"/>
              <w:jc w:val="center"/>
              <w:rPr>
                <w:rFonts w:hint="default" w:ascii="黑体" w:hAnsi="黑体" w:eastAsia="黑体" w:cs="黑体"/>
                <w:szCs w:val="21"/>
                <w:lang w:val="en-US" w:eastAsia="zh-CN"/>
              </w:rPr>
            </w:pPr>
            <w:r>
              <w:rPr>
                <w:rFonts w:hint="eastAsia" w:ascii="黑体" w:hAnsi="黑体" w:eastAsia="黑体" w:cs="黑体"/>
                <w:szCs w:val="21"/>
                <w:lang w:val="en-US" w:eastAsia="zh-CN"/>
              </w:rPr>
              <w:t>50</w:t>
            </w:r>
          </w:p>
        </w:tc>
        <w:tc>
          <w:tcPr>
            <w:tcW w:w="0" w:type="auto"/>
            <w:noWrap w:val="0"/>
            <w:vAlign w:val="center"/>
          </w:tcPr>
          <w:p>
            <w:pPr>
              <w:keepNext w:val="0"/>
              <w:keepLines w:val="0"/>
              <w:pageBreakBefore w:val="0"/>
              <w:kinsoku/>
              <w:bidi w:val="0"/>
              <w:spacing w:line="360" w:lineRule="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1.项目负责人：持有一级注册城乡规划师资格证书得15分</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持有高级工程师证得5分，该项最多得20分；</w:t>
            </w:r>
          </w:p>
          <w:p>
            <w:pPr>
              <w:tabs>
                <w:tab w:val="left" w:pos="1050"/>
              </w:tabs>
              <w:spacing w:line="360" w:lineRule="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2.技术负责人：持有一级注册建筑师资格证书得5分，持有高级工程师证得5分，该项最多得10分；</w:t>
            </w:r>
          </w:p>
          <w:p>
            <w:pPr>
              <w:pStyle w:val="2"/>
              <w:ind w:left="0" w:leftChars="0" w:firstLine="0" w:firstLineChars="0"/>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3.现场负责人：持有一级注册建筑师资格证书得5分，持有中级工程师证及以上得5分，该项最多得10分；</w:t>
            </w:r>
          </w:p>
          <w:p>
            <w:pPr>
              <w:pStyle w:val="2"/>
              <w:ind w:left="0" w:leftChars="0" w:firstLine="0" w:firstLineChars="0"/>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4.项目人员1：持有一级建造师（建筑工程）资格证书得5分，持有高级工程师证得5分，该项最多得10分；</w:t>
            </w:r>
          </w:p>
          <w:p>
            <w:pPr>
              <w:tabs>
                <w:tab w:val="left" w:pos="1050"/>
              </w:tabs>
              <w:spacing w:line="360" w:lineRule="auto"/>
              <w:rPr>
                <w:rFonts w:hint="eastAsia" w:ascii="黑体" w:hAnsi="黑体" w:eastAsia="黑体" w:cs="黑体"/>
                <w:sz w:val="21"/>
                <w:szCs w:val="21"/>
              </w:rPr>
            </w:pPr>
            <w:r>
              <w:rPr>
                <w:rFonts w:hint="eastAsia" w:ascii="黑体" w:hAnsi="黑体" w:eastAsia="黑体" w:cs="黑体"/>
                <w:sz w:val="21"/>
                <w:szCs w:val="21"/>
                <w:lang w:val="en-US" w:eastAsia="zh-CN"/>
              </w:rPr>
              <w:t>注：证书、在职证明（提供在本单位任职的证明材料）并加盖投标人公章。</w:t>
            </w:r>
          </w:p>
          <w:p>
            <w:pPr>
              <w:spacing w:line="360" w:lineRule="auto"/>
              <w:rPr>
                <w:rFonts w:hint="eastAsia" w:ascii="黑体" w:hAnsi="黑体" w:eastAsia="黑体" w:cs="黑体"/>
                <w:szCs w:val="21"/>
              </w:rPr>
            </w:pPr>
            <w:r>
              <w:rPr>
                <w:rFonts w:hint="eastAsia" w:ascii="黑体" w:hAnsi="黑体" w:eastAsia="黑体" w:cs="黑体"/>
                <w:szCs w:val="21"/>
              </w:rPr>
              <w:t>注：上述人员须为投标人本单位人员，上述人员不得在本项目中兼任多个职位，且不得同时在其他项目中担任与本项目相冲突的职位； 2. 扫描件和证书扫描件并加盖投标人电子章，职称得分按任职人员所提供的最高职称证计分，不重复打分。</w:t>
            </w:r>
          </w:p>
        </w:tc>
        <w:tc>
          <w:tcPr>
            <w:tcW w:w="0" w:type="auto"/>
            <w:noWrap w:val="0"/>
            <w:vAlign w:val="center"/>
          </w:tcPr>
          <w:p>
            <w:pPr>
              <w:spacing w:line="360" w:lineRule="auto"/>
              <w:jc w:val="center"/>
              <w:rPr>
                <w:rFonts w:hint="eastAsia" w:ascii="黑体" w:hAnsi="黑体" w:eastAsia="黑体" w:cs="黑体"/>
                <w:bCs/>
                <w:sz w:val="24"/>
                <w:szCs w:val="24"/>
              </w:rPr>
            </w:pPr>
            <w:r>
              <w:rPr>
                <w:rFonts w:hint="eastAsia" w:ascii="黑体" w:hAnsi="黑体" w:eastAsia="黑体" w:cs="黑体"/>
                <w:bCs/>
                <w:sz w:val="24"/>
                <w:szCs w:val="24"/>
              </w:rPr>
              <w:t>客观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0" w:type="auto"/>
            <w:noWrap w:val="0"/>
            <w:vAlign w:val="center"/>
          </w:tcPr>
          <w:p>
            <w:pPr>
              <w:spacing w:line="360" w:lineRule="auto"/>
              <w:ind w:firstLine="28"/>
              <w:jc w:val="center"/>
              <w:rPr>
                <w:rFonts w:hint="default" w:ascii="黑体" w:hAnsi="黑体" w:eastAsia="黑体" w:cs="黑体"/>
                <w:szCs w:val="21"/>
                <w:lang w:val="en-US" w:eastAsia="zh-CN"/>
              </w:rPr>
            </w:pPr>
            <w:r>
              <w:rPr>
                <w:rFonts w:hint="eastAsia" w:ascii="黑体" w:hAnsi="黑体" w:eastAsia="黑体" w:cs="黑体"/>
                <w:szCs w:val="21"/>
                <w:lang w:val="en-US" w:eastAsia="zh-CN"/>
              </w:rPr>
              <w:t>3</w:t>
            </w:r>
          </w:p>
        </w:tc>
        <w:tc>
          <w:tcPr>
            <w:tcW w:w="0" w:type="auto"/>
            <w:noWrap w:val="0"/>
            <w:vAlign w:val="center"/>
          </w:tcPr>
          <w:p>
            <w:pPr>
              <w:spacing w:line="360" w:lineRule="auto"/>
              <w:jc w:val="both"/>
              <w:rPr>
                <w:rFonts w:hint="default" w:ascii="黑体" w:hAnsi="黑体" w:eastAsia="黑体" w:cs="黑体"/>
                <w:szCs w:val="21"/>
                <w:lang w:val="en-US" w:eastAsia="zh-CN"/>
              </w:rPr>
            </w:pPr>
            <w:r>
              <w:rPr>
                <w:rFonts w:hint="eastAsia" w:ascii="黑体" w:hAnsi="黑体" w:eastAsia="黑体" w:cs="黑体"/>
                <w:szCs w:val="21"/>
                <w:lang w:val="en-US" w:eastAsia="zh-CN"/>
              </w:rPr>
              <w:t>服务方案</w:t>
            </w:r>
          </w:p>
        </w:tc>
        <w:tc>
          <w:tcPr>
            <w:tcW w:w="0" w:type="auto"/>
            <w:noWrap w:val="0"/>
            <w:vAlign w:val="center"/>
          </w:tcPr>
          <w:p>
            <w:pPr>
              <w:spacing w:line="360" w:lineRule="auto"/>
              <w:jc w:val="center"/>
              <w:rPr>
                <w:rFonts w:hint="default" w:ascii="黑体" w:hAnsi="黑体" w:eastAsia="黑体" w:cs="黑体"/>
                <w:szCs w:val="21"/>
                <w:lang w:val="en-US" w:eastAsia="zh-CN"/>
              </w:rPr>
            </w:pPr>
            <w:r>
              <w:rPr>
                <w:rFonts w:hint="eastAsia" w:ascii="黑体" w:hAnsi="黑体" w:eastAsia="黑体" w:cs="黑体"/>
                <w:szCs w:val="21"/>
                <w:lang w:val="en-US" w:eastAsia="zh-CN"/>
              </w:rPr>
              <w:t>40</w:t>
            </w:r>
          </w:p>
        </w:tc>
        <w:tc>
          <w:tcPr>
            <w:tcW w:w="0" w:type="auto"/>
            <w:noWrap w:val="0"/>
            <w:vAlign w:val="center"/>
          </w:tcPr>
          <w:p>
            <w:pPr>
              <w:spacing w:line="360" w:lineRule="auto"/>
              <w:rPr>
                <w:rFonts w:hint="eastAsia" w:ascii="黑体" w:hAnsi="黑体" w:eastAsia="黑体" w:cs="黑体"/>
                <w:szCs w:val="21"/>
              </w:rPr>
            </w:pPr>
            <w:r>
              <w:rPr>
                <w:rFonts w:hint="eastAsia" w:ascii="黑体" w:hAnsi="黑体" w:eastAsia="黑体" w:cs="黑体"/>
                <w:szCs w:val="21"/>
              </w:rPr>
              <w:t>针对项目服务内容进行梳理，对实施过程可能存在的问题，分析项目</w:t>
            </w:r>
            <w:r>
              <w:rPr>
                <w:rFonts w:hint="eastAsia" w:ascii="黑体" w:hAnsi="黑体" w:eastAsia="黑体" w:cs="黑体"/>
                <w:szCs w:val="21"/>
                <w:lang w:eastAsia="zh-CN"/>
              </w:rPr>
              <w:t>咨询</w:t>
            </w:r>
            <w:r>
              <w:rPr>
                <w:rFonts w:hint="eastAsia" w:ascii="黑体" w:hAnsi="黑体" w:eastAsia="黑体" w:cs="黑体"/>
                <w:szCs w:val="21"/>
              </w:rPr>
              <w:t>服务的重点、难点问题，提供针对性的解决方案建议及思路，各专业论证充分，解决方案合理可行性，能提炼出较好的解决思路。</w:t>
            </w:r>
          </w:p>
          <w:p>
            <w:pPr>
              <w:spacing w:line="360" w:lineRule="auto"/>
              <w:rPr>
                <w:rFonts w:hint="eastAsia" w:ascii="黑体" w:hAnsi="黑体" w:eastAsia="黑体" w:cs="黑体"/>
                <w:szCs w:val="21"/>
              </w:rPr>
            </w:pPr>
            <w:r>
              <w:rPr>
                <w:rFonts w:hint="eastAsia" w:ascii="黑体" w:hAnsi="黑体" w:eastAsia="黑体" w:cs="黑体"/>
                <w:szCs w:val="21"/>
                <w:lang w:eastAsia="zh-CN"/>
              </w:rPr>
              <w:t>咨询</w:t>
            </w:r>
            <w:r>
              <w:rPr>
                <w:rFonts w:hint="eastAsia" w:ascii="黑体" w:hAnsi="黑体" w:eastAsia="黑体" w:cs="黑体"/>
                <w:szCs w:val="21"/>
              </w:rPr>
              <w:t>服务工作质量控制有总目标，响应招标文件要求，对各分解目标提出相应的控制点，并提出相应的措施。以及与质量控制措施有关的其他措施内容结合项目实际并具有落实意义。</w:t>
            </w:r>
          </w:p>
          <w:p>
            <w:pPr>
              <w:spacing w:line="360" w:lineRule="auto"/>
              <w:rPr>
                <w:rFonts w:hint="eastAsia" w:ascii="黑体" w:hAnsi="黑体" w:eastAsia="黑体" w:cs="黑体"/>
                <w:szCs w:val="21"/>
              </w:rPr>
            </w:pPr>
            <w:r>
              <w:rPr>
                <w:rFonts w:hint="eastAsia" w:ascii="黑体" w:hAnsi="黑体" w:eastAsia="黑体" w:cs="黑体"/>
                <w:szCs w:val="21"/>
                <w:lang w:eastAsia="zh-CN"/>
              </w:rPr>
              <w:t>咨询</w:t>
            </w:r>
            <w:r>
              <w:rPr>
                <w:rFonts w:hint="eastAsia" w:ascii="黑体" w:hAnsi="黑体" w:eastAsia="黑体" w:cs="黑体"/>
                <w:szCs w:val="21"/>
              </w:rPr>
              <w:t>服务进度及保证措施，进度计划满足要求，保证措施全面，合理。</w:t>
            </w:r>
          </w:p>
          <w:p>
            <w:pPr>
              <w:spacing w:line="360" w:lineRule="auto"/>
              <w:rPr>
                <w:rFonts w:hint="eastAsia" w:ascii="黑体" w:hAnsi="黑体" w:eastAsia="黑体" w:cs="黑体"/>
                <w:szCs w:val="21"/>
              </w:rPr>
            </w:pPr>
            <w:r>
              <w:rPr>
                <w:rFonts w:hint="eastAsia" w:ascii="黑体" w:hAnsi="黑体" w:eastAsia="黑体" w:cs="黑体"/>
                <w:szCs w:val="21"/>
              </w:rPr>
              <w:t>后期服务承诺完整、合理，承诺内容明确。完全满足的得40分，每有一项错误或不适用扣5分，40分扣完为止。</w:t>
            </w:r>
          </w:p>
          <w:p>
            <w:pPr>
              <w:spacing w:line="360" w:lineRule="auto"/>
              <w:rPr>
                <w:rFonts w:hint="eastAsia" w:ascii="黑体" w:hAnsi="黑体" w:eastAsia="黑体" w:cs="黑体"/>
                <w:szCs w:val="21"/>
              </w:rPr>
            </w:pPr>
            <w:r>
              <w:rPr>
                <w:rFonts w:hint="eastAsia" w:ascii="黑体" w:hAnsi="黑体" w:eastAsia="黑体" w:cs="黑体"/>
                <w:szCs w:val="21"/>
              </w:rPr>
              <w:t>错误或不适用是指:全部内容应当针对本项目，若服务方案内容中出现①项目名称、项目地址、项目类型、采购人单位名称等与招标文件采购需求不一致或无关的情况;②服务方案内容完全复制招标文件采购需求内容，未做进一步说明或阐述的情况，③服务方案内容仅有方案标题，无说明或阐述的情况;④服务方案有漏缺项或描述错误或与采购需求前后矛盾的情况;⑤套用其他项目服务方案或服务方案内容与本项目无关的情况;⑥服务方案中引用的法律法规、规范、标准、部门规章、政府部门通知、地方政策文件等已失效或已废止或不适用于本项目的情况等，以及不满足招标文件要求的。</w:t>
            </w:r>
          </w:p>
        </w:tc>
        <w:tc>
          <w:tcPr>
            <w:tcW w:w="0" w:type="auto"/>
            <w:noWrap w:val="0"/>
            <w:vAlign w:val="center"/>
          </w:tcPr>
          <w:p>
            <w:pPr>
              <w:spacing w:line="360" w:lineRule="auto"/>
              <w:jc w:val="center"/>
              <w:rPr>
                <w:rFonts w:hint="eastAsia" w:ascii="黑体" w:hAnsi="黑体" w:eastAsia="黑体" w:cs="黑体"/>
                <w:bCs/>
                <w:sz w:val="24"/>
                <w:szCs w:val="24"/>
                <w:lang w:val="en-US" w:eastAsia="zh-CN"/>
              </w:rPr>
            </w:pPr>
            <w:r>
              <w:rPr>
                <w:rFonts w:hint="eastAsia" w:ascii="黑体" w:hAnsi="黑体" w:eastAsia="黑体" w:cs="黑体"/>
                <w:bCs/>
                <w:sz w:val="24"/>
                <w:szCs w:val="24"/>
                <w:lang w:val="en-US" w:eastAsia="zh-CN"/>
              </w:rPr>
              <w:t>主观</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编制说明：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商务要求是指采购标的时间、地点、财务和服务要求，包括交付（实施）的时间（期限），地点（范围），付款条件（进度和方式），包装和运输。售后服务要求，保险等。</w:t>
      </w:r>
    </w:p>
    <w:p>
      <w:pPr>
        <w:rPr>
          <w:rFonts w:hint="eastAsia" w:ascii="宋体" w:hAnsi="宋体" w:eastAsia="宋体" w:cs="宋体"/>
          <w:color w:val="333333"/>
          <w:spacing w:val="0"/>
          <w:sz w:val="24"/>
          <w:szCs w:val="24"/>
        </w:rPr>
      </w:pPr>
      <w:r>
        <w:rPr>
          <w:rFonts w:hint="eastAsia" w:ascii="宋体" w:hAnsi="宋体" w:eastAsia="宋体" w:cs="宋体"/>
          <w:color w:val="000000"/>
          <w:sz w:val="24"/>
          <w:szCs w:val="24"/>
          <w:lang w:val="en-US" w:eastAsia="zh-CN"/>
        </w:rPr>
        <w:t>2.评分分值编制说明：</w:t>
      </w:r>
      <w:r>
        <w:rPr>
          <w:rFonts w:hint="eastAsia" w:ascii="宋体" w:hAnsi="宋体" w:eastAsia="宋体" w:cs="宋体"/>
          <w:color w:val="333333"/>
          <w:spacing w:val="0"/>
          <w:sz w:val="24"/>
          <w:szCs w:val="24"/>
        </w:rPr>
        <w:t>所有招标采购项目主观评分限高分值为：服务类限高40分；工程类限高30分；货物类限高20分。</w:t>
      </w:r>
    </w:p>
    <w:p>
      <w:pPr>
        <w:pStyle w:val="2"/>
        <w:rPr>
          <w:rFonts w:hint="eastAsia" w:ascii="宋体" w:hAnsi="宋体" w:eastAsia="宋体" w:cs="宋体"/>
          <w:color w:val="333333"/>
          <w:spacing w:val="0"/>
          <w:sz w:val="24"/>
          <w:szCs w:val="24"/>
        </w:rPr>
      </w:pPr>
    </w:p>
    <w:p>
      <w:pPr>
        <w:keepNext w:val="0"/>
        <w:keepLines w:val="0"/>
        <w:pageBreakBefore w:val="0"/>
        <w:kinsoku/>
        <w:wordWrap/>
        <w:overflowPunct/>
        <w:topLinePunct w:val="0"/>
        <w:autoSpaceDE/>
        <w:autoSpaceDN/>
        <w:bidi w:val="0"/>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rPr>
      </w:pPr>
    </w:p>
    <w:p>
      <w:pPr>
        <w:keepNext w:val="0"/>
        <w:keepLines w:val="0"/>
        <w:pageBreakBefore w:val="0"/>
        <w:kinsoku/>
        <w:wordWrap/>
        <w:overflowPunct/>
        <w:topLinePunct w:val="0"/>
        <w:autoSpaceDE/>
        <w:autoSpaceDN/>
        <w:bidi w:val="0"/>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rPr>
      </w:pPr>
    </w:p>
    <w:p>
      <w:pPr>
        <w:keepNext w:val="0"/>
        <w:keepLines w:val="0"/>
        <w:pageBreakBefore w:val="0"/>
        <w:kinsoku/>
        <w:wordWrap/>
        <w:overflowPunct/>
        <w:topLinePunct w:val="0"/>
        <w:autoSpaceDE/>
        <w:autoSpaceDN/>
        <w:bidi w:val="0"/>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rPr>
      </w:pPr>
    </w:p>
    <w:p>
      <w:pPr>
        <w:spacing w:line="240" w:lineRule="atLeast"/>
        <w:jc w:val="center"/>
        <w:rPr>
          <w:rFonts w:ascii="方正小标宋简体" w:hAnsi="仿宋" w:eastAsia="方正小标宋简体"/>
          <w:bCs/>
          <w:sz w:val="32"/>
          <w:szCs w:val="32"/>
        </w:rPr>
      </w:pPr>
      <w:r>
        <w:rPr>
          <w:rFonts w:hint="eastAsia" w:ascii="方正小标宋简体" w:hAnsi="仿宋" w:eastAsia="方正小标宋简体"/>
          <w:bCs/>
          <w:sz w:val="32"/>
          <w:szCs w:val="32"/>
        </w:rPr>
        <w:t>采购投标文件装订顺序</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1、封面（公司、项目、联系人、联系方式）；</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2、目录；</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3、品目及报价表；</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4、企业营业执照（复印件）；</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5、法定代表人授权书、法人、经办人身份证（复印件）；</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6、设计规范或标准</w:t>
      </w:r>
    </w:p>
    <w:p>
      <w:pPr>
        <w:spacing w:line="52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7、售后服务承诺书</w:t>
      </w:r>
      <w:r>
        <w:rPr>
          <w:rFonts w:hint="eastAsia" w:asciiTheme="minorEastAsia" w:hAnsiTheme="minorEastAsia" w:eastAsiaTheme="minorEastAsia" w:cstheme="minorEastAsia"/>
          <w:sz w:val="24"/>
          <w:szCs w:val="24"/>
          <w:lang w:eastAsia="zh-CN"/>
        </w:rPr>
        <w:t>（质保期和售后服务）</w:t>
      </w:r>
    </w:p>
    <w:p>
      <w:pPr>
        <w:spacing w:line="52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8、产品介绍</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、封底</w:t>
      </w:r>
    </w:p>
    <w:p>
      <w:pPr>
        <w:spacing w:line="52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注：请务必按以上顺序装订资料，如有非中文资料，请同时提供中文翻译件。</w:t>
      </w:r>
    </w:p>
    <w:p>
      <w:pPr>
        <w:pStyle w:val="3"/>
        <w:keepNext w:val="0"/>
        <w:keepLines w:val="0"/>
        <w:pageBreakBefore w:val="0"/>
        <w:tabs>
          <w:tab w:val="left" w:pos="540"/>
        </w:tabs>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b/>
          <w:bCs w:val="0"/>
          <w:color w:val="auto"/>
          <w:sz w:val="24"/>
          <w:szCs w:val="24"/>
          <w:highlight w:val="none"/>
          <w:lang w:val="en-US" w:eastAsia="zh-CN"/>
        </w:rPr>
      </w:pP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黑体" w:hAnsi="黑体" w:eastAsia="黑体"/>
          <w:color w:val="000000"/>
          <w:sz w:val="28"/>
          <w:szCs w:val="28"/>
          <w:lang w:eastAsia="zh-CN"/>
        </w:rPr>
      </w:pPr>
      <w:r>
        <w:rPr>
          <w:rFonts w:hint="eastAsia" w:ascii="黑体" w:hAnsi="黑体" w:eastAsia="黑体"/>
          <w:color w:val="000000"/>
          <w:sz w:val="28"/>
          <w:szCs w:val="28"/>
          <w:lang w:eastAsia="zh-CN"/>
        </w:rPr>
        <w:t>2026年四川省妇幼保健院晋阳院区住院医技综合楼建设项目产权办理等历史遗留问题技术咨询服务项目</w:t>
      </w: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8"/>
          <w:szCs w:val="28"/>
          <w:highlight w:val="none"/>
          <w:lang w:val="en-US" w:eastAsia="zh-CN"/>
        </w:rPr>
        <w:t>报价一览表</w:t>
      </w: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xml:space="preserve"> </w:t>
      </w:r>
    </w:p>
    <w:tbl>
      <w:tblPr>
        <w:tblStyle w:val="9"/>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143"/>
        <w:gridCol w:w="1918"/>
        <w:gridCol w:w="1977"/>
        <w:gridCol w:w="120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114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1918"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项目名称</w:t>
            </w:r>
          </w:p>
        </w:tc>
        <w:tc>
          <w:tcPr>
            <w:tcW w:w="1977"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报价（万元）</w:t>
            </w:r>
          </w:p>
        </w:tc>
        <w:tc>
          <w:tcPr>
            <w:tcW w:w="1203"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5" w:hRule="atLeast"/>
          <w:jc w:val="center"/>
        </w:trPr>
        <w:tc>
          <w:tcPr>
            <w:tcW w:w="1143" w:type="dxa"/>
            <w:tcBorders>
              <w:top w:val="outset" w:color="000000" w:sz="2" w:space="0"/>
              <w:left w:val="single" w:color="auto" w:sz="8" w:space="0"/>
              <w:bottom w:val="outset" w:color="000000" w:sz="2"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1918"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p>
        </w:tc>
        <w:tc>
          <w:tcPr>
            <w:tcW w:w="1977"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p>
        </w:tc>
        <w:tc>
          <w:tcPr>
            <w:tcW w:w="1203"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p>
        </w:tc>
      </w:tr>
    </w:tbl>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1.报价应是最终用户验收合格后的总价，此报价含税，含运费，含安装费</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人工费</w:t>
      </w:r>
      <w:r>
        <w:rPr>
          <w:rFonts w:hint="eastAsia" w:ascii="宋体" w:hAnsi="宋体" w:eastAsia="宋体" w:cs="宋体"/>
          <w:color w:val="auto"/>
          <w:kern w:val="0"/>
          <w:sz w:val="24"/>
          <w:szCs w:val="24"/>
          <w:highlight w:val="none"/>
        </w:rPr>
        <w:t>等各项费用</w:t>
      </w:r>
      <w:r>
        <w:rPr>
          <w:rFonts w:hint="eastAsia" w:ascii="宋体" w:hAnsi="宋体" w:eastAsia="宋体" w:cs="宋体"/>
          <w:color w:val="auto"/>
          <w:kern w:val="0"/>
          <w:sz w:val="24"/>
          <w:szCs w:val="24"/>
          <w:highlight w:val="none"/>
          <w:lang w:eastAsia="zh-CN"/>
        </w:rPr>
        <w:t>以及</w:t>
      </w:r>
      <w:r>
        <w:rPr>
          <w:rFonts w:hint="eastAsia" w:ascii="宋体" w:hAnsi="宋体" w:eastAsia="宋体" w:cs="宋体"/>
          <w:color w:val="auto"/>
          <w:kern w:val="0"/>
          <w:sz w:val="24"/>
          <w:szCs w:val="24"/>
          <w:highlight w:val="none"/>
        </w:rPr>
        <w:t>采购文件规定的其它费用。</w:t>
      </w:r>
    </w:p>
    <w:p>
      <w:pPr>
        <w:keepNext w:val="0"/>
        <w:keepLines w:val="0"/>
        <w:pageBreakBefore w:val="0"/>
        <w:widowControl/>
        <w:kinsoku/>
        <w:wordWrap/>
        <w:overflowPunct/>
        <w:topLinePunct w:val="0"/>
        <w:autoSpaceDE/>
        <w:autoSpaceDN/>
        <w:bidi w:val="0"/>
        <w:snapToGrid/>
        <w:spacing w:beforeAutospacing="0" w:afterAutospacing="0" w:line="360" w:lineRule="auto"/>
        <w:ind w:firstLine="64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2.“报价一览表”为多页的，每页均需由法定代表人或授权代表签字并盖投标人印章。</w:t>
      </w:r>
    </w:p>
    <w:p>
      <w:pPr>
        <w:keepNext w:val="0"/>
        <w:keepLines w:val="0"/>
        <w:pageBreakBefore w:val="0"/>
        <w:widowControl/>
        <w:kinsoku/>
        <w:wordWrap/>
        <w:overflowPunct/>
        <w:topLinePunct w:val="0"/>
        <w:autoSpaceDE/>
        <w:autoSpaceDN/>
        <w:bidi w:val="0"/>
        <w:snapToGrid/>
        <w:spacing w:beforeAutospacing="0" w:afterAutospacing="0" w:line="360" w:lineRule="auto"/>
        <w:ind w:firstLine="64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3.“报价一览表”需单独密封。</w:t>
      </w:r>
    </w:p>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供应商名称（盖章）：        </w:t>
      </w:r>
    </w:p>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法定代表人或授权代表（签字）：     </w:t>
      </w:r>
    </w:p>
    <w:p>
      <w:pPr>
        <w:keepNext w:val="0"/>
        <w:keepLines w:val="0"/>
        <w:pageBreakBefore w:val="0"/>
        <w:widowControl/>
        <w:kinsoku/>
        <w:wordWrap/>
        <w:overflowPunct/>
        <w:topLinePunct w:val="0"/>
        <w:autoSpaceDE/>
        <w:autoSpaceDN/>
        <w:bidi w:val="0"/>
        <w:snapToGrid/>
        <w:spacing w:beforeAutospacing="0" w:afterAutospacing="0"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p>
    <w:p>
      <w:pPr>
        <w:pStyle w:val="4"/>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val="0"/>
          <w:color w:val="auto"/>
          <w:sz w:val="24"/>
          <w:szCs w:val="24"/>
          <w:highlight w:val="none"/>
          <w:lang w:val="zh-CN"/>
        </w:rPr>
      </w:pPr>
      <w:r>
        <w:rPr>
          <w:rFonts w:hint="eastAsia" w:ascii="宋体" w:hAnsi="宋体" w:eastAsia="宋体" w:cs="宋体"/>
          <w:b/>
          <w:bCs w:val="0"/>
          <w:color w:val="auto"/>
          <w:sz w:val="24"/>
          <w:szCs w:val="24"/>
          <w:highlight w:val="none"/>
          <w:lang w:val="zh-CN"/>
        </w:rPr>
        <w:t>法定代表人身份授权书</w:t>
      </w:r>
    </w:p>
    <w:p>
      <w:pPr>
        <w:keepNext w:val="0"/>
        <w:keepLines w:val="0"/>
        <w:pageBreakBefore w:val="0"/>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lang w:val="zh-CN"/>
        </w:rPr>
      </w:pP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u w:val="single"/>
          <w:lang w:val="en-US" w:eastAsia="zh-CN"/>
        </w:rPr>
        <w:t xml:space="preserve">四川省妇幼保健院 </w:t>
      </w:r>
      <w:r>
        <w:rPr>
          <w:rFonts w:hint="eastAsia" w:ascii="宋体" w:hAnsi="宋体" w:eastAsia="宋体" w:cs="宋体"/>
          <w:color w:val="auto"/>
          <w:sz w:val="24"/>
          <w:szCs w:val="24"/>
          <w:highlight w:val="none"/>
          <w:lang w:val="zh-CN"/>
        </w:rPr>
        <w:t>：</w:t>
      </w:r>
    </w:p>
    <w:p>
      <w:pPr>
        <w:keepNext w:val="0"/>
        <w:keepLines w:val="0"/>
        <w:pageBreakBefore w:val="0"/>
        <w:tabs>
          <w:tab w:val="left" w:pos="720"/>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u w:val="single"/>
          <w:lang w:val="zh-CN"/>
        </w:rPr>
      </w:pPr>
      <w:r>
        <w:rPr>
          <w:rFonts w:hint="eastAsia" w:ascii="宋体" w:hAnsi="宋体" w:eastAsia="宋体" w:cs="宋体"/>
          <w:color w:val="auto"/>
          <w:sz w:val="24"/>
          <w:szCs w:val="24"/>
          <w:highlight w:val="none"/>
          <w:lang w:val="zh-CN"/>
        </w:rPr>
        <w:t xml:space="preserve">   本授权声明：</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（投标人名称）</w:t>
      </w:r>
      <w:r>
        <w:rPr>
          <w:rFonts w:hint="eastAsia" w:ascii="宋体" w:hAnsi="宋体" w:eastAsia="宋体" w:cs="宋体"/>
          <w:color w:val="auto"/>
          <w:sz w:val="24"/>
          <w:szCs w:val="24"/>
          <w:highlight w:val="none"/>
          <w:u w:val="single"/>
          <w:lang w:val="zh-CN"/>
        </w:rPr>
        <w:t xml:space="preserve">           </w:t>
      </w:r>
    </w:p>
    <w:p>
      <w:pPr>
        <w:keepNext w:val="0"/>
        <w:keepLines w:val="0"/>
        <w:pageBreakBefore w:val="0"/>
        <w:tabs>
          <w:tab w:val="left" w:pos="720"/>
          <w:tab w:val="left" w:pos="6300"/>
        </w:tabs>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（法定代表人姓名、职务）授权</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（被授权人姓名、职务）为我方</w:t>
      </w:r>
      <w:r>
        <w:rPr>
          <w:rFonts w:hint="eastAsia" w:ascii="宋体" w:hAnsi="宋体" w:eastAsia="宋体" w:cs="宋体"/>
          <w:color w:val="auto"/>
          <w:sz w:val="24"/>
          <w:szCs w:val="24"/>
          <w:highlight w:val="none"/>
          <w:u w:val="single"/>
          <w:lang w:val="zh-CN"/>
        </w:rPr>
        <w:t xml:space="preserve"> “                                          ”</w:t>
      </w:r>
      <w:r>
        <w:rPr>
          <w:rFonts w:hint="eastAsia" w:ascii="宋体" w:hAnsi="宋体" w:eastAsia="宋体" w:cs="宋体"/>
          <w:color w:val="auto"/>
          <w:sz w:val="24"/>
          <w:szCs w:val="24"/>
          <w:highlight w:val="none"/>
          <w:lang w:val="zh-CN"/>
        </w:rPr>
        <w:t>项目投标活动的合法代表，以我方名义全权处理该项目有关投标、签订合同以及执行合同等一切事宜。</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（加盖公章）</w:t>
      </w:r>
    </w:p>
    <w:p>
      <w:pPr>
        <w:keepNext w:val="0"/>
        <w:keepLines w:val="0"/>
        <w:pageBreakBefore w:val="0"/>
        <w:kinsoku/>
        <w:wordWrap/>
        <w:overflowPunct/>
        <w:topLinePunct w:val="0"/>
        <w:autoSpaceDE/>
        <w:autoSpaceDN/>
        <w:bidi w:val="0"/>
        <w:snapToGrid/>
        <w:spacing w:beforeAutospacing="0" w:afterAutospacing="0"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pPr>
        <w:keepNext w:val="0"/>
        <w:keepLines w:val="0"/>
        <w:pageBreakBefore w:val="0"/>
        <w:numPr>
          <w:ilvl w:val="0"/>
          <w:numId w:val="3"/>
        </w:numPr>
        <w:tabs>
          <w:tab w:val="left" w:pos="6300"/>
        </w:tabs>
        <w:kinsoku/>
        <w:wordWrap/>
        <w:overflowPunct/>
        <w:topLinePunct w:val="0"/>
        <w:autoSpaceDE/>
        <w:autoSpaceDN/>
        <w:bidi w:val="0"/>
        <w:snapToGrid/>
        <w:spacing w:beforeAutospacing="0" w:after="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说明：上述证明文件</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附法定代表人、被授权代表身份证复印件（加盖公章）时才能生效。</w:t>
      </w:r>
    </w:p>
    <w:p>
      <w:pPr>
        <w:pStyle w:val="4"/>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color w:val="auto"/>
          <w:sz w:val="24"/>
          <w:szCs w:val="24"/>
          <w:highlight w:val="none"/>
          <w:lang w:val="en-US" w:eastAsia="zh-CN"/>
        </w:rPr>
      </w:pPr>
    </w:p>
    <w:p>
      <w:pPr>
        <w:pStyle w:val="4"/>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color w:val="auto"/>
          <w:sz w:val="24"/>
          <w:szCs w:val="24"/>
          <w:highlight w:val="none"/>
          <w:lang w:val="en-US" w:eastAsia="zh-CN"/>
        </w:rPr>
      </w:pPr>
    </w:p>
    <w:p>
      <w:pPr>
        <w:pStyle w:val="4"/>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无围标、串标行为承诺书</w:t>
      </w:r>
    </w:p>
    <w:p>
      <w:pPr>
        <w:keepNext w:val="0"/>
        <w:keepLines w:val="0"/>
        <w:pageBreakBefore w:val="0"/>
        <w:kinsoku/>
        <w:wordWrap/>
        <w:overflowPunct/>
        <w:topLinePunct w:val="0"/>
        <w:autoSpaceDE/>
        <w:autoSpaceDN/>
        <w:bidi w:val="0"/>
        <w:spacing w:beforeAutospacing="0" w:afterAutospacing="0" w:line="360" w:lineRule="auto"/>
        <w:ind w:firstLine="64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本公司郑重承诺：我公司自觉遵守《中华人民共和国政府采购法》和《中华人民共和国政府采购法实施条例》的有关规定，我公司在参加本次项目（项目名称：XXXXXXX）采购活动中，无以下围标、串标行为：</w:t>
      </w:r>
    </w:p>
    <w:p>
      <w:pPr>
        <w:pStyle w:val="4"/>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1.不同供应商的投标文件由同一单位或者个人编制；</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2.不同供应商委托同一单位或者个人办理投标事宜；</w:t>
      </w:r>
    </w:p>
    <w:p>
      <w:pPr>
        <w:pStyle w:val="4"/>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3.不同供应商的投标文件载明的项目管理成员或者联系人员为同一人；</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4.不同供应商的投标文件异常一致或者投标报价呈规律性差异；</w:t>
      </w:r>
    </w:p>
    <w:p>
      <w:pPr>
        <w:pStyle w:val="4"/>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5.不同供应商的投标文件相互混装；</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6.不同供应商的投标保证金从同一单位或者个人的账户转出；</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7.不同供应商的董事、监事、高管、单位负责人为同一人或者存在控股、管理关系的不同单位参加同一采购项目；</w:t>
      </w:r>
    </w:p>
    <w:p>
      <w:pPr>
        <w:pStyle w:val="4"/>
        <w:keepNext w:val="0"/>
        <w:keepLines w:val="0"/>
        <w:pageBreakBefore w:val="0"/>
        <w:numPr>
          <w:ilvl w:val="0"/>
          <w:numId w:val="4"/>
        </w:numPr>
        <w:kinsoku/>
        <w:wordWrap/>
        <w:overflowPunct/>
        <w:topLinePunct w:val="0"/>
        <w:autoSpaceDE/>
        <w:autoSpaceDN/>
        <w:bidi w:val="0"/>
        <w:spacing w:beforeAutospacing="0" w:afterAutospacing="0" w:line="360" w:lineRule="auto"/>
        <w:ind w:left="420" w:leftChars="0" w:hanging="42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8.供应商之间事先约定由某一特定供应商中标、成交；</w:t>
      </w:r>
    </w:p>
    <w:p>
      <w:pPr>
        <w:keepNext w:val="0"/>
        <w:keepLines w:val="0"/>
        <w:pageBreakBefore w:val="0"/>
        <w:numPr>
          <w:ilvl w:val="0"/>
          <w:numId w:val="4"/>
        </w:numPr>
        <w:kinsoku/>
        <w:wordWrap/>
        <w:overflowPunct/>
        <w:topLinePunct w:val="0"/>
        <w:autoSpaceDE/>
        <w:autoSpaceDN/>
        <w:bidi w:val="0"/>
        <w:spacing w:beforeAutospacing="0" w:afterAutospacing="0" w:line="360" w:lineRule="auto"/>
        <w:ind w:left="420" w:leftChars="0" w:hanging="42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9.供应商之间商定部分供应商放弃参加采购活动或者放弃中标、成交；</w:t>
      </w:r>
    </w:p>
    <w:p>
      <w:pPr>
        <w:pStyle w:val="4"/>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left="420" w:leftChars="0" w:hanging="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10.法律法规界定的其他围标串标行为。</w:t>
      </w:r>
    </w:p>
    <w:p>
      <w:pPr>
        <w:keepNext w:val="0"/>
        <w:keepLines w:val="0"/>
        <w:pageBreakBefore w:val="0"/>
        <w:numPr>
          <w:ilvl w:val="0"/>
          <w:numId w:val="4"/>
        </w:numPr>
        <w:kinsoku/>
        <w:wordWrap/>
        <w:overflowPunct/>
        <w:topLinePunct w:val="0"/>
        <w:autoSpaceDE/>
        <w:autoSpaceDN/>
        <w:bidi w:val="0"/>
        <w:spacing w:beforeAutospacing="0" w:afterAutospacing="0" w:line="360" w:lineRule="auto"/>
        <w:ind w:left="420" w:leftChars="0" w:hanging="42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我公司承诺在本项目采购活动中，与采购人不存在关联关系，与其他投标单位不存在关联关系。如被查实在本项目采购活动中存在围标、串标的，本公司将承担法律责任，接受相应的法律法规处罚。</w:t>
      </w:r>
    </w:p>
    <w:p>
      <w:pPr>
        <w:pStyle w:val="4"/>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sz w:val="24"/>
          <w:szCs w:val="24"/>
          <w:highlight w:val="none"/>
          <w:lang w:val="en-US" w:eastAsia="zh-CN"/>
        </w:rPr>
      </w:pPr>
    </w:p>
    <w:p>
      <w:pPr>
        <w:pStyle w:val="4"/>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投标供应商法人代表或委托代理人（承诺人） ：</w:t>
      </w:r>
    </w:p>
    <w:p>
      <w:pPr>
        <w:pStyle w:val="4"/>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投标供应商：（公章）  </w:t>
      </w:r>
    </w:p>
    <w:p>
      <w:pPr>
        <w:pStyle w:val="4"/>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日期：   年    月    日</w:t>
      </w:r>
    </w:p>
    <w:p>
      <w:pPr>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b/>
          <w:bCs/>
          <w:color w:val="auto"/>
          <w:sz w:val="24"/>
          <w:szCs w:val="24"/>
          <w:highlight w:val="none"/>
        </w:rPr>
      </w:pPr>
    </w:p>
    <w:p>
      <w:pPr>
        <w:pStyle w:val="6"/>
        <w:keepNext w:val="0"/>
        <w:keepLines w:val="0"/>
        <w:pageBreakBefore w:val="0"/>
        <w:kinsoku/>
        <w:overflowPunct/>
        <w:topLinePunct w:val="0"/>
        <w:bidi w:val="0"/>
        <w:spacing w:line="360" w:lineRule="auto"/>
        <w:ind w:left="0" w:leftChars="0" w:firstLine="0" w:firstLineChars="0"/>
        <w:rPr>
          <w:rFonts w:hint="eastAsia" w:ascii="宋体" w:hAnsi="宋体" w:eastAsia="宋体" w:cs="宋体"/>
          <w:b/>
          <w:bCs/>
          <w:color w:val="auto"/>
          <w:sz w:val="24"/>
          <w:szCs w:val="24"/>
          <w:highlight w:val="none"/>
          <w:lang w:val="en-US" w:eastAsia="zh-CN"/>
        </w:rPr>
      </w:pPr>
    </w:p>
    <w:p>
      <w:pPr>
        <w:pStyle w:val="14"/>
        <w:keepNext w:val="0"/>
        <w:keepLines w:val="0"/>
        <w:pageBreakBefore w:val="0"/>
        <w:kinsoku/>
        <w:overflowPunct/>
        <w:topLinePunct w:val="0"/>
        <w:autoSpaceDE/>
        <w:autoSpaceDN/>
        <w:bidi w:val="0"/>
        <w:snapToGrid w:val="0"/>
        <w:spacing w:before="156" w:beforeLines="50" w:after="312" w:afterLines="100" w:line="360" w:lineRule="auto"/>
        <w:ind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shd w:val="clear" w:color="auto" w:fill="FFFFFF"/>
        </w:rPr>
        <w:t>承诺函</w:t>
      </w:r>
    </w:p>
    <w:p>
      <w:pPr>
        <w:keepNext w:val="0"/>
        <w:keepLines w:val="0"/>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四川省妇幼保健院：</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本供应商</w:t>
      </w:r>
      <w:r>
        <w:rPr>
          <w:rFonts w:hint="eastAsia" w:ascii="宋体" w:hAnsi="宋体" w:eastAsia="宋体" w:cs="宋体"/>
          <w:sz w:val="24"/>
          <w:szCs w:val="24"/>
          <w:u w:val="single"/>
        </w:rPr>
        <w:t xml:space="preserve">      （供应商全称）        </w:t>
      </w:r>
      <w:r>
        <w:rPr>
          <w:rFonts w:hint="eastAsia" w:ascii="宋体" w:hAnsi="宋体" w:eastAsia="宋体" w:cs="宋体"/>
          <w:sz w:val="24"/>
          <w:szCs w:val="24"/>
        </w:rPr>
        <w:t>参加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w:t>
      </w:r>
      <w:r>
        <w:rPr>
          <w:rFonts w:hint="eastAsia" w:ascii="宋体" w:hAnsi="宋体" w:eastAsia="宋体" w:cs="宋体"/>
          <w:sz w:val="24"/>
          <w:szCs w:val="24"/>
          <w:lang w:val="en-US" w:eastAsia="zh-CN"/>
        </w:rPr>
        <w:t>评审</w:t>
      </w:r>
      <w:r>
        <w:rPr>
          <w:rFonts w:hint="eastAsia" w:ascii="宋体" w:hAnsi="宋体" w:eastAsia="宋体" w:cs="宋体"/>
          <w:sz w:val="24"/>
          <w:szCs w:val="24"/>
        </w:rPr>
        <w:t>活动，现郑重承诺：</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一、具备本项目规定的条件：</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（一）具有独立承担民事责任的能力； </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（二）具有良好的商业信誉和健全的财务会计制度； </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（三）具有履行合同所必需的设备和专业技术能力； </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（四）有依法缴纳税收和社会保障资金的良好记录； </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（五）参加采购活动前三年内，在经营活动中没有重大违法记录；</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（六）法律、行政法规规定的其他条件；</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完全接受和满足本项目磋商文件中规定的实质性要求，如对磋商文件有异议，已经在磋商截止时间届满前依法进行维权救济，不存在对磋商文件有异议的同时又参加磋商以求侥幸成交或者为实现其他非法目的的行为。承诺成交后签订合同前按采购人要求提交技术参数相关佐证材料。</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参加本次磋商采购活动，不存在与单位负责人为同一人或者存在直接控股、管理关系的其他供应商参与同一合同项下的采购活动的行为。本单位未参与本采购项目前期咨询论证，不属于禁止参加本项目磋商的供应商。</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四、参加本次磋商采购活动，不存在和其他供应商在同一合同项下的采购项目中，同时委托同一个自然人、同一家庭的人员、同一单位的人员作为代理人的行为。</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五、本单位未被对列入按财库[2016]125号规定的失信被执行人、重大税收违法案件当事人名单、政府采购严重违法失信行为记录名单及其他不符合《中华人民共和国政府采购法》第二十二条规定条件的供应商。</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六、国家或行业主管部门对采购产品的技术标准、质量标准和资格资质条件等有强制性规定的，我方承诺符合其要求。</w:t>
      </w:r>
    </w:p>
    <w:p>
      <w:pPr>
        <w:keepNext w:val="0"/>
        <w:keepLines w:val="0"/>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本公司对上述承诺的内容事项真实性负责。如经查实上述承诺的内容事项存在虚假，本单位愿意接受以提供虚假材料谋取成交追究法律责任。</w:t>
      </w:r>
      <w:r>
        <w:rPr>
          <w:rFonts w:hint="eastAsia" w:ascii="宋体" w:hAnsi="宋体" w:eastAsia="宋体" w:cs="宋体"/>
          <w:sz w:val="24"/>
          <w:szCs w:val="24"/>
        </w:rPr>
        <w:tab/>
      </w:r>
      <w:r>
        <w:rPr>
          <w:rFonts w:hint="eastAsia" w:ascii="宋体" w:hAnsi="宋体" w:eastAsia="宋体" w:cs="宋体"/>
          <w:sz w:val="24"/>
          <w:szCs w:val="24"/>
        </w:rPr>
        <w:tab/>
      </w:r>
    </w:p>
    <w:p>
      <w:pPr>
        <w:keepNext w:val="0"/>
        <w:keepLines w:val="0"/>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keepNext w:val="0"/>
        <w:keepLines w:val="0"/>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供应商名称：        （盖章）</w:t>
      </w:r>
    </w:p>
    <w:p>
      <w:pPr>
        <w:keepNext w:val="0"/>
        <w:keepLines w:val="0"/>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w:t>
      </w:r>
      <w:r>
        <w:rPr>
          <w:rFonts w:hint="eastAsia" w:ascii="宋体" w:hAnsi="宋体" w:eastAsia="宋体" w:cs="宋体"/>
          <w:sz w:val="24"/>
          <w:szCs w:val="24"/>
          <w:u w:val="single"/>
        </w:rPr>
        <w:t>签字或盖章</w:t>
      </w:r>
      <w:r>
        <w:rPr>
          <w:rFonts w:hint="eastAsia" w:ascii="宋体" w:hAnsi="宋体" w:eastAsia="宋体" w:cs="宋体"/>
          <w:sz w:val="24"/>
          <w:szCs w:val="24"/>
        </w:rPr>
        <w:t>）：</w:t>
      </w:r>
    </w:p>
    <w:p>
      <w:pPr>
        <w:keepNext w:val="0"/>
        <w:keepLines w:val="0"/>
        <w:pageBreakBefore w:val="0"/>
        <w:kinsoku/>
        <w:overflowPunct/>
        <w:topLinePunct w:val="0"/>
        <w:autoSpaceDE/>
        <w:autoSpaceDN/>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日 期：</w:t>
      </w:r>
    </w:p>
    <w:p>
      <w:pPr>
        <w:pStyle w:val="8"/>
        <w:keepNext w:val="0"/>
        <w:keepLines w:val="0"/>
        <w:pageBreakBefore w:val="0"/>
        <w:kinsoku/>
        <w:overflowPunct/>
        <w:topLinePunct w:val="0"/>
        <w:bidi w:val="0"/>
        <w:spacing w:line="360" w:lineRule="auto"/>
        <w:rPr>
          <w:rFonts w:hint="eastAsia" w:ascii="宋体" w:hAnsi="宋体" w:eastAsia="宋体" w:cs="宋体"/>
          <w:color w:val="auto"/>
          <w:sz w:val="24"/>
          <w:szCs w:val="24"/>
          <w:highlight w:val="none"/>
        </w:rPr>
      </w:pPr>
    </w:p>
    <w:p>
      <w:pPr>
        <w:pStyle w:val="8"/>
        <w:keepNext w:val="0"/>
        <w:keepLines w:val="0"/>
        <w:pageBreakBefore w:val="0"/>
        <w:kinsoku/>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pPr>
        <w:keepNext w:val="0"/>
        <w:keepLines w:val="0"/>
        <w:pageBreakBefore w:val="0"/>
        <w:kinsoku/>
        <w:overflowPunct/>
        <w:topLinePunct w:val="0"/>
        <w:bidi w:val="0"/>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注：附业绩须提供合同扫描件并加盖公章。</w:t>
      </w:r>
    </w:p>
    <w:p>
      <w:pPr>
        <w:keepNext w:val="0"/>
        <w:keepLines w:val="0"/>
        <w:pageBreakBefore w:val="0"/>
        <w:widowControl/>
        <w:shd w:val="clear" w:color="auto" w:fill="FFFFFF"/>
        <w:kinsoku/>
        <w:wordWrap w:val="0"/>
        <w:overflowPunct/>
        <w:topLinePunct w:val="0"/>
        <w:bidi w:val="0"/>
        <w:spacing w:line="360" w:lineRule="auto"/>
        <w:jc w:val="left"/>
        <w:rPr>
          <w:rFonts w:hint="eastAsia" w:ascii="宋体" w:hAnsi="宋体" w:eastAsia="宋体" w:cs="宋体"/>
          <w:color w:val="auto"/>
          <w:sz w:val="24"/>
          <w:szCs w:val="24"/>
          <w:highlight w:val="none"/>
        </w:rPr>
      </w:pPr>
    </w:p>
    <w:p>
      <w:pPr>
        <w:keepNext w:val="0"/>
        <w:keepLines w:val="0"/>
        <w:pageBreakBefore w:val="0"/>
        <w:widowControl/>
        <w:kinsoku/>
        <w:wordWrap/>
        <w:overflowPunct/>
        <w:topLinePunct w:val="0"/>
        <w:autoSpaceDE/>
        <w:autoSpaceDN/>
        <w:bidi w:val="0"/>
        <w:adjustRightInd/>
        <w:snapToGrid w:val="0"/>
        <w:spacing w:line="360" w:lineRule="auto"/>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（投标人全称）  </w:t>
      </w:r>
      <w:r>
        <w:rPr>
          <w:rFonts w:hint="eastAsia" w:ascii="宋体" w:hAnsi="宋体" w:eastAsia="宋体" w:cs="宋体"/>
          <w:color w:val="auto"/>
          <w:sz w:val="24"/>
          <w:szCs w:val="24"/>
          <w:highlight w:val="none"/>
        </w:rPr>
        <w:t>（加盖公章）</w:t>
      </w:r>
    </w:p>
    <w:p>
      <w:pPr>
        <w:keepNext w:val="0"/>
        <w:keepLines w:val="0"/>
        <w:pageBreakBefore w:val="0"/>
        <w:widowControl/>
        <w:kinsoku/>
        <w:wordWrap/>
        <w:overflowPunct/>
        <w:topLinePunct w:val="0"/>
        <w:autoSpaceDE/>
        <w:autoSpaceDN/>
        <w:bidi w:val="0"/>
        <w:adjustRightInd/>
        <w:snapToGrid w:val="0"/>
        <w:spacing w:line="360" w:lineRule="auto"/>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w:t>
      </w:r>
      <w:r>
        <w:rPr>
          <w:rFonts w:hint="eastAsia" w:ascii="宋体" w:hAnsi="宋体" w:eastAsia="宋体" w:cs="宋体"/>
          <w:color w:val="auto"/>
          <w:sz w:val="24"/>
          <w:szCs w:val="24"/>
          <w:highlight w:val="none"/>
          <w:u w:val="single"/>
        </w:rPr>
        <w:t xml:space="preserve">    （签</w:t>
      </w:r>
      <w:r>
        <w:rPr>
          <w:rFonts w:hint="eastAsia" w:ascii="宋体" w:hAnsi="宋体" w:eastAsia="宋体" w:cs="宋体"/>
          <w:color w:val="auto"/>
          <w:sz w:val="24"/>
          <w:szCs w:val="24"/>
          <w:highlight w:val="none"/>
          <w:u w:val="single"/>
          <w:lang w:val="en-US" w:eastAsia="zh-CN"/>
        </w:rPr>
        <w:t>字</w:t>
      </w:r>
      <w:r>
        <w:rPr>
          <w:rFonts w:hint="eastAsia" w:ascii="宋体" w:hAnsi="宋体" w:eastAsia="宋体" w:cs="宋体"/>
          <w:color w:val="auto"/>
          <w:sz w:val="24"/>
          <w:szCs w:val="24"/>
          <w:highlight w:val="none"/>
          <w:u w:val="single"/>
        </w:rPr>
        <w:t xml:space="preserve">或盖章）   </w:t>
      </w:r>
    </w:p>
    <w:p>
      <w:pPr>
        <w:pStyle w:val="13"/>
        <w:keepNext w:val="0"/>
        <w:keepLines w:val="0"/>
        <w:pageBreakBefore w:val="0"/>
        <w:kinsoku/>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pPr>
        <w:keepNext w:val="0"/>
        <w:keepLines w:val="0"/>
        <w:pageBreakBefore w:val="0"/>
        <w:kinsoku/>
        <w:overflowPunct/>
        <w:topLinePunct w:val="0"/>
        <w:bidi w:val="0"/>
        <w:snapToGrid w:val="0"/>
        <w:spacing w:line="360" w:lineRule="auto"/>
        <w:textAlignment w:val="baseline"/>
        <w:rPr>
          <w:rFonts w:hint="eastAsia" w:ascii="宋体" w:hAnsi="宋体" w:eastAsia="宋体" w:cs="宋体"/>
          <w:color w:val="auto"/>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rPr>
      </w:pPr>
    </w:p>
    <w:p>
      <w:pPr>
        <w:pStyle w:val="4"/>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附件5 </w:t>
      </w:r>
    </w:p>
    <w:p>
      <w:pPr>
        <w:spacing w:line="360" w:lineRule="auto"/>
        <w:jc w:val="center"/>
        <w:rPr>
          <w:rFonts w:hint="eastAsia" w:ascii="宋体" w:hAnsi="宋体" w:cs="宋体"/>
          <w:sz w:val="24"/>
          <w:szCs w:val="24"/>
        </w:rPr>
      </w:pPr>
      <w:r>
        <w:rPr>
          <w:rFonts w:hint="eastAsia" w:ascii="宋体" w:hAnsi="宋体" w:cs="宋体"/>
          <w:sz w:val="24"/>
          <w:szCs w:val="24"/>
        </w:rPr>
        <w:t>供应商遵守招标采购纪律承诺书</w:t>
      </w:r>
    </w:p>
    <w:p>
      <w:pPr>
        <w:spacing w:line="360" w:lineRule="auto"/>
        <w:rPr>
          <w:rFonts w:hint="eastAsia" w:ascii="宋体" w:hAnsi="宋体" w:cs="宋体"/>
          <w:sz w:val="24"/>
          <w:szCs w:val="24"/>
        </w:rPr>
      </w:pPr>
      <w:r>
        <w:rPr>
          <w:rFonts w:hint="eastAsia" w:ascii="宋体" w:hAnsi="宋体" w:cs="宋体"/>
          <w:sz w:val="24"/>
          <w:szCs w:val="24"/>
        </w:rPr>
        <w:t>致四川省妇幼保健院：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我单位作为本次采购项目的供应商，根据响应文件要求，现郑重承诺如下：</w:t>
      </w:r>
    </w:p>
    <w:p>
      <w:pPr>
        <w:spacing w:line="360" w:lineRule="auto"/>
        <w:rPr>
          <w:rFonts w:hint="eastAsia" w:ascii="宋体" w:hAnsi="宋体" w:cs="宋体"/>
          <w:sz w:val="24"/>
          <w:szCs w:val="24"/>
        </w:rPr>
      </w:pPr>
      <w:r>
        <w:rPr>
          <w:rFonts w:hint="eastAsia" w:ascii="宋体" w:hAnsi="宋体" w:cs="宋体"/>
          <w:sz w:val="24"/>
          <w:szCs w:val="24"/>
        </w:rPr>
        <w:t>一、参加本次采购活动，我单位不存在与单位负责人为同一人或者存在直接控股、管理关系的其他供应商参与同一合同项下的采购活动的行为。</w:t>
      </w:r>
    </w:p>
    <w:p>
      <w:pPr>
        <w:spacing w:line="360" w:lineRule="auto"/>
        <w:rPr>
          <w:rFonts w:hint="eastAsia" w:ascii="宋体" w:hAnsi="宋体" w:cs="宋体"/>
          <w:sz w:val="24"/>
          <w:szCs w:val="24"/>
        </w:rPr>
      </w:pPr>
      <w:r>
        <w:rPr>
          <w:rFonts w:hint="eastAsia" w:ascii="宋体" w:hAnsi="宋体" w:cs="宋体"/>
          <w:sz w:val="24"/>
          <w:szCs w:val="24"/>
        </w:rPr>
        <w:t>二、参加本次采购活动，不得直接或者间接从采购人或者采购代理机构处获得其他供应商的相关情况并修改其投标文件或者响应文件。</w:t>
      </w:r>
    </w:p>
    <w:p>
      <w:pPr>
        <w:spacing w:line="360" w:lineRule="auto"/>
        <w:rPr>
          <w:rFonts w:hint="eastAsia" w:ascii="宋体" w:hAnsi="宋体" w:cs="宋体"/>
          <w:sz w:val="24"/>
          <w:szCs w:val="24"/>
        </w:rPr>
      </w:pPr>
      <w:r>
        <w:rPr>
          <w:rFonts w:hint="eastAsia" w:ascii="宋体" w:hAnsi="宋体" w:cs="宋体"/>
          <w:sz w:val="24"/>
          <w:szCs w:val="24"/>
        </w:rPr>
        <w:t>三、参加本次采购活动，不得按照采购人的授意撤换、修改投标文件或者响应文件。</w:t>
      </w:r>
    </w:p>
    <w:p>
      <w:pPr>
        <w:spacing w:line="360" w:lineRule="auto"/>
        <w:rPr>
          <w:rFonts w:hint="eastAsia" w:ascii="宋体" w:hAnsi="宋体" w:cs="宋体"/>
          <w:sz w:val="24"/>
          <w:szCs w:val="24"/>
        </w:rPr>
      </w:pPr>
      <w:r>
        <w:rPr>
          <w:rFonts w:hint="eastAsia" w:ascii="宋体" w:hAnsi="宋体" w:cs="宋体"/>
          <w:sz w:val="24"/>
          <w:szCs w:val="24"/>
        </w:rPr>
        <w:t>四、参加本次采购活动，不得和本次采购供应商之间协商报价、技术方案等投标文件或者响应文件的实质性内容。</w:t>
      </w:r>
    </w:p>
    <w:p>
      <w:pPr>
        <w:spacing w:line="360" w:lineRule="auto"/>
        <w:rPr>
          <w:rFonts w:hint="eastAsia" w:ascii="宋体" w:hAnsi="宋体" w:cs="宋体"/>
          <w:sz w:val="24"/>
          <w:szCs w:val="24"/>
        </w:rPr>
      </w:pPr>
      <w:r>
        <w:rPr>
          <w:rFonts w:hint="eastAsia" w:ascii="宋体" w:hAnsi="宋体" w:cs="宋体"/>
          <w:sz w:val="24"/>
          <w:szCs w:val="24"/>
        </w:rPr>
        <w:t>五、本次采购活动中，不存在属于同一集团、协会、商会等组织成员的供应商按照该组织要求协同参加本次采购活动。</w:t>
      </w:r>
    </w:p>
    <w:p>
      <w:pPr>
        <w:spacing w:line="360" w:lineRule="auto"/>
        <w:rPr>
          <w:rFonts w:hint="eastAsia" w:ascii="宋体" w:hAnsi="宋体" w:cs="宋体"/>
          <w:sz w:val="24"/>
          <w:szCs w:val="24"/>
        </w:rPr>
      </w:pPr>
      <w:r>
        <w:rPr>
          <w:rFonts w:hint="eastAsia" w:ascii="宋体" w:hAnsi="宋体" w:cs="宋体"/>
          <w:sz w:val="24"/>
          <w:szCs w:val="24"/>
        </w:rPr>
        <w:t>六、参加本次采购活动，不存在与其他供应商之间事先约定由某一特定供应商中标、成交。</w:t>
      </w:r>
    </w:p>
    <w:p>
      <w:pPr>
        <w:spacing w:line="360" w:lineRule="auto"/>
        <w:rPr>
          <w:rFonts w:hint="eastAsia" w:ascii="宋体" w:hAnsi="宋体" w:cs="宋体"/>
          <w:sz w:val="24"/>
          <w:szCs w:val="24"/>
        </w:rPr>
      </w:pPr>
      <w:r>
        <w:rPr>
          <w:rFonts w:hint="eastAsia" w:ascii="宋体" w:hAnsi="宋体" w:cs="宋体"/>
          <w:sz w:val="24"/>
          <w:szCs w:val="24"/>
        </w:rPr>
        <w:t>七、参加本次采购活动，不存在与其他供应商商定部分供应商放弃参加采购活动或者放弃中标、成交。</w:t>
      </w:r>
    </w:p>
    <w:p>
      <w:pPr>
        <w:spacing w:line="360" w:lineRule="auto"/>
        <w:rPr>
          <w:rFonts w:hint="eastAsia" w:ascii="宋体" w:hAnsi="宋体" w:cs="宋体"/>
          <w:sz w:val="24"/>
          <w:szCs w:val="24"/>
        </w:rPr>
      </w:pPr>
      <w:r>
        <w:rPr>
          <w:rFonts w:hint="eastAsia" w:ascii="宋体" w:hAnsi="宋体" w:cs="宋体"/>
          <w:sz w:val="24"/>
          <w:szCs w:val="24"/>
        </w:rPr>
        <w:t>八、参加本次采购活动，不存在我单位的投标文件或者响应文件由其他参与本项目的单位或个人编制或委托办理投标事宜。</w:t>
      </w:r>
    </w:p>
    <w:p>
      <w:pPr>
        <w:spacing w:line="360" w:lineRule="auto"/>
        <w:rPr>
          <w:rFonts w:hint="eastAsia" w:ascii="宋体" w:hAnsi="宋体" w:cs="宋体"/>
          <w:sz w:val="24"/>
          <w:szCs w:val="24"/>
        </w:rPr>
      </w:pPr>
      <w:r>
        <w:rPr>
          <w:rFonts w:hint="eastAsia" w:ascii="宋体" w:hAnsi="宋体" w:cs="宋体"/>
          <w:sz w:val="24"/>
          <w:szCs w:val="24"/>
        </w:rPr>
        <w:t>九、参加本次采购活动，不存在我单位与采购人之间、供应商相互之间，为谋求特定供应商中标、成交或者排斥其他供应商的其他串通行为。</w:t>
      </w:r>
    </w:p>
    <w:p>
      <w:pPr>
        <w:spacing w:line="360" w:lineRule="auto"/>
        <w:rPr>
          <w:rFonts w:hint="eastAsia" w:ascii="宋体" w:hAnsi="宋体" w:cs="宋体"/>
          <w:sz w:val="24"/>
          <w:szCs w:val="24"/>
        </w:rPr>
      </w:pPr>
      <w:r>
        <w:rPr>
          <w:rFonts w:hint="eastAsia" w:ascii="宋体" w:hAnsi="宋体" w:cs="宋体"/>
          <w:sz w:val="24"/>
          <w:szCs w:val="24"/>
        </w:rPr>
        <w:t>十、与我方存在直接控股关系的单位为：XXX；存在管理关系单位为：XXX。</w:t>
      </w:r>
    </w:p>
    <w:p>
      <w:pPr>
        <w:spacing w:line="360" w:lineRule="auto"/>
        <w:rPr>
          <w:rFonts w:hint="eastAsia" w:ascii="宋体" w:hAnsi="宋体" w:cs="宋体"/>
          <w:sz w:val="24"/>
          <w:szCs w:val="24"/>
        </w:rPr>
      </w:pPr>
      <w:r>
        <w:rPr>
          <w:rFonts w:hint="eastAsia" w:ascii="宋体" w:hAnsi="宋体" w:cs="宋体"/>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spacing w:line="360" w:lineRule="auto"/>
        <w:rPr>
          <w:rFonts w:hint="eastAsia" w:ascii="宋体" w:hAnsi="宋体" w:cs="宋体"/>
          <w:sz w:val="24"/>
          <w:szCs w:val="24"/>
        </w:rPr>
      </w:pPr>
      <w:r>
        <w:rPr>
          <w:rFonts w:hint="eastAsia" w:ascii="宋体" w:hAnsi="宋体" w:cs="宋体"/>
          <w:sz w:val="24"/>
          <w:szCs w:val="24"/>
        </w:rPr>
        <w:t xml:space="preserve">供应商名称（单位公章）：                          </w:t>
      </w:r>
    </w:p>
    <w:p>
      <w:pPr>
        <w:spacing w:line="360" w:lineRule="auto"/>
        <w:rPr>
          <w:rFonts w:hint="eastAsia" w:ascii="宋体" w:hAnsi="宋体" w:cs="宋体"/>
          <w:sz w:val="24"/>
          <w:szCs w:val="24"/>
        </w:rPr>
      </w:pPr>
      <w:r>
        <w:rPr>
          <w:rFonts w:hint="eastAsia" w:ascii="宋体" w:hAnsi="宋体" w:cs="宋体"/>
          <w:sz w:val="24"/>
          <w:szCs w:val="24"/>
        </w:rPr>
        <w:t>法定代表人/单位负责人或授权代表（签字或加盖个人名章）：</w:t>
      </w:r>
    </w:p>
    <w:p>
      <w:pPr>
        <w:ind w:firstLine="6720" w:firstLineChars="2800"/>
        <w:rPr>
          <w:rFonts w:hint="eastAsia" w:ascii="仿宋_GB2312" w:eastAsia="仿宋_GB2312"/>
          <w:bCs/>
          <w:sz w:val="24"/>
        </w:rPr>
      </w:pPr>
      <w:r>
        <w:rPr>
          <w:rFonts w:hint="eastAsia" w:ascii="宋体" w:hAnsi="宋体" w:cs="宋体"/>
          <w:sz w:val="24"/>
          <w:szCs w:val="24"/>
        </w:rPr>
        <w:t>年   月   日</w:t>
      </w:r>
    </w:p>
    <w:p>
      <w:pPr>
        <w:pStyle w:val="2"/>
        <w:ind w:left="0" w:leftChars="0" w:firstLine="0" w:firstLineChars="0"/>
        <w:rPr>
          <w:rFonts w:hint="eastAsia" w:ascii="宋体" w:hAnsi="宋体" w:eastAsia="宋体" w:cs="宋体"/>
          <w:color w:val="333333"/>
          <w:spacing w:val="0"/>
          <w:sz w:val="24"/>
          <w:szCs w:val="24"/>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Sun-ExtG"/>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imSun-ExtG">
    <w:panose1 w:val="02010609060101010101"/>
    <w:charset w:val="86"/>
    <w:family w:val="auto"/>
    <w:pitch w:val="default"/>
    <w:sig w:usb0="00000001" w:usb1="0200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1860D"/>
    <w:multiLevelType w:val="singleLevel"/>
    <w:tmpl w:val="0AA1860D"/>
    <w:lvl w:ilvl="0" w:tentative="0">
      <w:start w:val="1"/>
      <w:numFmt w:val="chineseCounting"/>
      <w:suff w:val="nothing"/>
      <w:lvlText w:val="%1、"/>
      <w:lvlJc w:val="left"/>
      <w:rPr>
        <w:rFonts w:hint="eastAsia"/>
      </w:rPr>
    </w:lvl>
  </w:abstractNum>
  <w:abstractNum w:abstractNumId="1">
    <w:nsid w:val="2B7F8603"/>
    <w:multiLevelType w:val="singleLevel"/>
    <w:tmpl w:val="2B7F8603"/>
    <w:lvl w:ilvl="0" w:tentative="0">
      <w:start w:val="1"/>
      <w:numFmt w:val="bullet"/>
      <w:lvlText w:val=""/>
      <w:lvlJc w:val="left"/>
      <w:pPr>
        <w:ind w:left="420" w:hanging="420"/>
      </w:pPr>
      <w:rPr>
        <w:rFonts w:hint="default" w:ascii="Wingdings" w:hAnsi="Wingdings"/>
      </w:rPr>
    </w:lvl>
  </w:abstractNum>
  <w:abstractNum w:abstractNumId="2">
    <w:nsid w:val="38513304"/>
    <w:multiLevelType w:val="multilevel"/>
    <w:tmpl w:val="38513304"/>
    <w:lvl w:ilvl="0" w:tentative="0">
      <w:start w:val="3"/>
      <w:numFmt w:val="bullet"/>
      <w:lvlText w:val="★"/>
      <w:lvlJc w:val="left"/>
      <w:pPr>
        <w:tabs>
          <w:tab w:val="left" w:pos="480"/>
        </w:tabs>
        <w:ind w:left="480" w:hanging="360"/>
      </w:pPr>
      <w:rPr>
        <w:rFonts w:hint="eastAsia" w:ascii="宋体" w:hAnsi="宋体" w:eastAsia="宋体" w:cs="Times New Roman"/>
      </w:rPr>
    </w:lvl>
    <w:lvl w:ilvl="1" w:tentative="0">
      <w:start w:val="1"/>
      <w:numFmt w:val="bullet"/>
      <w:lvlText w:val=""/>
      <w:lvlJc w:val="left"/>
      <w:pPr>
        <w:tabs>
          <w:tab w:val="left" w:pos="960"/>
        </w:tabs>
        <w:ind w:left="960" w:hanging="420"/>
      </w:pPr>
      <w:rPr>
        <w:rFonts w:hint="default" w:ascii="Wingdings" w:hAnsi="Wingdings"/>
      </w:rPr>
    </w:lvl>
    <w:lvl w:ilvl="2" w:tentative="0">
      <w:start w:val="1"/>
      <w:numFmt w:val="bullet"/>
      <w:lvlText w:val=""/>
      <w:lvlJc w:val="left"/>
      <w:pPr>
        <w:tabs>
          <w:tab w:val="left" w:pos="1380"/>
        </w:tabs>
        <w:ind w:left="1380" w:hanging="420"/>
      </w:pPr>
      <w:rPr>
        <w:rFonts w:hint="default" w:ascii="Wingdings" w:hAnsi="Wingdings"/>
      </w:rPr>
    </w:lvl>
    <w:lvl w:ilvl="3" w:tentative="0">
      <w:start w:val="1"/>
      <w:numFmt w:val="bullet"/>
      <w:lvlText w:val=""/>
      <w:lvlJc w:val="left"/>
      <w:pPr>
        <w:tabs>
          <w:tab w:val="left" w:pos="1800"/>
        </w:tabs>
        <w:ind w:left="1800" w:hanging="420"/>
      </w:pPr>
      <w:rPr>
        <w:rFonts w:hint="default" w:ascii="Wingdings" w:hAnsi="Wingdings"/>
      </w:rPr>
    </w:lvl>
    <w:lvl w:ilvl="4" w:tentative="0">
      <w:start w:val="1"/>
      <w:numFmt w:val="bullet"/>
      <w:lvlText w:val=""/>
      <w:lvlJc w:val="left"/>
      <w:pPr>
        <w:tabs>
          <w:tab w:val="left" w:pos="2220"/>
        </w:tabs>
        <w:ind w:left="2220" w:hanging="420"/>
      </w:pPr>
      <w:rPr>
        <w:rFonts w:hint="default" w:ascii="Wingdings" w:hAnsi="Wingdings"/>
      </w:rPr>
    </w:lvl>
    <w:lvl w:ilvl="5" w:tentative="0">
      <w:start w:val="1"/>
      <w:numFmt w:val="bullet"/>
      <w:lvlText w:val=""/>
      <w:lvlJc w:val="left"/>
      <w:pPr>
        <w:tabs>
          <w:tab w:val="left" w:pos="2640"/>
        </w:tabs>
        <w:ind w:left="2640" w:hanging="420"/>
      </w:pPr>
      <w:rPr>
        <w:rFonts w:hint="default" w:ascii="Wingdings" w:hAnsi="Wingdings"/>
      </w:rPr>
    </w:lvl>
    <w:lvl w:ilvl="6" w:tentative="0">
      <w:start w:val="1"/>
      <w:numFmt w:val="bullet"/>
      <w:lvlText w:val=""/>
      <w:lvlJc w:val="left"/>
      <w:pPr>
        <w:tabs>
          <w:tab w:val="left" w:pos="3060"/>
        </w:tabs>
        <w:ind w:left="3060" w:hanging="420"/>
      </w:pPr>
      <w:rPr>
        <w:rFonts w:hint="default" w:ascii="Wingdings" w:hAnsi="Wingdings"/>
      </w:rPr>
    </w:lvl>
    <w:lvl w:ilvl="7" w:tentative="0">
      <w:start w:val="1"/>
      <w:numFmt w:val="bullet"/>
      <w:lvlText w:val=""/>
      <w:lvlJc w:val="left"/>
      <w:pPr>
        <w:tabs>
          <w:tab w:val="left" w:pos="3480"/>
        </w:tabs>
        <w:ind w:left="3480" w:hanging="420"/>
      </w:pPr>
      <w:rPr>
        <w:rFonts w:hint="default" w:ascii="Wingdings" w:hAnsi="Wingdings"/>
      </w:rPr>
    </w:lvl>
    <w:lvl w:ilvl="8" w:tentative="0">
      <w:start w:val="1"/>
      <w:numFmt w:val="bullet"/>
      <w:lvlText w:val=""/>
      <w:lvlJc w:val="left"/>
      <w:pPr>
        <w:tabs>
          <w:tab w:val="left" w:pos="3900"/>
        </w:tabs>
        <w:ind w:left="3900" w:hanging="420"/>
      </w:pPr>
      <w:rPr>
        <w:rFonts w:hint="default" w:ascii="Wingdings" w:hAnsi="Wingdings"/>
      </w:rPr>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BB138E"/>
    <w:rsid w:val="2CBB138E"/>
    <w:rsid w:val="7B9F6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9"/>
    <w:pPr>
      <w:widowControl/>
      <w:spacing w:before="100" w:beforeAutospacing="1" w:after="100" w:afterAutospacing="1" w:line="240" w:lineRule="auto"/>
      <w:jc w:val="left"/>
      <w:outlineLvl w:val="1"/>
    </w:pPr>
    <w:rPr>
      <w:rFonts w:ascii="宋体" w:hAnsi="宋体" w:eastAsia="宋体" w:cs="宋体"/>
      <w:b/>
      <w:bCs/>
      <w:kern w:val="0"/>
      <w:sz w:val="36"/>
      <w:szCs w:val="36"/>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adjustRightInd w:val="0"/>
      <w:snapToGrid w:val="0"/>
      <w:spacing w:line="360" w:lineRule="auto"/>
      <w:ind w:firstLine="420"/>
    </w:pPr>
    <w:rPr>
      <w:sz w:val="24"/>
    </w:rPr>
  </w:style>
  <w:style w:type="paragraph" w:styleId="4">
    <w:name w:val="Body Text"/>
    <w:basedOn w:val="1"/>
    <w:next w:val="5"/>
    <w:semiHidden/>
    <w:qFormat/>
    <w:uiPriority w:val="0"/>
    <w:rPr>
      <w:rFonts w:ascii="仿宋_GB2312" w:hAnsi="仿宋_GB2312" w:eastAsia="仿宋_GB2312" w:cs="仿宋_GB2312"/>
      <w:sz w:val="31"/>
      <w:szCs w:val="31"/>
      <w:lang w:val="en-US" w:eastAsia="en-US" w:bidi="ar-SA"/>
    </w:rPr>
  </w:style>
  <w:style w:type="paragraph" w:styleId="5">
    <w:name w:val="Body Text First Indent"/>
    <w:basedOn w:val="4"/>
    <w:next w:val="1"/>
    <w:qFormat/>
    <w:uiPriority w:val="0"/>
    <w:pPr>
      <w:snapToGrid w:val="0"/>
      <w:spacing w:before="40" w:after="40" w:line="288" w:lineRule="auto"/>
      <w:ind w:firstLine="482"/>
    </w:pPr>
    <w:rPr>
      <w:rFonts w:ascii="仿宋_GB2312" w:hAnsi="仿宋_GB2312" w:eastAsia="仿宋_GB2312"/>
      <w:szCs w:val="20"/>
    </w:rPr>
  </w:style>
  <w:style w:type="paragraph" w:styleId="6">
    <w:name w:val="Plain Text"/>
    <w:basedOn w:val="1"/>
    <w:qFormat/>
    <w:uiPriority w:val="0"/>
    <w:pPr>
      <w:spacing w:line="460" w:lineRule="exact"/>
      <w:ind w:firstLine="567"/>
    </w:pPr>
    <w:rPr>
      <w:rFonts w:ascii="宋体" w:hAnsi="Courier New" w:eastAsia="仿宋_GB2312"/>
      <w:sz w:val="28"/>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footnote text"/>
    <w:basedOn w:val="1"/>
    <w:qFormat/>
    <w:uiPriority w:val="99"/>
    <w:pPr>
      <w:snapToGrid w:val="0"/>
      <w:jc w:val="left"/>
    </w:pPr>
    <w:rPr>
      <w:rFonts w:ascii="宋体" w:hAnsi="Times New Roman" w:eastAsia="宋体" w:cs="Times New Roman"/>
      <w:kern w:val="0"/>
      <w:sz w:val="18"/>
      <w:szCs w:val="18"/>
    </w:rPr>
  </w:style>
  <w:style w:type="paragraph" w:customStyle="1" w:styleId="11">
    <w:name w:val="标题 5（有编号）（绿盟科技）"/>
    <w:basedOn w:val="1"/>
    <w:next w:val="12"/>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12">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2026-09-10T01:48:00Z</dcterms:created>
  <dc:creator>Admin</dc:creator>
  <cp:lastModifiedBy>Admin</cp:lastModifiedBy>
  <dcterms:modified xsi:type="dcterms:W3CDTF">2026-09-14T06:44:11Z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