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58187">
      <w:pPr>
        <w:keepNext w:val="0"/>
        <w:keepLines w:val="0"/>
        <w:widowControl w:val="0"/>
        <w:suppressLineNumbers w:val="0"/>
        <w:spacing w:before="0" w:beforeAutospacing="0" w:after="0" w:afterAutospacing="0"/>
        <w:ind w:left="0" w:right="0"/>
        <w:jc w:val="both"/>
        <w:outlineLvl w:val="0"/>
        <w:rPr>
          <w:rFonts w:hint="eastAsia" w:ascii="宋体" w:hAnsi="宋体" w:eastAsia="黑体" w:cs="宋体"/>
          <w:b/>
          <w:bCs w:val="0"/>
          <w:color w:val="000000"/>
          <w:kern w:val="2"/>
          <w:sz w:val="24"/>
          <w:szCs w:val="24"/>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r>
        <w:br w:type="textWrapping"/>
      </w:r>
      <w:r>
        <w:rPr>
          <w:rFonts w:hint="eastAsia"/>
          <w:b/>
          <w:bCs/>
          <w:sz w:val="24"/>
          <w:szCs w:val="24"/>
        </w:rPr>
        <w:t>本章中标注“★”号的条款为本项目的实质性要求，供应商应全部满足，否则其投标文件作无效处理。未标识符号的条款为一般参数条款。</w:t>
      </w:r>
    </w:p>
    <w:p w14:paraId="6B1C0319">
      <w:pPr>
        <w:pStyle w:val="13"/>
        <w:widowControl/>
        <w:adjustRightInd w:val="0"/>
        <w:spacing w:before="156" w:beforeLines="50" w:beforeAutospacing="0" w:after="156" w:afterLines="50" w:afterAutospacing="0" w:line="360" w:lineRule="auto"/>
        <w:ind w:left="0" w:firstLine="480" w:firstLineChars="200"/>
        <w:contextualSpacing/>
        <w:jc w:val="left"/>
        <w:outlineLvl w:val="1"/>
        <w:rPr>
          <w:rFonts w:hint="eastAsia" w:ascii="宋体" w:hAnsi="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一、项目概况</w:t>
      </w:r>
    </w:p>
    <w:p w14:paraId="6A768178">
      <w:pPr>
        <w:pStyle w:val="13"/>
        <w:widowControl/>
        <w:numPr>
          <w:ilvl w:val="0"/>
          <w:numId w:val="0"/>
        </w:numPr>
        <w:adjustRightInd w:val="0"/>
        <w:spacing w:before="156" w:beforeLines="50" w:beforeAutospacing="0" w:after="156" w:afterLines="50" w:afterAutospacing="0" w:line="360" w:lineRule="auto"/>
        <w:ind w:left="479" w:leftChars="228" w:right="0" w:rightChars="0" w:firstLine="0" w:firstLineChars="0"/>
        <w:contextualSpacing/>
        <w:jc w:val="left"/>
        <w:outlineLvl w:val="9"/>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（一）项目名称：信息系统类（反统方系统、行风与医德医风管理系统）</w:t>
      </w:r>
      <w:r>
        <w:rPr>
          <w:rFonts w:hint="eastAsia" w:ascii="宋体" w:hAnsi="宋体" w:eastAsia="宋体" w:cs="宋体"/>
          <w:b w:val="0"/>
          <w:bCs/>
          <w:color w:val="000000"/>
          <w:kern w:val="2"/>
          <w:sz w:val="24"/>
          <w:szCs w:val="24"/>
          <w:lang w:val="en-US" w:eastAsia="zh-CN" w:bidi="ar"/>
        </w:rPr>
        <w:br w:type="textWrapping"/>
      </w:r>
      <w:r>
        <w:rPr>
          <w:rFonts w:hint="eastAsia" w:ascii="宋体" w:hAnsi="宋体" w:eastAsia="宋体" w:cs="宋体"/>
          <w:b w:val="0"/>
          <w:bCs/>
          <w:color w:val="000000"/>
          <w:kern w:val="2"/>
          <w:sz w:val="24"/>
          <w:szCs w:val="24"/>
          <w:lang w:val="en-US" w:eastAsia="zh-CN" w:bidi="ar"/>
        </w:rPr>
        <w:t>（二）项目编号：2026-XXHB-ZYZ-011（公）</w:t>
      </w:r>
    </w:p>
    <w:p w14:paraId="74934AB0">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lang w:eastAsia="zh-CN"/>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三</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rPr>
        <w:t>项目预算：</w:t>
      </w:r>
      <w:r>
        <w:rPr>
          <w:rFonts w:hint="eastAsia" w:ascii="宋体" w:hAnsi="宋体" w:cs="宋体"/>
          <w:b w:val="0"/>
          <w:bCs/>
          <w:color w:val="000000"/>
          <w:kern w:val="2"/>
          <w:sz w:val="24"/>
          <w:szCs w:val="24"/>
          <w:lang w:val="en-US" w:eastAsia="zh-CN"/>
        </w:rPr>
        <w:t>19.8</w:t>
      </w:r>
      <w:r>
        <w:rPr>
          <w:rFonts w:hint="eastAsia" w:ascii="宋体" w:hAnsi="宋体" w:eastAsia="宋体" w:cs="宋体"/>
          <w:b w:val="0"/>
          <w:bCs/>
          <w:color w:val="000000"/>
          <w:kern w:val="2"/>
          <w:sz w:val="24"/>
          <w:szCs w:val="24"/>
        </w:rPr>
        <w:t>万元</w:t>
      </w:r>
      <w:r>
        <w:rPr>
          <w:rFonts w:hint="eastAsia" w:ascii="宋体" w:hAnsi="宋体" w:cs="宋体"/>
          <w:b w:val="0"/>
          <w:bCs/>
          <w:color w:val="000000"/>
          <w:kern w:val="2"/>
          <w:sz w:val="24"/>
          <w:szCs w:val="24"/>
          <w:lang w:eastAsia="zh-CN"/>
        </w:rPr>
        <w:t>（</w:t>
      </w:r>
      <w:r>
        <w:rPr>
          <w:rFonts w:hint="eastAsia" w:ascii="宋体" w:hAnsi="宋体" w:cs="宋体"/>
          <w:b w:val="0"/>
          <w:bCs/>
          <w:color w:val="000000"/>
          <w:kern w:val="2"/>
          <w:sz w:val="24"/>
          <w:szCs w:val="24"/>
          <w:lang w:val="en-US" w:eastAsia="zh-CN"/>
        </w:rPr>
        <w:t>其中</w:t>
      </w:r>
      <w:r>
        <w:rPr>
          <w:rFonts w:hint="eastAsia" w:ascii="宋体" w:hAnsi="宋体" w:eastAsia="宋体" w:cs="宋体"/>
          <w:b w:val="0"/>
          <w:bCs/>
          <w:color w:val="000000"/>
          <w:kern w:val="2"/>
          <w:sz w:val="24"/>
          <w:szCs w:val="24"/>
          <w:lang w:val="en-US" w:eastAsia="zh-CN" w:bidi="ar"/>
        </w:rPr>
        <w:t>反统方系统9.9万元，行风与医德医风管理系统9.9万元</w:t>
      </w:r>
      <w:r>
        <w:rPr>
          <w:rFonts w:hint="eastAsia" w:ascii="宋体" w:hAnsi="宋体" w:cs="宋体"/>
          <w:b w:val="0"/>
          <w:bCs/>
          <w:color w:val="000000"/>
          <w:kern w:val="2"/>
          <w:sz w:val="24"/>
          <w:szCs w:val="24"/>
          <w:lang w:eastAsia="zh-CN"/>
        </w:rPr>
        <w:t>）</w:t>
      </w:r>
    </w:p>
    <w:p w14:paraId="7D21FD6E">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default"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（四）项目最高限价：19.8万元</w:t>
      </w:r>
      <w:r>
        <w:rPr>
          <w:rFonts w:hint="eastAsia" w:ascii="宋体" w:hAnsi="宋体" w:cs="宋体"/>
          <w:b w:val="0"/>
          <w:bCs/>
          <w:color w:val="000000"/>
          <w:kern w:val="2"/>
          <w:sz w:val="24"/>
          <w:szCs w:val="24"/>
          <w:lang w:eastAsia="zh-CN"/>
        </w:rPr>
        <w:t>（</w:t>
      </w:r>
      <w:r>
        <w:rPr>
          <w:rFonts w:hint="eastAsia" w:ascii="宋体" w:hAnsi="宋体" w:cs="宋体"/>
          <w:b w:val="0"/>
          <w:bCs/>
          <w:color w:val="000000"/>
          <w:kern w:val="2"/>
          <w:sz w:val="24"/>
          <w:szCs w:val="24"/>
          <w:lang w:val="en-US" w:eastAsia="zh-CN"/>
        </w:rPr>
        <w:t>其中</w:t>
      </w:r>
      <w:r>
        <w:rPr>
          <w:rFonts w:hint="eastAsia" w:ascii="宋体" w:hAnsi="宋体" w:eastAsia="宋体" w:cs="宋体"/>
          <w:b w:val="0"/>
          <w:bCs/>
          <w:color w:val="000000"/>
          <w:kern w:val="2"/>
          <w:sz w:val="24"/>
          <w:szCs w:val="24"/>
          <w:lang w:val="en-US" w:eastAsia="zh-CN" w:bidi="ar"/>
        </w:rPr>
        <w:t>反统方系统9.9万元，行风与医德医风管理系统9.9万元</w:t>
      </w:r>
      <w:r>
        <w:rPr>
          <w:rFonts w:hint="eastAsia" w:ascii="宋体" w:hAnsi="宋体" w:cs="宋体"/>
          <w:b w:val="0"/>
          <w:bCs/>
          <w:color w:val="000000"/>
          <w:kern w:val="2"/>
          <w:sz w:val="24"/>
          <w:szCs w:val="24"/>
          <w:lang w:eastAsia="zh-CN"/>
        </w:rPr>
        <w:t>）</w:t>
      </w:r>
    </w:p>
    <w:p w14:paraId="76D1B76A">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五</w:t>
      </w: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服务</w:t>
      </w:r>
      <w:r>
        <w:rPr>
          <w:rFonts w:hint="eastAsia" w:ascii="宋体" w:hAnsi="宋体" w:eastAsia="宋体" w:cs="宋体"/>
          <w:b w:val="0"/>
          <w:bCs/>
          <w:color w:val="000000"/>
          <w:kern w:val="2"/>
          <w:sz w:val="24"/>
          <w:szCs w:val="24"/>
        </w:rPr>
        <w:t>清单：</w:t>
      </w:r>
      <w:bookmarkStart w:id="7" w:name="_GoBack"/>
      <w:bookmarkEnd w:id="7"/>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919"/>
        <w:gridCol w:w="2085"/>
        <w:gridCol w:w="2128"/>
        <w:gridCol w:w="1234"/>
        <w:gridCol w:w="1234"/>
      </w:tblGrid>
      <w:tr w14:paraId="2674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9" w:type="pct"/>
            <w:vAlign w:val="center"/>
          </w:tcPr>
          <w:p w14:paraId="38EBF24E">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包号</w:t>
            </w:r>
          </w:p>
        </w:tc>
        <w:tc>
          <w:tcPr>
            <w:tcW w:w="539" w:type="pct"/>
            <w:vAlign w:val="center"/>
          </w:tcPr>
          <w:p w14:paraId="593A63DE">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序号</w:t>
            </w:r>
          </w:p>
        </w:tc>
        <w:tc>
          <w:tcPr>
            <w:tcW w:w="1223" w:type="pct"/>
            <w:vAlign w:val="center"/>
          </w:tcPr>
          <w:p w14:paraId="47CF1E73">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标的名称</w:t>
            </w:r>
          </w:p>
        </w:tc>
        <w:tc>
          <w:tcPr>
            <w:tcW w:w="1248" w:type="pct"/>
            <w:vAlign w:val="center"/>
          </w:tcPr>
          <w:p w14:paraId="302EC5D0">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计量单位</w:t>
            </w:r>
          </w:p>
        </w:tc>
        <w:tc>
          <w:tcPr>
            <w:tcW w:w="724" w:type="pct"/>
            <w:vAlign w:val="center"/>
          </w:tcPr>
          <w:p w14:paraId="3F5AA32C">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数量</w:t>
            </w:r>
          </w:p>
        </w:tc>
        <w:tc>
          <w:tcPr>
            <w:tcW w:w="724" w:type="pct"/>
            <w:vAlign w:val="center"/>
          </w:tcPr>
          <w:p w14:paraId="0507A4D2">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最高限价（万元）</w:t>
            </w:r>
          </w:p>
        </w:tc>
      </w:tr>
      <w:tr w14:paraId="029E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9" w:type="pct"/>
            <w:vMerge w:val="restart"/>
            <w:vAlign w:val="center"/>
          </w:tcPr>
          <w:p w14:paraId="5AF49419">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default"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1</w:t>
            </w:r>
          </w:p>
        </w:tc>
        <w:tc>
          <w:tcPr>
            <w:tcW w:w="539" w:type="pct"/>
            <w:vAlign w:val="center"/>
          </w:tcPr>
          <w:p w14:paraId="691130C7">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w:t>
            </w:r>
          </w:p>
        </w:tc>
        <w:tc>
          <w:tcPr>
            <w:tcW w:w="1223" w:type="pct"/>
            <w:vAlign w:val="center"/>
          </w:tcPr>
          <w:p w14:paraId="71D32FB8">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反统方系统</w:t>
            </w:r>
          </w:p>
        </w:tc>
        <w:tc>
          <w:tcPr>
            <w:tcW w:w="1248" w:type="pct"/>
            <w:vAlign w:val="center"/>
          </w:tcPr>
          <w:p w14:paraId="602AB2EB">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套</w:t>
            </w:r>
          </w:p>
        </w:tc>
        <w:tc>
          <w:tcPr>
            <w:tcW w:w="724" w:type="pct"/>
            <w:vAlign w:val="center"/>
          </w:tcPr>
          <w:p w14:paraId="6BB8E9C2">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w:t>
            </w:r>
          </w:p>
        </w:tc>
        <w:tc>
          <w:tcPr>
            <w:tcW w:w="724" w:type="pct"/>
            <w:vAlign w:val="center"/>
          </w:tcPr>
          <w:p w14:paraId="59DFAB3B">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default"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9.9</w:t>
            </w:r>
          </w:p>
        </w:tc>
      </w:tr>
      <w:tr w14:paraId="39B5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9" w:type="pct"/>
            <w:vMerge w:val="continue"/>
            <w:vAlign w:val="center"/>
          </w:tcPr>
          <w:p w14:paraId="19B9AB19">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p>
        </w:tc>
        <w:tc>
          <w:tcPr>
            <w:tcW w:w="539" w:type="pct"/>
            <w:vAlign w:val="center"/>
          </w:tcPr>
          <w:p w14:paraId="280DD22F">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2</w:t>
            </w:r>
          </w:p>
        </w:tc>
        <w:tc>
          <w:tcPr>
            <w:tcW w:w="1223" w:type="pct"/>
            <w:vAlign w:val="center"/>
          </w:tcPr>
          <w:p w14:paraId="156428C9">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行风与医德医风管理系统</w:t>
            </w:r>
          </w:p>
        </w:tc>
        <w:tc>
          <w:tcPr>
            <w:tcW w:w="1248" w:type="pct"/>
            <w:vAlign w:val="center"/>
          </w:tcPr>
          <w:p w14:paraId="39A8699D">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套</w:t>
            </w:r>
          </w:p>
        </w:tc>
        <w:tc>
          <w:tcPr>
            <w:tcW w:w="724" w:type="pct"/>
            <w:vAlign w:val="center"/>
          </w:tcPr>
          <w:p w14:paraId="7205D4CA">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eastAsia" w:ascii="宋体" w:hAnsi="宋体" w:eastAsia="宋体" w:cs="宋体"/>
                <w:b w:val="0"/>
                <w:bCs/>
                <w:color w:val="000000"/>
                <w:kern w:val="2"/>
                <w:sz w:val="24"/>
                <w:szCs w:val="24"/>
                <w:lang w:val="en-US" w:eastAsia="zh-CN"/>
              </w:rPr>
            </w:pPr>
            <w:r>
              <w:rPr>
                <w:rFonts w:hint="eastAsia" w:ascii="宋体" w:hAnsi="宋体" w:eastAsia="宋体" w:cs="宋体"/>
                <w:b w:val="0"/>
                <w:bCs/>
                <w:color w:val="000000"/>
                <w:kern w:val="2"/>
                <w:sz w:val="24"/>
                <w:szCs w:val="24"/>
                <w:lang w:val="en-US" w:eastAsia="zh-CN"/>
              </w:rPr>
              <w:t>1</w:t>
            </w:r>
          </w:p>
        </w:tc>
        <w:tc>
          <w:tcPr>
            <w:tcW w:w="724" w:type="pct"/>
            <w:vAlign w:val="center"/>
          </w:tcPr>
          <w:p w14:paraId="5BA99424">
            <w:pPr>
              <w:pStyle w:val="13"/>
              <w:widowControl/>
              <w:numPr>
                <w:ilvl w:val="0"/>
                <w:numId w:val="0"/>
              </w:numPr>
              <w:adjustRightInd w:val="0"/>
              <w:spacing w:before="156" w:beforeLines="50" w:beforeAutospacing="0" w:after="156" w:afterLines="50" w:afterAutospacing="0" w:line="360" w:lineRule="auto"/>
              <w:ind w:right="0" w:rightChars="0"/>
              <w:contextualSpacing/>
              <w:jc w:val="center"/>
              <w:outlineLvl w:val="9"/>
              <w:rPr>
                <w:rFonts w:hint="default" w:ascii="宋体" w:hAnsi="宋体" w:eastAsia="宋体" w:cs="宋体"/>
                <w:b w:val="0"/>
                <w:bCs/>
                <w:color w:val="000000"/>
                <w:kern w:val="2"/>
                <w:sz w:val="24"/>
                <w:szCs w:val="24"/>
                <w:lang w:val="en-US" w:eastAsia="zh-CN"/>
              </w:rPr>
            </w:pPr>
            <w:r>
              <w:rPr>
                <w:rFonts w:hint="eastAsia" w:ascii="宋体" w:hAnsi="宋体" w:cs="宋体"/>
                <w:b w:val="0"/>
                <w:bCs/>
                <w:color w:val="000000"/>
                <w:kern w:val="2"/>
                <w:sz w:val="24"/>
                <w:szCs w:val="24"/>
                <w:lang w:val="en-US" w:eastAsia="zh-CN"/>
              </w:rPr>
              <w:t>9.9</w:t>
            </w:r>
          </w:p>
        </w:tc>
      </w:tr>
    </w:tbl>
    <w:p w14:paraId="04C10CD3">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1"/>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bidi="ar"/>
        </w:rPr>
        <w:t>二、</w:t>
      </w:r>
      <w:r>
        <w:rPr>
          <w:rFonts w:hint="eastAsia" w:ascii="宋体" w:hAnsi="宋体" w:eastAsia="宋体" w:cs="宋体"/>
          <w:b w:val="0"/>
          <w:bCs/>
          <w:color w:val="000000"/>
          <w:kern w:val="2"/>
          <w:sz w:val="24"/>
          <w:szCs w:val="24"/>
        </w:rPr>
        <w:t>技术</w:t>
      </w:r>
      <w:r>
        <w:rPr>
          <w:rFonts w:hint="eastAsia" w:ascii="宋体" w:hAnsi="宋体" w:cs="宋体"/>
          <w:b w:val="0"/>
          <w:bCs/>
          <w:color w:val="000000"/>
          <w:kern w:val="2"/>
          <w:sz w:val="24"/>
          <w:szCs w:val="24"/>
          <w:lang w:val="en-US" w:eastAsia="zh-CN"/>
        </w:rPr>
        <w:t>服务</w:t>
      </w:r>
      <w:r>
        <w:rPr>
          <w:rFonts w:hint="eastAsia" w:ascii="宋体" w:hAnsi="宋体" w:eastAsia="宋体" w:cs="宋体"/>
          <w:b w:val="0"/>
          <w:bCs/>
          <w:color w:val="000000"/>
          <w:kern w:val="2"/>
          <w:sz w:val="24"/>
          <w:szCs w:val="24"/>
        </w:rPr>
        <w:t>要求</w:t>
      </w:r>
    </w:p>
    <w:tbl>
      <w:tblPr>
        <w:tblStyle w:val="9"/>
        <w:tblW w:w="47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7390"/>
      </w:tblGrid>
      <w:tr w14:paraId="68AE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30" w:type="pct"/>
            <w:vAlign w:val="center"/>
          </w:tcPr>
          <w:p w14:paraId="5158264A">
            <w:pPr>
              <w:keepNext w:val="0"/>
              <w:keepLines w:val="0"/>
              <w:widowControl/>
              <w:suppressLineNumbers w:val="0"/>
              <w:tabs>
                <w:tab w:val="left" w:pos="3573"/>
              </w:tabs>
              <w:spacing w:before="0" w:beforeAutospacing="0" w:after="0" w:afterAutospacing="0" w:line="440" w:lineRule="exact"/>
              <w:ind w:left="0" w:right="0"/>
              <w:jc w:val="center"/>
              <w:rPr>
                <w:rFonts w:hint="eastAsia" w:ascii="黑体" w:hAnsi="黑体" w:eastAsia="黑体"/>
                <w:color w:val="000000"/>
                <w:sz w:val="24"/>
                <w:szCs w:val="24"/>
              </w:rPr>
            </w:pPr>
            <w:r>
              <w:rPr>
                <w:rFonts w:hint="eastAsia" w:ascii="黑体" w:hAnsi="黑体" w:eastAsia="黑体"/>
                <w:color w:val="000000"/>
                <w:sz w:val="24"/>
                <w:szCs w:val="24"/>
              </w:rPr>
              <w:t>技术要求</w:t>
            </w:r>
            <w:r>
              <w:rPr>
                <w:rFonts w:hint="eastAsia" w:ascii="黑体" w:hAnsi="黑体" w:eastAsia="黑体"/>
                <w:color w:val="000000"/>
                <w:sz w:val="24"/>
                <w:szCs w:val="24"/>
              </w:rPr>
              <w:br w:type="textWrapping"/>
            </w:r>
            <w:r>
              <w:rPr>
                <w:rFonts w:hint="eastAsia" w:ascii="黑体" w:hAnsi="黑体" w:eastAsia="黑体"/>
                <w:color w:val="000000"/>
                <w:sz w:val="24"/>
                <w:szCs w:val="24"/>
              </w:rPr>
              <w:t>（功能和质量要求）</w:t>
            </w:r>
          </w:p>
        </w:tc>
        <w:tc>
          <w:tcPr>
            <w:tcW w:w="4569" w:type="pct"/>
          </w:tcPr>
          <w:p w14:paraId="321BE738">
            <w:pPr>
              <w:pStyle w:val="6"/>
              <w:spacing w:before="0" w:beforeAutospacing="0" w:after="0" w:line="360" w:lineRule="auto"/>
              <w:ind w:left="0" w:right="0" w:firstLine="420" w:firstLineChars="200"/>
              <w:jc w:val="left"/>
              <w:rPr>
                <w:rFonts w:hint="eastAsia"/>
              </w:rPr>
            </w:pPr>
            <w:r>
              <w:rPr>
                <w:rFonts w:hint="eastAsia"/>
              </w:rPr>
              <w:t>本章中标注“★”号的条款为本项目的实质性要求，供应商应全部满足，否则其投标文件作无效处理。未标识符号的条款为一般参数条款。</w:t>
            </w:r>
          </w:p>
          <w:p w14:paraId="6A0F0A73">
            <w:pPr>
              <w:pStyle w:val="6"/>
              <w:spacing w:before="0" w:beforeAutospacing="0"/>
              <w:ind w:left="0" w:right="0"/>
              <w:rPr>
                <w:rFonts w:hint="eastAsia"/>
                <w:b/>
                <w:bCs/>
                <w:lang w:val="en-US" w:eastAsia="zh-CN"/>
              </w:rPr>
            </w:pPr>
            <w:r>
              <w:rPr>
                <w:rFonts w:hint="eastAsia"/>
                <w:b/>
                <w:bCs/>
                <w:lang w:val="en-US" w:eastAsia="zh-CN"/>
              </w:rPr>
              <w:t>一、反统方系统</w:t>
            </w:r>
          </w:p>
          <w:p w14:paraId="2DE6FD84">
            <w:pPr>
              <w:pStyle w:val="13"/>
              <w:widowControl/>
              <w:numPr>
                <w:ilvl w:val="0"/>
                <w:numId w:val="1"/>
              </w:numPr>
              <w:spacing w:line="360" w:lineRule="auto"/>
              <w:ind w:firstLineChars="0"/>
              <w:rPr>
                <w:rFonts w:hint="eastAsia" w:ascii="宋体" w:hAnsi="宋体" w:cs="宋体"/>
                <w:bCs/>
                <w:kern w:val="0"/>
                <w:lang w:bidi="ar"/>
              </w:rPr>
            </w:pPr>
            <w:r>
              <w:rPr>
                <w:rFonts w:hint="eastAsia" w:ascii="宋体" w:hAnsi="宋体" w:cs="宋体"/>
                <w:shd w:val="clear" w:color="auto" w:fill="FFFFFF"/>
                <w:lang w:bidi="ar"/>
              </w:rPr>
              <w:t>★提供纯软件版产品，</w:t>
            </w:r>
            <w:r>
              <w:rPr>
                <w:rFonts w:hint="eastAsia" w:ascii="宋体" w:hAnsi="宋体" w:cs="宋体"/>
                <w:shd w:val="clear" w:color="auto" w:fill="FFFFFF"/>
                <w:lang w:val="en-US" w:eastAsia="zh-CN" w:bidi="ar"/>
              </w:rPr>
              <w:t>支持</w:t>
            </w:r>
            <w:r>
              <w:rPr>
                <w:rFonts w:hint="eastAsia" w:ascii="宋体" w:hAnsi="宋体" w:cs="宋体"/>
                <w:shd w:val="clear" w:color="auto" w:fill="FFFFFF"/>
                <w:lang w:bidi="ar"/>
              </w:rPr>
              <w:t>虚拟化部署</w:t>
            </w:r>
            <w:r>
              <w:rPr>
                <w:rFonts w:hint="eastAsia" w:ascii="宋体" w:hAnsi="宋体" w:cs="宋体"/>
                <w:shd w:val="clear" w:color="auto" w:fill="FFFFFF"/>
                <w:lang w:eastAsia="zh-CN" w:bidi="ar"/>
              </w:rPr>
              <w:t>、</w:t>
            </w:r>
            <w:r>
              <w:rPr>
                <w:rFonts w:hint="eastAsia" w:ascii="宋体" w:hAnsi="宋体" w:cs="宋体"/>
                <w:shd w:val="clear" w:color="auto" w:fill="FFFFFF"/>
                <w:lang w:val="en-US" w:eastAsia="zh-CN" w:bidi="ar"/>
              </w:rPr>
              <w:t>集群部署、旁路部署</w:t>
            </w:r>
            <w:r>
              <w:rPr>
                <w:rFonts w:hint="eastAsia" w:ascii="宋体" w:hAnsi="宋体" w:cs="宋体"/>
                <w:shd w:val="clear" w:color="auto" w:fill="FFFFFF"/>
                <w:lang w:eastAsia="zh-CN" w:bidi="ar"/>
              </w:rPr>
              <w:t>。</w:t>
            </w:r>
            <w:r>
              <w:rPr>
                <w:rFonts w:hint="eastAsia" w:ascii="宋体" w:hAnsi="宋体" w:cs="宋体"/>
                <w:bCs/>
                <w:kern w:val="0"/>
                <w:lang w:val="en-US" w:eastAsia="zh-CN" w:bidi="ar"/>
              </w:rPr>
              <w:t>业务高峰时段的事件延迟不高于10分钟</w:t>
            </w:r>
            <w:r>
              <w:rPr>
                <w:rFonts w:hint="eastAsia" w:ascii="宋体" w:hAnsi="宋体" w:cs="宋体"/>
                <w:bCs/>
                <w:kern w:val="0"/>
                <w:lang w:bidi="ar"/>
              </w:rPr>
              <w:t>。</w:t>
            </w:r>
            <w:r>
              <w:rPr>
                <w:rFonts w:hint="eastAsia" w:ascii="宋体" w:hAnsi="宋体" w:cs="宋体"/>
                <w:bCs/>
                <w:kern w:val="0"/>
                <w:lang w:val="en-US" w:eastAsia="zh-CN" w:bidi="ar"/>
              </w:rPr>
              <w:t>软件授权模式为终身</w:t>
            </w:r>
            <w:r>
              <w:rPr>
                <w:rFonts w:hint="eastAsia" w:ascii="宋体" w:hAnsi="宋体" w:cs="宋体"/>
                <w:bCs/>
                <w:kern w:val="0"/>
                <w:lang w:bidi="ar"/>
              </w:rPr>
              <w:t>。</w:t>
            </w:r>
          </w:p>
          <w:p w14:paraId="49707A6F">
            <w:pPr>
              <w:pStyle w:val="13"/>
              <w:widowControl/>
              <w:numPr>
                <w:ilvl w:val="0"/>
                <w:numId w:val="1"/>
              </w:numPr>
              <w:spacing w:line="360" w:lineRule="auto"/>
              <w:ind w:firstLineChars="0"/>
            </w:pPr>
            <w:r>
              <w:rPr>
                <w:rFonts w:hint="eastAsia" w:ascii="宋体" w:hAnsi="宋体" w:cs="宋体"/>
                <w:shd w:val="clear" w:color="auto" w:fill="FFFFFF"/>
                <w:lang w:bidi="ar"/>
              </w:rPr>
              <w:t>▲产品采用专用</w:t>
            </w:r>
            <w:r>
              <w:rPr>
                <w:rFonts w:hint="eastAsia" w:ascii="宋体" w:hAnsi="宋体" w:cs="宋体"/>
                <w:shd w:val="clear" w:color="auto" w:fill="FFFFFF"/>
                <w:lang w:eastAsia="zh-CN" w:bidi="ar"/>
              </w:rPr>
              <w:t>反统方</w:t>
            </w:r>
            <w:r>
              <w:rPr>
                <w:rFonts w:hint="eastAsia" w:ascii="宋体" w:hAnsi="宋体" w:cs="宋体"/>
                <w:shd w:val="clear" w:color="auto" w:fill="FFFFFF"/>
                <w:lang w:bidi="ar"/>
              </w:rPr>
              <w:t>系统，</w:t>
            </w:r>
            <w:r>
              <w:rPr>
                <w:rFonts w:hint="eastAsia" w:ascii="宋体" w:hAnsi="宋体" w:cs="宋体"/>
                <w:shd w:val="clear" w:color="auto" w:fill="FFFFFF"/>
                <w:lang w:val="en-US" w:eastAsia="zh-CN" w:bidi="ar"/>
              </w:rPr>
              <w:t>需要</w:t>
            </w:r>
            <w:r>
              <w:rPr>
                <w:rFonts w:hint="eastAsia" w:ascii="宋体" w:hAnsi="宋体" w:cs="宋体"/>
                <w:shd w:val="clear" w:color="auto" w:fill="FFFFFF"/>
                <w:lang w:bidi="ar"/>
              </w:rPr>
              <w:t>提供产品销售许可证</w:t>
            </w:r>
            <w:r>
              <w:rPr>
                <w:rFonts w:hint="eastAsia" w:ascii="宋体" w:hAnsi="宋体" w:cs="宋体"/>
                <w:shd w:val="clear" w:color="auto" w:fill="FFFFFF"/>
                <w:lang w:val="en-US" w:eastAsia="zh-CN" w:bidi="ar"/>
              </w:rPr>
              <w:t>或</w:t>
            </w:r>
            <w:r>
              <w:rPr>
                <w:rFonts w:hint="eastAsia" w:ascii="宋体" w:hAnsi="宋体" w:cs="宋体"/>
                <w:shd w:val="clear" w:color="auto" w:fill="FFFFFF"/>
                <w:lang w:bidi="ar"/>
              </w:rPr>
              <w:t>网络安全专用产品安全检测证书</w:t>
            </w:r>
            <w:r>
              <w:rPr>
                <w:rFonts w:hint="eastAsia" w:ascii="宋体" w:hAnsi="宋体" w:cs="宋体"/>
                <w:shd w:val="clear" w:color="auto" w:fill="FFFFFF"/>
                <w:lang w:val="en-US" w:eastAsia="zh-CN" w:bidi="ar"/>
              </w:rPr>
              <w:t>或软件著作等</w:t>
            </w:r>
            <w:r>
              <w:rPr>
                <w:rFonts w:hint="eastAsia" w:ascii="宋体" w:hAnsi="宋体" w:cs="宋体"/>
                <w:b/>
                <w:bCs/>
                <w:shd w:val="clear" w:color="auto" w:fill="FFFFFF"/>
                <w:lang w:val="en-US" w:eastAsia="zh-CN" w:bidi="ar"/>
              </w:rPr>
              <w:t>（</w:t>
            </w:r>
            <w:r>
              <w:rPr>
                <w:rFonts w:hint="eastAsia" w:ascii="宋体" w:hAnsi="宋体" w:cs="宋体"/>
                <w:b/>
                <w:bCs/>
                <w:shd w:val="clear" w:color="auto" w:fill="FFFFFF"/>
                <w:lang w:bidi="ar"/>
              </w:rPr>
              <w:t>提供的证书需包含“</w:t>
            </w:r>
            <w:r>
              <w:rPr>
                <w:rFonts w:hint="eastAsia" w:ascii="宋体" w:hAnsi="宋体" w:cs="宋体"/>
                <w:b/>
                <w:bCs/>
                <w:shd w:val="clear" w:color="auto" w:fill="FFFFFF"/>
                <w:lang w:eastAsia="zh-CN" w:bidi="ar"/>
              </w:rPr>
              <w:t>统方</w:t>
            </w:r>
            <w:r>
              <w:rPr>
                <w:rFonts w:hint="eastAsia" w:ascii="宋体" w:hAnsi="宋体" w:cs="宋体"/>
                <w:b/>
                <w:bCs/>
                <w:shd w:val="clear" w:color="auto" w:fill="FFFFFF"/>
                <w:lang w:bidi="ar"/>
              </w:rPr>
              <w:t>”字样</w:t>
            </w:r>
            <w:r>
              <w:rPr>
                <w:rFonts w:hint="eastAsia" w:ascii="宋体" w:hAnsi="宋体" w:cs="宋体"/>
                <w:b/>
                <w:bCs/>
                <w:shd w:val="clear" w:color="auto" w:fill="FFFFFF"/>
                <w:lang w:val="en-US" w:eastAsia="zh-CN" w:bidi="ar"/>
              </w:rPr>
              <w:t>）</w:t>
            </w:r>
            <w:r>
              <w:rPr>
                <w:rFonts w:hint="eastAsia" w:ascii="宋体" w:hAnsi="宋体" w:cs="宋体"/>
                <w:shd w:val="clear" w:color="auto" w:fill="FFFFFF"/>
                <w:lang w:eastAsia="zh-CN" w:bidi="ar"/>
              </w:rPr>
              <w:t>。</w:t>
            </w:r>
          </w:p>
          <w:p w14:paraId="137236AC">
            <w:pPr>
              <w:pStyle w:val="13"/>
              <w:widowControl/>
              <w:numPr>
                <w:ilvl w:val="0"/>
                <w:numId w:val="1"/>
              </w:numPr>
              <w:spacing w:line="360" w:lineRule="auto"/>
              <w:ind w:firstLineChars="0"/>
              <w:rPr>
                <w:rFonts w:hint="eastAsia" w:ascii="宋体" w:hAnsi="宋体" w:cs="宋体"/>
                <w:b/>
                <w:bCs w:val="0"/>
                <w:shd w:val="clear" w:color="auto" w:fill="FFFFFF"/>
                <w:lang w:bidi="ar"/>
              </w:rPr>
            </w:pPr>
            <w:r>
              <w:rPr>
                <w:rFonts w:hint="eastAsia" w:ascii="宋体" w:hAnsi="宋体" w:cs="宋体"/>
                <w:b/>
                <w:bCs/>
                <w:sz w:val="24"/>
                <w:szCs w:val="24"/>
              </w:rPr>
              <w:t>▲</w:t>
            </w:r>
            <w:r>
              <w:rPr>
                <w:rFonts w:hint="eastAsia" w:ascii="宋体" w:hAnsi="宋体" w:cs="宋体"/>
                <w:bCs/>
                <w:kern w:val="0"/>
                <w:lang w:bidi="ar"/>
              </w:rPr>
              <w:t>支持</w:t>
            </w:r>
            <w:r>
              <w:rPr>
                <w:rFonts w:hint="eastAsia" w:ascii="宋体" w:hAnsi="宋体" w:cs="宋体"/>
                <w:bCs/>
                <w:kern w:val="0"/>
                <w:lang w:val="en-US" w:eastAsia="zh-CN" w:bidi="ar"/>
              </w:rPr>
              <w:t>系统运行状态监管</w:t>
            </w:r>
            <w:r>
              <w:rPr>
                <w:rFonts w:hint="eastAsia" w:ascii="宋体" w:hAnsi="宋体" w:cs="宋体"/>
                <w:bCs/>
                <w:kern w:val="0"/>
                <w:lang w:bidi="ar"/>
              </w:rPr>
              <w:t>，可快速查看所有</w:t>
            </w:r>
            <w:r>
              <w:rPr>
                <w:rFonts w:hint="eastAsia" w:ascii="宋体" w:hAnsi="宋体" w:cs="宋体"/>
                <w:bCs/>
                <w:kern w:val="0"/>
                <w:lang w:eastAsia="zh-CN" w:bidi="ar"/>
              </w:rPr>
              <w:t>反统方</w:t>
            </w:r>
            <w:r>
              <w:rPr>
                <w:rFonts w:hint="eastAsia" w:ascii="宋体" w:hAnsi="宋体" w:cs="宋体"/>
                <w:bCs/>
                <w:kern w:val="0"/>
                <w:lang w:bidi="ar"/>
              </w:rPr>
              <w:t>系统的状态、风险状态等</w:t>
            </w:r>
            <w:r>
              <w:rPr>
                <w:rFonts w:hint="eastAsia" w:ascii="宋体" w:hAnsi="宋体" w:cs="宋体"/>
                <w:bCs/>
                <w:kern w:val="0"/>
                <w:lang w:eastAsia="zh-CN" w:bidi="ar"/>
              </w:rPr>
              <w:t>。</w:t>
            </w:r>
            <w:r>
              <w:rPr>
                <w:rFonts w:hint="eastAsia" w:ascii="宋体" w:hAnsi="宋体" w:cs="宋体"/>
                <w:b/>
                <w:bCs w:val="0"/>
                <w:kern w:val="0"/>
                <w:lang w:bidi="ar"/>
              </w:rPr>
              <w:t>（</w:t>
            </w:r>
            <w:r>
              <w:rPr>
                <w:rFonts w:hint="eastAsia" w:ascii="宋体" w:hAnsi="宋体" w:cs="宋体"/>
                <w:b/>
                <w:bCs w:val="0"/>
                <w:lang w:bidi="ar"/>
              </w:rPr>
              <w:t>提供功能截图加盖投标人公章）</w:t>
            </w:r>
          </w:p>
          <w:p w14:paraId="5644CFAB">
            <w:pPr>
              <w:pStyle w:val="13"/>
              <w:widowControl/>
              <w:numPr>
                <w:ilvl w:val="0"/>
                <w:numId w:val="1"/>
              </w:numPr>
              <w:spacing w:line="360" w:lineRule="auto"/>
              <w:ind w:firstLineChars="0"/>
              <w:rPr>
                <w:rFonts w:hint="eastAsia" w:ascii="宋体" w:hAnsi="宋体" w:cs="宋体"/>
                <w:b/>
                <w:bCs w:val="0"/>
                <w:shd w:val="clear" w:color="auto" w:fill="FFFFFF"/>
                <w:lang w:bidi="ar"/>
              </w:rPr>
            </w:pPr>
            <w:r>
              <w:rPr>
                <w:rFonts w:hint="eastAsia" w:ascii="宋体" w:hAnsi="宋体" w:cs="宋体"/>
                <w:b/>
                <w:bCs/>
                <w:sz w:val="24"/>
                <w:szCs w:val="24"/>
              </w:rPr>
              <w:t>▲</w:t>
            </w:r>
            <w:r>
              <w:rPr>
                <w:rFonts w:hint="eastAsia" w:ascii="宋体" w:hAnsi="宋体" w:cs="宋体"/>
                <w:bCs/>
                <w:kern w:val="0"/>
                <w:lang w:bidi="ar"/>
              </w:rPr>
              <w:t>支持</w:t>
            </w:r>
            <w:r>
              <w:rPr>
                <w:rFonts w:hint="eastAsia" w:ascii="宋体" w:hAnsi="宋体" w:cs="宋体"/>
                <w:kern w:val="0"/>
                <w:lang w:bidi="ar"/>
              </w:rPr>
              <w:t>oracle、</w:t>
            </w:r>
            <w:r>
              <w:rPr>
                <w:rFonts w:hint="eastAsia" w:ascii="宋体" w:hAnsi="宋体" w:cs="宋体"/>
                <w:shd w:val="clear" w:color="auto" w:fill="FFFFFF"/>
                <w:lang w:bidi="ar"/>
              </w:rPr>
              <w:t>SQL</w:t>
            </w:r>
            <w:r>
              <w:rPr>
                <w:rFonts w:ascii="宋体" w:hAnsi="宋体" w:cs="宋体"/>
                <w:shd w:val="clear" w:color="auto" w:fill="FFFFFF"/>
                <w:lang w:bidi="ar"/>
              </w:rPr>
              <w:t xml:space="preserve"> </w:t>
            </w:r>
            <w:r>
              <w:rPr>
                <w:rFonts w:hint="eastAsia" w:ascii="宋体" w:hAnsi="宋体" w:cs="宋体"/>
                <w:shd w:val="clear" w:color="auto" w:fill="FFFFFF"/>
                <w:lang w:bidi="ar"/>
              </w:rPr>
              <w:t>Server</w:t>
            </w:r>
            <w:r>
              <w:rPr>
                <w:rFonts w:hint="eastAsia" w:ascii="宋体" w:hAnsi="宋体" w:cs="宋体"/>
                <w:kern w:val="0"/>
                <w:lang w:bidi="ar"/>
              </w:rPr>
              <w:t>、Mysql、DB2、postaresql 、</w:t>
            </w:r>
            <w:r>
              <w:rPr>
                <w:rFonts w:hint="eastAsia" w:ascii="宋体" w:hAnsi="宋体" w:cs="宋体"/>
                <w:shd w:val="clear" w:color="auto" w:fill="FFFFFF"/>
                <w:lang w:bidi="ar"/>
              </w:rPr>
              <w:t>Caché</w:t>
            </w:r>
            <w:r>
              <w:rPr>
                <w:rFonts w:hint="eastAsia" w:ascii="宋体" w:hAnsi="宋体" w:cs="宋体"/>
                <w:kern w:val="0"/>
                <w:lang w:bidi="ar"/>
              </w:rPr>
              <w:t>、Portal、DM、informix、Kingbase、LibrA、神通、南大通用、高斯（GaussDB）</w:t>
            </w:r>
            <w:r>
              <w:rPr>
                <w:rFonts w:hint="eastAsia" w:ascii="宋体" w:hAnsi="宋体" w:cs="宋体"/>
                <w:bCs/>
                <w:kern w:val="0"/>
                <w:lang w:bidi="ar"/>
              </w:rPr>
              <w:t>等数据库的审计</w:t>
            </w:r>
            <w:r>
              <w:rPr>
                <w:rFonts w:hint="eastAsia" w:ascii="宋体" w:hAnsi="宋体" w:cs="宋体"/>
                <w:bCs/>
                <w:kern w:val="0"/>
                <w:lang w:eastAsia="zh-CN" w:bidi="ar"/>
              </w:rPr>
              <w:t>，包括</w:t>
            </w:r>
            <w:r>
              <w:rPr>
                <w:rFonts w:hint="eastAsia" w:ascii="宋体" w:hAnsi="宋体" w:cs="宋体"/>
                <w:bCs/>
                <w:kern w:val="0"/>
                <w:lang w:val="en-US" w:eastAsia="zh-CN" w:bidi="ar"/>
              </w:rPr>
              <w:t>采购人</w:t>
            </w:r>
            <w:r>
              <w:rPr>
                <w:rFonts w:hint="eastAsia" w:ascii="宋体" w:hAnsi="宋体" w:cs="宋体"/>
                <w:bCs/>
                <w:kern w:val="0"/>
                <w:lang w:eastAsia="zh-CN" w:bidi="ar"/>
              </w:rPr>
              <w:t>当前在用版本和质保期内的升级版本</w:t>
            </w:r>
            <w:r>
              <w:rPr>
                <w:rFonts w:hint="eastAsia" w:ascii="宋体" w:hAnsi="宋体" w:cs="宋体"/>
                <w:bCs/>
                <w:kern w:val="0"/>
                <w:lang w:bidi="ar"/>
              </w:rPr>
              <w:t>，且支持多种不同的数据库同时审计。</w:t>
            </w:r>
            <w:r>
              <w:rPr>
                <w:rFonts w:hint="eastAsia" w:ascii="宋体" w:hAnsi="宋体" w:cs="宋体"/>
                <w:b/>
                <w:bCs w:val="0"/>
                <w:kern w:val="0"/>
                <w:lang w:bidi="ar"/>
              </w:rPr>
              <w:t>（</w:t>
            </w:r>
            <w:r>
              <w:rPr>
                <w:rFonts w:hint="eastAsia" w:ascii="宋体" w:hAnsi="宋体" w:cs="宋体"/>
                <w:b/>
                <w:bCs w:val="0"/>
                <w:shd w:val="clear" w:color="auto" w:fill="FFFFFF"/>
                <w:lang w:bidi="ar"/>
              </w:rPr>
              <w:t>提供面向多类型的高性能审计系统软件著作权登记证书并</w:t>
            </w:r>
            <w:r>
              <w:rPr>
                <w:rFonts w:hint="eastAsia" w:ascii="宋体" w:hAnsi="宋体" w:cs="宋体"/>
                <w:b/>
                <w:bCs w:val="0"/>
                <w:lang w:bidi="ar"/>
              </w:rPr>
              <w:t>提供功能截图加盖投标人公章）</w:t>
            </w:r>
          </w:p>
          <w:p w14:paraId="5FCDAFC1">
            <w:pPr>
              <w:pStyle w:val="13"/>
              <w:widowControl/>
              <w:numPr>
                <w:ilvl w:val="0"/>
                <w:numId w:val="1"/>
              </w:numPr>
              <w:spacing w:line="360" w:lineRule="auto"/>
              <w:ind w:firstLineChars="0"/>
              <w:rPr>
                <w:b/>
                <w:bCs/>
              </w:rPr>
            </w:pPr>
            <w:r>
              <w:rPr>
                <w:rFonts w:hint="eastAsia" w:ascii="宋体" w:hAnsi="宋体" w:eastAsia="宋体" w:cs="宋体"/>
                <w:bCs/>
                <w:kern w:val="0"/>
                <w:sz w:val="21"/>
                <w:szCs w:val="22"/>
                <w:lang w:val="en-US" w:eastAsia="zh-CN" w:bidi="ar"/>
              </w:rPr>
              <w:t>★</w:t>
            </w:r>
            <w:r>
              <w:rPr>
                <w:rFonts w:hint="eastAsia" w:ascii="宋体" w:hAnsi="宋体" w:eastAsia="宋体" w:cs="宋体"/>
                <w:sz w:val="21"/>
                <w:szCs w:val="21"/>
                <w:lang w:val="en-US" w:eastAsia="zh-CN"/>
              </w:rPr>
              <w:t>监控对象包括HIS、LIS、PACS、HRP、EMR、合理用药、处方点评等与药品、耗材相关的系统，应覆盖系统使用到的所有端口，以及</w:t>
            </w:r>
            <w:bookmarkStart w:id="0" w:name="OLE_LINK12"/>
            <w:r>
              <w:rPr>
                <w:rFonts w:hint="eastAsia" w:ascii="宋体" w:hAnsi="宋体" w:eastAsia="宋体" w:cs="宋体"/>
                <w:sz w:val="21"/>
                <w:szCs w:val="21"/>
                <w:lang w:val="en-US" w:eastAsia="zh-CN"/>
              </w:rPr>
              <w:t>采购人当前在用版本和质保期内的升级版本</w:t>
            </w:r>
            <w:bookmarkEnd w:id="0"/>
            <w:r>
              <w:rPr>
                <w:rFonts w:hint="eastAsia" w:ascii="宋体" w:hAnsi="宋体" w:eastAsia="宋体" w:cs="宋体"/>
                <w:sz w:val="21"/>
                <w:szCs w:val="21"/>
                <w:lang w:val="en-US" w:eastAsia="zh-CN"/>
              </w:rPr>
              <w:t>。</w:t>
            </w:r>
            <w:r>
              <w:rPr>
                <w:rFonts w:hint="eastAsia" w:ascii="宋体" w:hAnsi="宋体" w:eastAsia="宋体" w:cs="宋体"/>
                <w:b/>
                <w:bCs/>
                <w:sz w:val="21"/>
                <w:szCs w:val="21"/>
                <w:lang w:val="en-US" w:eastAsia="zh-CN"/>
              </w:rPr>
              <w:t>（投标人须提供承诺书并加盖公章，不提供承诺书或承诺不满足条件视为无效标）</w:t>
            </w:r>
          </w:p>
          <w:p w14:paraId="6EE72C48">
            <w:pPr>
              <w:pStyle w:val="13"/>
              <w:widowControl/>
              <w:numPr>
                <w:ilvl w:val="0"/>
                <w:numId w:val="1"/>
              </w:numPr>
              <w:spacing w:line="360" w:lineRule="auto"/>
              <w:ind w:firstLineChars="0"/>
              <w:rPr>
                <w:rFonts w:hint="eastAsia" w:ascii="宋体" w:hAnsi="宋体" w:cs="宋体"/>
                <w:shd w:val="clear" w:color="auto" w:fill="FFFFFF"/>
                <w:lang w:bidi="ar"/>
              </w:rPr>
            </w:pPr>
            <w:r>
              <w:rPr>
                <w:rFonts w:hint="eastAsia" w:ascii="宋体" w:hAnsi="宋体" w:cs="宋体"/>
                <w:bCs/>
                <w:kern w:val="0"/>
                <w:lang w:bidi="ar"/>
              </w:rPr>
              <w:t>系统应支持多层过滤功能</w:t>
            </w:r>
            <w:r>
              <w:rPr>
                <w:rFonts w:hint="eastAsia" w:ascii="宋体" w:hAnsi="宋体" w:cs="宋体"/>
                <w:bCs/>
                <w:kern w:val="0"/>
                <w:lang w:eastAsia="zh-CN" w:bidi="ar"/>
              </w:rPr>
              <w:t>，</w:t>
            </w:r>
            <w:r>
              <w:rPr>
                <w:rFonts w:hint="eastAsia" w:ascii="宋体" w:hAnsi="宋体" w:cs="宋体"/>
                <w:bCs/>
                <w:kern w:val="0"/>
                <w:lang w:val="en-US" w:eastAsia="zh-CN" w:bidi="ar"/>
              </w:rPr>
              <w:t>包括网络流量层、应用层等，可对采购人</w:t>
            </w:r>
            <w:r>
              <w:rPr>
                <w:rFonts w:hint="eastAsia" w:ascii="宋体" w:hAnsi="宋体" w:cs="宋体"/>
                <w:bCs/>
                <w:kern w:val="0"/>
                <w:lang w:bidi="ar"/>
              </w:rPr>
              <w:t>关注的信息进行</w:t>
            </w:r>
            <w:r>
              <w:rPr>
                <w:rFonts w:hint="eastAsia" w:ascii="宋体" w:hAnsi="宋体" w:cs="宋体"/>
                <w:bCs/>
                <w:kern w:val="0"/>
                <w:lang w:val="en-US" w:eastAsia="zh-CN" w:bidi="ar"/>
              </w:rPr>
              <w:t>筛选与</w:t>
            </w:r>
            <w:r>
              <w:rPr>
                <w:rFonts w:hint="eastAsia" w:ascii="宋体" w:hAnsi="宋体" w:cs="宋体"/>
                <w:bCs/>
                <w:kern w:val="0"/>
                <w:lang w:bidi="ar"/>
              </w:rPr>
              <w:t>保留，避免无用信息的堆砌造成磁盘空间的浪费和性能的耗损</w:t>
            </w:r>
            <w:r>
              <w:rPr>
                <w:rFonts w:hint="eastAsia" w:ascii="宋体" w:hAnsi="宋体" w:cs="宋体"/>
                <w:bCs/>
                <w:kern w:val="0"/>
                <w:lang w:val="en-US" w:eastAsia="zh-CN" w:bidi="ar"/>
              </w:rPr>
              <w:t>。对于</w:t>
            </w:r>
            <w:r>
              <w:rPr>
                <w:rFonts w:hint="eastAsia" w:ascii="宋体" w:hAnsi="宋体" w:cs="宋体"/>
                <w:bCs/>
                <w:kern w:val="0"/>
                <w:lang w:bidi="ar"/>
              </w:rPr>
              <w:t>网络流量驱动级过滤，根据过滤的条件（如源地址IP/目的地址IP）定义规则，对网络流量进行扫描，对无用的信息从网络层进行过滤；</w:t>
            </w:r>
            <w:r>
              <w:rPr>
                <w:rFonts w:hint="eastAsia" w:ascii="宋体" w:hAnsi="宋体" w:cs="宋体"/>
                <w:bCs/>
                <w:kern w:val="0"/>
                <w:lang w:val="en-US" w:eastAsia="zh-CN" w:bidi="ar"/>
              </w:rPr>
              <w:t>对于</w:t>
            </w:r>
            <w:r>
              <w:rPr>
                <w:rFonts w:hint="eastAsia" w:ascii="宋体" w:hAnsi="宋体" w:cs="宋体"/>
                <w:bCs/>
                <w:kern w:val="0"/>
                <w:lang w:bidi="ar"/>
              </w:rPr>
              <w:t>应用层过滤</w:t>
            </w:r>
            <w:r>
              <w:rPr>
                <w:rFonts w:hint="eastAsia" w:ascii="宋体" w:hAnsi="宋体" w:cs="宋体"/>
                <w:bCs/>
                <w:kern w:val="0"/>
                <w:lang w:eastAsia="zh-CN" w:bidi="ar"/>
              </w:rPr>
              <w:t>，</w:t>
            </w:r>
            <w:r>
              <w:rPr>
                <w:rFonts w:hint="eastAsia" w:ascii="宋体" w:hAnsi="宋体" w:cs="宋体"/>
                <w:bCs/>
                <w:kern w:val="0"/>
                <w:lang w:bidi="ar"/>
              </w:rPr>
              <w:t>根据系统语句（SQL语句）和白名单（条件为IP/MAC/数据库账户/审计对象/操作语句）定义规则进行过滤</w:t>
            </w:r>
            <w:r>
              <w:rPr>
                <w:rFonts w:hint="eastAsia" w:ascii="宋体" w:hAnsi="宋体" w:cs="宋体"/>
                <w:bCs/>
                <w:kern w:val="0"/>
                <w:lang w:eastAsia="zh-CN" w:bidi="ar"/>
              </w:rPr>
              <w:t>。</w:t>
            </w:r>
          </w:p>
          <w:p w14:paraId="5F51D5EE">
            <w:pPr>
              <w:pStyle w:val="13"/>
              <w:widowControl/>
              <w:numPr>
                <w:ilvl w:val="0"/>
                <w:numId w:val="1"/>
              </w:numPr>
              <w:spacing w:line="360" w:lineRule="auto"/>
              <w:ind w:firstLineChars="0"/>
            </w:pPr>
            <w:r>
              <w:rPr>
                <w:rFonts w:hint="eastAsia" w:ascii="宋体" w:hAnsi="宋体" w:cs="宋体"/>
                <w:b/>
                <w:bCs/>
                <w:sz w:val="24"/>
                <w:szCs w:val="24"/>
              </w:rPr>
              <w:t>▲</w:t>
            </w:r>
            <w:r>
              <w:rPr>
                <w:rFonts w:hint="eastAsia" w:ascii="宋体" w:hAnsi="宋体" w:cs="宋体"/>
                <w:shd w:val="clear" w:color="auto" w:fill="FFFFFF"/>
                <w:lang w:bidi="ar"/>
              </w:rPr>
              <w:t>支持统计事件告警，一旦出现违规统方事件，可多维度定位事件状态以及按照告警级别进行告警，能准确描述何人、何时、何地、以何种方式进行违规统方，并提供操作事件关联追踪与证据还原</w:t>
            </w:r>
            <w:r>
              <w:rPr>
                <w:rFonts w:hint="eastAsia" w:ascii="宋体" w:hAnsi="宋体" w:cs="宋体"/>
                <w:shd w:val="clear" w:color="auto" w:fill="FFFFFF"/>
                <w:lang w:eastAsia="zh-CN" w:bidi="ar"/>
              </w:rPr>
              <w:t>。</w:t>
            </w:r>
          </w:p>
          <w:p w14:paraId="597FDDF4">
            <w:pPr>
              <w:pStyle w:val="13"/>
              <w:widowControl/>
              <w:numPr>
                <w:ilvl w:val="0"/>
                <w:numId w:val="1"/>
              </w:numPr>
              <w:spacing w:line="360" w:lineRule="auto"/>
              <w:ind w:firstLineChars="0"/>
              <w:rPr>
                <w:rFonts w:hint="eastAsia" w:ascii="宋体" w:hAnsi="宋体" w:cs="宋体"/>
                <w:b/>
                <w:bCs/>
                <w:shd w:val="clear" w:color="auto" w:fill="FFFFFF"/>
                <w:lang w:bidi="ar"/>
              </w:rPr>
            </w:pPr>
            <w:r>
              <w:rPr>
                <w:rFonts w:hint="eastAsia" w:ascii="宋体" w:hAnsi="宋体" w:cs="宋体"/>
                <w:b/>
                <w:bCs/>
                <w:sz w:val="24"/>
                <w:szCs w:val="24"/>
              </w:rPr>
              <w:t>▲</w:t>
            </w:r>
            <w:r>
              <w:rPr>
                <w:rFonts w:hint="eastAsia" w:ascii="宋体" w:hAnsi="宋体" w:cs="宋体"/>
                <w:bCs/>
                <w:kern w:val="0"/>
                <w:lang w:bidi="ar"/>
              </w:rPr>
              <w:t>提供不同角色的管理能力，尤其是纪检部门专用账号，应独立于数据库审计，专门实现统方行为的监控、查询、统计等功能，对所有统方行为进行监控，并提供统方事件审计能力；</w:t>
            </w:r>
            <w:r>
              <w:rPr>
                <w:rFonts w:hint="eastAsia" w:ascii="宋体" w:hAnsi="宋体" w:cs="宋体"/>
                <w:kern w:val="0"/>
                <w:lang w:bidi="ar"/>
              </w:rPr>
              <w:t>审计</w:t>
            </w:r>
            <w:r>
              <w:rPr>
                <w:rFonts w:hint="eastAsia" w:ascii="宋体" w:hAnsi="宋体" w:cs="宋体"/>
                <w:kern w:val="0"/>
                <w:lang w:val="en-US" w:eastAsia="zh-CN" w:bidi="ar"/>
              </w:rPr>
              <w:t>内容包括</w:t>
            </w:r>
            <w:r>
              <w:rPr>
                <w:rFonts w:hint="eastAsia" w:ascii="宋体" w:hAnsi="宋体" w:cs="宋体"/>
                <w:kern w:val="0"/>
                <w:lang w:bidi="ar"/>
              </w:rPr>
              <w:t>访问时间、接口地址、应用地址、状态码、请求方式、返回结果、应用账号、源/目的端口、客户端MAC、客户端主机名、客户端端口、操作系统用户名、操作系统用户名、风险编号、请求内容、返回内容等</w:t>
            </w:r>
            <w:r>
              <w:rPr>
                <w:rFonts w:hint="eastAsia" w:ascii="宋体" w:hAnsi="宋体" w:cs="宋体"/>
                <w:kern w:val="0"/>
                <w:lang w:eastAsia="zh-CN" w:bidi="ar"/>
              </w:rPr>
              <w:t>。</w:t>
            </w:r>
            <w:r>
              <w:rPr>
                <w:rFonts w:hint="eastAsia" w:ascii="宋体" w:hAnsi="宋体" w:cs="宋体"/>
                <w:b/>
                <w:bCs/>
                <w:kern w:val="0"/>
                <w:lang w:bidi="ar"/>
              </w:rPr>
              <w:t>（提供截图并加盖投标人公章）</w:t>
            </w:r>
          </w:p>
          <w:p w14:paraId="18F77978">
            <w:pPr>
              <w:pStyle w:val="13"/>
              <w:widowControl/>
              <w:numPr>
                <w:ilvl w:val="0"/>
                <w:numId w:val="1"/>
              </w:numPr>
              <w:spacing w:line="360" w:lineRule="auto"/>
              <w:ind w:firstLineChars="0"/>
              <w:rPr>
                <w:rFonts w:hint="eastAsia" w:ascii="宋体" w:hAnsi="宋体" w:cs="宋体"/>
                <w:shd w:val="clear" w:color="auto" w:fill="FFFFFF"/>
                <w:lang w:bidi="ar"/>
              </w:rPr>
            </w:pPr>
            <w:r>
              <w:rPr>
                <w:rFonts w:hint="eastAsia" w:ascii="宋体" w:hAnsi="宋体" w:cs="宋体"/>
                <w:b/>
                <w:bCs/>
                <w:sz w:val="24"/>
                <w:szCs w:val="24"/>
              </w:rPr>
              <w:t>▲</w:t>
            </w:r>
            <w:r>
              <w:rPr>
                <w:rFonts w:hint="eastAsia" w:ascii="宋体" w:hAnsi="宋体" w:cs="宋体"/>
                <w:bCs/>
                <w:kern w:val="0"/>
                <w:lang w:bidi="ar"/>
              </w:rPr>
              <w:t>支持告警知识库的管理，包括请求响应数据中的关键字、请求响应的时间、返回数据量、数据库操作语句敏感字段等</w:t>
            </w:r>
            <w:r>
              <w:rPr>
                <w:rFonts w:hint="eastAsia" w:ascii="宋体" w:hAnsi="宋体" w:cs="宋体"/>
                <w:bCs/>
                <w:kern w:val="0"/>
                <w:lang w:eastAsia="zh-CN" w:bidi="ar"/>
              </w:rPr>
              <w:t>，</w:t>
            </w:r>
            <w:r>
              <w:rPr>
                <w:rFonts w:hint="eastAsia" w:ascii="宋体" w:hAnsi="宋体" w:cs="宋体"/>
                <w:bCs/>
                <w:kern w:val="0"/>
                <w:lang w:bidi="ar"/>
              </w:rPr>
              <w:t>系统自带各种常见</w:t>
            </w:r>
            <w:r>
              <w:rPr>
                <w:rFonts w:hint="eastAsia" w:ascii="宋体" w:hAnsi="宋体" w:cs="宋体"/>
                <w:bCs/>
                <w:kern w:val="0"/>
                <w:lang w:eastAsia="zh-CN" w:bidi="ar"/>
              </w:rPr>
              <w:t>反统方</w:t>
            </w:r>
            <w:r>
              <w:rPr>
                <w:rFonts w:hint="eastAsia" w:ascii="宋体" w:hAnsi="宋体" w:cs="宋体"/>
                <w:bCs/>
                <w:kern w:val="0"/>
                <w:lang w:bidi="ar"/>
              </w:rPr>
              <w:t>规则数量</w:t>
            </w:r>
            <w:r>
              <w:rPr>
                <w:rFonts w:hint="eastAsia" w:ascii="宋体" w:hAnsi="宋体" w:cs="宋体"/>
                <w:bCs/>
                <w:kern w:val="0"/>
                <w:lang w:val="en-US" w:eastAsia="zh-CN" w:bidi="ar"/>
              </w:rPr>
              <w:t>不少于</w:t>
            </w:r>
            <w:r>
              <w:rPr>
                <w:rFonts w:hint="eastAsia" w:ascii="宋体" w:hAnsi="宋体" w:cs="宋体"/>
                <w:bCs/>
                <w:kern w:val="0"/>
                <w:lang w:bidi="ar"/>
              </w:rPr>
              <w:t>500条，支持自定义</w:t>
            </w:r>
            <w:r>
              <w:rPr>
                <w:rFonts w:hint="eastAsia" w:ascii="宋体" w:hAnsi="宋体" w:cs="宋体"/>
                <w:bCs/>
                <w:kern w:val="0"/>
                <w:lang w:eastAsia="zh-CN" w:bidi="ar"/>
              </w:rPr>
              <w:t>反统方</w:t>
            </w:r>
            <w:r>
              <w:rPr>
                <w:rFonts w:hint="eastAsia" w:ascii="宋体" w:hAnsi="宋体" w:cs="宋体"/>
                <w:bCs/>
                <w:kern w:val="0"/>
                <w:lang w:bidi="ar"/>
              </w:rPr>
              <w:t>规则</w:t>
            </w:r>
            <w:r>
              <w:rPr>
                <w:rFonts w:hint="eastAsia" w:ascii="宋体" w:hAnsi="宋体" w:cs="宋体"/>
                <w:bCs/>
                <w:kern w:val="0"/>
                <w:lang w:eastAsia="zh-CN" w:bidi="ar"/>
              </w:rPr>
              <w:t>。</w:t>
            </w:r>
          </w:p>
          <w:p w14:paraId="3387FD8B">
            <w:pPr>
              <w:pStyle w:val="13"/>
              <w:widowControl/>
              <w:numPr>
                <w:ilvl w:val="0"/>
                <w:numId w:val="1"/>
              </w:numPr>
              <w:spacing w:line="360" w:lineRule="auto"/>
              <w:ind w:firstLineChars="0"/>
              <w:rPr>
                <w:rFonts w:hint="eastAsia" w:ascii="宋体" w:hAnsi="宋体" w:cs="宋体"/>
                <w:b/>
                <w:bCs w:val="0"/>
                <w:shd w:val="clear" w:color="auto" w:fill="FFFFFF"/>
                <w:lang w:bidi="ar"/>
              </w:rPr>
            </w:pPr>
            <w:r>
              <w:rPr>
                <w:rFonts w:hint="eastAsia" w:ascii="宋体" w:hAnsi="宋体" w:cs="宋体"/>
                <w:b/>
                <w:bCs/>
                <w:sz w:val="24"/>
                <w:szCs w:val="24"/>
              </w:rPr>
              <w:t>▲</w:t>
            </w:r>
            <w:r>
              <w:rPr>
                <w:rFonts w:hint="eastAsia" w:ascii="宋体" w:hAnsi="宋体" w:cs="宋体"/>
                <w:bCs/>
                <w:kern w:val="0"/>
                <w:lang w:bidi="ar"/>
              </w:rPr>
              <w:t>可以对统方事件进行管理，对于经过审批的正常统方业务，不应进行告警，</w:t>
            </w:r>
            <w:r>
              <w:rPr>
                <w:rFonts w:hint="eastAsia" w:ascii="宋体" w:hAnsi="宋体" w:cs="宋体"/>
                <w:bCs/>
                <w:kern w:val="0"/>
                <w:lang w:val="en-US" w:eastAsia="zh-CN" w:bidi="ar"/>
              </w:rPr>
              <w:t>但需要形成独立报表，可以按照指定时间段进行查询与下载</w:t>
            </w:r>
            <w:r>
              <w:rPr>
                <w:rFonts w:hint="eastAsia" w:ascii="宋体" w:hAnsi="宋体" w:cs="宋体"/>
                <w:bCs/>
                <w:kern w:val="0"/>
                <w:lang w:bidi="ar"/>
              </w:rPr>
              <w:t>。</w:t>
            </w:r>
            <w:r>
              <w:rPr>
                <w:rFonts w:hint="eastAsia" w:ascii="宋体" w:hAnsi="宋体" w:cs="宋体"/>
                <w:b/>
                <w:bCs w:val="0"/>
                <w:kern w:val="0"/>
                <w:lang w:bidi="ar"/>
              </w:rPr>
              <w:t>（提供截图并加盖投标人公章）</w:t>
            </w:r>
          </w:p>
          <w:p w14:paraId="393D37B4">
            <w:pPr>
              <w:pStyle w:val="13"/>
              <w:widowControl/>
              <w:numPr>
                <w:ilvl w:val="0"/>
                <w:numId w:val="1"/>
              </w:numPr>
              <w:spacing w:line="360" w:lineRule="auto"/>
              <w:ind w:firstLineChars="0"/>
              <w:rPr>
                <w:b/>
                <w:bCs/>
              </w:rPr>
            </w:pPr>
            <w:r>
              <w:rPr>
                <w:rFonts w:hint="eastAsia" w:ascii="宋体" w:hAnsi="宋体" w:cs="宋体"/>
                <w:bCs/>
                <w:kern w:val="0"/>
                <w:lang w:eastAsia="zh-CN" w:bidi="ar"/>
              </w:rPr>
              <w:t>反统方</w:t>
            </w:r>
            <w:r>
              <w:rPr>
                <w:rFonts w:hint="eastAsia" w:ascii="宋体" w:hAnsi="宋体" w:cs="宋体"/>
                <w:bCs/>
                <w:kern w:val="0"/>
                <w:lang w:bidi="ar"/>
              </w:rPr>
              <w:t>策略支持18种以上审计</w:t>
            </w:r>
            <w:r>
              <w:rPr>
                <w:rFonts w:ascii="宋体" w:hAnsi="宋体" w:cs="宋体"/>
                <w:bCs/>
                <w:kern w:val="0"/>
                <w:lang w:bidi="ar"/>
              </w:rPr>
              <w:t>元素</w:t>
            </w:r>
            <w:r>
              <w:rPr>
                <w:rFonts w:hint="eastAsia" w:ascii="宋体" w:hAnsi="宋体" w:cs="宋体"/>
                <w:bCs/>
                <w:kern w:val="0"/>
                <w:lang w:bidi="ar"/>
              </w:rPr>
              <w:t>，可支持数据库操作命令、语句长度、语句执行回应、语句执行时间、返回内容、返回行数、数据库名、数据库账户、服务器端口、客户端操作系统主机名、客户端操作系统用户名、客户端MAC、客户端IP、客户端端口、客户端进程名、会话ID、关键字、时间等</w:t>
            </w:r>
            <w:r>
              <w:rPr>
                <w:rFonts w:hint="eastAsia" w:ascii="宋体" w:hAnsi="宋体" w:cs="宋体"/>
                <w:bCs/>
                <w:kern w:val="0"/>
                <w:lang w:eastAsia="zh-CN" w:bidi="ar"/>
              </w:rPr>
              <w:t>。</w:t>
            </w:r>
            <w:r>
              <w:rPr>
                <w:rFonts w:hint="eastAsia" w:ascii="宋体" w:hAnsi="宋体" w:cs="宋体"/>
                <w:b/>
                <w:bCs/>
                <w:kern w:val="0"/>
                <w:lang w:bidi="ar"/>
              </w:rPr>
              <w:t>（提供截图并加盖投标人公章）</w:t>
            </w:r>
          </w:p>
          <w:p w14:paraId="2B1525DF">
            <w:pPr>
              <w:pStyle w:val="13"/>
              <w:widowControl/>
              <w:numPr>
                <w:ilvl w:val="0"/>
                <w:numId w:val="1"/>
              </w:numPr>
              <w:spacing w:line="360" w:lineRule="auto"/>
              <w:ind w:firstLineChars="0"/>
            </w:pPr>
            <w:r>
              <w:rPr>
                <w:rFonts w:hint="eastAsia" w:ascii="宋体" w:hAnsi="宋体" w:cs="宋体"/>
                <w:bCs/>
                <w:kern w:val="0"/>
                <w:lang w:bidi="ar"/>
              </w:rPr>
              <w:t>支持对可疑监控对象的操作语句进行会</w:t>
            </w:r>
            <w:r>
              <w:rPr>
                <w:rFonts w:ascii="宋体" w:hAnsi="宋体" w:cs="宋体"/>
                <w:bCs/>
                <w:kern w:val="0"/>
                <w:lang w:bidi="ar"/>
              </w:rPr>
              <w:t>话级</w:t>
            </w:r>
            <w:r>
              <w:rPr>
                <w:rFonts w:hint="eastAsia" w:ascii="宋体" w:hAnsi="宋体" w:cs="宋体"/>
                <w:bCs/>
                <w:kern w:val="0"/>
                <w:lang w:bidi="ar"/>
              </w:rPr>
              <w:t>的</w:t>
            </w:r>
            <w:r>
              <w:rPr>
                <w:rFonts w:ascii="宋体" w:hAnsi="宋体" w:cs="宋体"/>
                <w:bCs/>
                <w:kern w:val="0"/>
                <w:lang w:bidi="ar"/>
              </w:rPr>
              <w:t>事件</w:t>
            </w:r>
            <w:r>
              <w:rPr>
                <w:rFonts w:hint="eastAsia" w:ascii="宋体" w:hAnsi="宋体" w:cs="宋体"/>
                <w:bCs/>
                <w:kern w:val="0"/>
                <w:lang w:bidi="ar"/>
              </w:rPr>
              <w:t>回放，回放时间</w:t>
            </w:r>
            <w:r>
              <w:rPr>
                <w:rFonts w:hint="eastAsia" w:ascii="宋体" w:hAnsi="宋体" w:cs="宋体"/>
                <w:bCs/>
                <w:kern w:val="0"/>
                <w:lang w:val="en-US" w:eastAsia="zh-CN" w:bidi="ar"/>
              </w:rPr>
              <w:t>不少于</w:t>
            </w:r>
            <w:r>
              <w:rPr>
                <w:rFonts w:hint="eastAsia" w:ascii="宋体" w:hAnsi="宋体" w:cs="宋体"/>
                <w:bCs/>
                <w:kern w:val="0"/>
                <w:lang w:bidi="ar"/>
              </w:rPr>
              <w:t>60分钟，方便风险及</w:t>
            </w:r>
            <w:r>
              <w:rPr>
                <w:rFonts w:ascii="宋体" w:hAnsi="宋体" w:cs="宋体"/>
                <w:bCs/>
                <w:kern w:val="0"/>
                <w:lang w:bidi="ar"/>
              </w:rPr>
              <w:t>违规操作的</w:t>
            </w:r>
            <w:r>
              <w:rPr>
                <w:rFonts w:hint="eastAsia" w:ascii="宋体" w:hAnsi="宋体" w:cs="宋体"/>
                <w:bCs/>
                <w:kern w:val="0"/>
                <w:lang w:bidi="ar"/>
              </w:rPr>
              <w:t>追溯</w:t>
            </w:r>
            <w:r>
              <w:rPr>
                <w:rFonts w:hint="eastAsia" w:ascii="宋体" w:hAnsi="宋体" w:cs="宋体"/>
                <w:bCs/>
                <w:kern w:val="0"/>
                <w:lang w:eastAsia="zh-CN" w:bidi="ar"/>
              </w:rPr>
              <w:t>。</w:t>
            </w:r>
            <w:r>
              <w:rPr>
                <w:rFonts w:hint="eastAsia" w:ascii="宋体" w:hAnsi="宋体" w:cs="宋体"/>
                <w:b/>
                <w:bCs w:val="0"/>
                <w:kern w:val="0"/>
                <w:lang w:bidi="ar"/>
              </w:rPr>
              <w:t>（提供截图并加盖投标人公章）</w:t>
            </w:r>
          </w:p>
          <w:p w14:paraId="2E2EA930">
            <w:pPr>
              <w:pStyle w:val="13"/>
              <w:widowControl/>
              <w:numPr>
                <w:ilvl w:val="0"/>
                <w:numId w:val="1"/>
              </w:numPr>
              <w:spacing w:line="360" w:lineRule="auto"/>
              <w:ind w:firstLineChars="0"/>
              <w:rPr>
                <w:rFonts w:hint="eastAsia" w:ascii="宋体" w:hAnsi="宋体" w:cs="宋体"/>
                <w:b/>
                <w:bCs w:val="0"/>
                <w:shd w:val="clear" w:color="auto" w:fill="FFFFFF"/>
                <w:lang w:bidi="ar"/>
              </w:rPr>
            </w:pPr>
            <w:r>
              <w:rPr>
                <w:rFonts w:hint="eastAsia" w:ascii="宋体" w:hAnsi="宋体" w:cs="宋体"/>
                <w:bCs/>
                <w:kern w:val="0"/>
                <w:lang w:bidi="ar"/>
              </w:rPr>
              <w:t>系统应具备自动发现未知仿冒进程的能力，</w:t>
            </w:r>
            <w:r>
              <w:rPr>
                <w:rFonts w:hint="eastAsia" w:ascii="宋体" w:hAnsi="宋体" w:cs="宋体"/>
                <w:bCs/>
                <w:kern w:val="0"/>
                <w:lang w:val="en-US" w:eastAsia="zh-CN" w:bidi="ar"/>
              </w:rPr>
              <w:t>可</w:t>
            </w:r>
            <w:r>
              <w:rPr>
                <w:rFonts w:hint="eastAsia" w:ascii="宋体" w:hAnsi="宋体" w:cs="宋体"/>
                <w:bCs/>
                <w:kern w:val="0"/>
                <w:lang w:bidi="ar"/>
              </w:rPr>
              <w:t>从客户端工具使用的次数</w:t>
            </w:r>
            <w:r>
              <w:rPr>
                <w:rFonts w:hint="eastAsia" w:ascii="宋体" w:hAnsi="宋体" w:cs="宋体"/>
                <w:bCs/>
                <w:kern w:val="0"/>
                <w:lang w:eastAsia="zh-CN" w:bidi="ar"/>
              </w:rPr>
              <w:t>、</w:t>
            </w:r>
            <w:r>
              <w:rPr>
                <w:rFonts w:hint="eastAsia" w:ascii="宋体" w:hAnsi="宋体" w:cs="宋体"/>
                <w:bCs/>
                <w:kern w:val="0"/>
                <w:lang w:bidi="ar"/>
              </w:rPr>
              <w:t>客户端IP及次数、连接数据库次数等多维度进行安全评估和预警</w:t>
            </w:r>
            <w:r>
              <w:rPr>
                <w:rFonts w:hint="eastAsia" w:ascii="宋体" w:hAnsi="宋体" w:cs="宋体"/>
                <w:bCs/>
                <w:kern w:val="0"/>
                <w:lang w:eastAsia="zh-CN" w:bidi="ar"/>
              </w:rPr>
              <w:t>。</w:t>
            </w:r>
            <w:r>
              <w:rPr>
                <w:rFonts w:hint="eastAsia" w:ascii="宋体" w:hAnsi="宋体" w:cs="宋体"/>
                <w:b/>
                <w:bCs w:val="0"/>
                <w:kern w:val="0"/>
                <w:lang w:bidi="ar"/>
              </w:rPr>
              <w:t>（提供截图并加盖投标人公章）</w:t>
            </w:r>
          </w:p>
          <w:p w14:paraId="189A1A7B">
            <w:pPr>
              <w:pStyle w:val="13"/>
              <w:widowControl/>
              <w:numPr>
                <w:ilvl w:val="0"/>
                <w:numId w:val="1"/>
              </w:numPr>
              <w:spacing w:line="360" w:lineRule="auto"/>
              <w:ind w:firstLineChars="0"/>
              <w:rPr>
                <w:rFonts w:hint="eastAsia" w:ascii="宋体" w:hAnsi="宋体" w:cs="宋体"/>
                <w:bCs/>
                <w:kern w:val="0"/>
                <w:lang w:val="en-US" w:eastAsia="zh-CN" w:bidi="ar"/>
              </w:rPr>
            </w:pPr>
            <w:r>
              <w:rPr>
                <w:rFonts w:hint="eastAsia" w:ascii="宋体" w:hAnsi="宋体" w:cs="宋体"/>
                <w:bCs/>
                <w:kern w:val="0"/>
                <w:lang w:bidi="ar"/>
              </w:rPr>
              <w:t>支持与FTP服务器对接（备份与还原），FTP存储进行加密处理，</w:t>
            </w:r>
            <w:r>
              <w:rPr>
                <w:rFonts w:hint="eastAsia" w:ascii="宋体" w:hAnsi="宋体" w:cs="宋体"/>
                <w:bCs/>
                <w:kern w:val="0"/>
                <w:lang w:val="en-US" w:eastAsia="zh-CN" w:bidi="ar"/>
              </w:rPr>
              <w:t>须</w:t>
            </w:r>
            <w:r>
              <w:rPr>
                <w:rFonts w:hint="eastAsia" w:ascii="宋体" w:hAnsi="宋体" w:cs="宋体"/>
                <w:bCs/>
                <w:kern w:val="0"/>
                <w:lang w:bidi="ar"/>
              </w:rPr>
              <w:t>通过</w:t>
            </w:r>
            <w:r>
              <w:rPr>
                <w:rFonts w:hint="eastAsia" w:ascii="宋体" w:hAnsi="宋体" w:cs="宋体"/>
                <w:bCs/>
                <w:kern w:val="0"/>
                <w:lang w:val="en-US" w:eastAsia="zh-CN" w:bidi="ar"/>
              </w:rPr>
              <w:t>安全认证后方可</w:t>
            </w:r>
            <w:r>
              <w:rPr>
                <w:rFonts w:hint="eastAsia" w:ascii="宋体" w:hAnsi="宋体" w:cs="宋体"/>
                <w:bCs/>
                <w:kern w:val="0"/>
                <w:lang w:bidi="ar"/>
              </w:rPr>
              <w:t>进行恢复</w:t>
            </w:r>
            <w:r>
              <w:rPr>
                <w:rFonts w:hint="eastAsia" w:ascii="宋体" w:hAnsi="宋体" w:cs="宋体"/>
                <w:bCs/>
                <w:kern w:val="0"/>
                <w:lang w:eastAsia="zh-CN" w:bidi="ar"/>
              </w:rPr>
              <w:t>、</w:t>
            </w:r>
            <w:r>
              <w:rPr>
                <w:rFonts w:hint="eastAsia" w:ascii="宋体" w:hAnsi="宋体" w:cs="宋体"/>
                <w:bCs/>
                <w:kern w:val="0"/>
                <w:lang w:bidi="ar"/>
              </w:rPr>
              <w:t>查询浏览；</w:t>
            </w:r>
          </w:p>
          <w:p w14:paraId="2D5DC8EA">
            <w:pPr>
              <w:pStyle w:val="13"/>
              <w:widowControl/>
              <w:numPr>
                <w:ilvl w:val="0"/>
                <w:numId w:val="1"/>
              </w:numPr>
              <w:spacing w:line="360" w:lineRule="auto"/>
              <w:ind w:firstLineChars="0"/>
              <w:rPr>
                <w:rFonts w:hint="eastAsia"/>
                <w:b/>
                <w:bCs w:val="0"/>
                <w:lang w:val="en-US" w:eastAsia="zh-CN"/>
              </w:rPr>
            </w:pPr>
            <w:r>
              <w:rPr>
                <w:rFonts w:hint="eastAsia" w:ascii="宋体" w:hAnsi="宋体" w:eastAsia="宋体" w:cs="宋体"/>
                <w:bCs/>
                <w:kern w:val="0"/>
                <w:sz w:val="21"/>
                <w:szCs w:val="22"/>
                <w:lang w:val="en-US" w:eastAsia="zh-CN" w:bidi="ar"/>
              </w:rPr>
              <w:t>★供应商须承担与相关系统的对接费用，采购人不再另行支付系统改造或对接费用。</w:t>
            </w:r>
            <w:bookmarkStart w:id="1" w:name="OLE_LINK27"/>
            <w:r>
              <w:rPr>
                <w:rFonts w:hint="eastAsia" w:ascii="宋体" w:hAnsi="宋体" w:eastAsia="宋体" w:cs="宋体"/>
                <w:b/>
                <w:bCs w:val="0"/>
                <w:kern w:val="0"/>
                <w:sz w:val="21"/>
                <w:szCs w:val="22"/>
                <w:lang w:val="en-US" w:eastAsia="zh-CN" w:bidi="ar"/>
              </w:rPr>
              <w:t>（</w:t>
            </w:r>
            <w:bookmarkStart w:id="2" w:name="OLE_LINK8"/>
            <w:bookmarkStart w:id="3" w:name="OLE_LINK13"/>
            <w:r>
              <w:rPr>
                <w:rFonts w:hint="eastAsia" w:ascii="宋体" w:hAnsi="宋体" w:eastAsia="宋体" w:cs="宋体"/>
                <w:b/>
                <w:bCs w:val="0"/>
                <w:kern w:val="0"/>
                <w:sz w:val="21"/>
                <w:szCs w:val="22"/>
                <w:lang w:val="en-US" w:eastAsia="zh-CN" w:bidi="ar"/>
              </w:rPr>
              <w:t>投标人须提供承诺书</w:t>
            </w:r>
            <w:bookmarkStart w:id="4" w:name="OLE_LINK7"/>
            <w:r>
              <w:rPr>
                <w:rFonts w:hint="eastAsia" w:ascii="宋体" w:hAnsi="宋体" w:eastAsia="宋体" w:cs="宋体"/>
                <w:b/>
                <w:bCs w:val="0"/>
                <w:kern w:val="0"/>
                <w:sz w:val="21"/>
                <w:szCs w:val="22"/>
                <w:lang w:val="en-US" w:eastAsia="zh-CN" w:bidi="ar"/>
              </w:rPr>
              <w:t>并加盖公章</w:t>
            </w:r>
            <w:bookmarkEnd w:id="2"/>
            <w:bookmarkEnd w:id="4"/>
            <w:r>
              <w:rPr>
                <w:rFonts w:hint="eastAsia" w:ascii="宋体" w:hAnsi="宋体" w:eastAsia="宋体" w:cs="宋体"/>
                <w:b/>
                <w:bCs w:val="0"/>
                <w:kern w:val="0"/>
                <w:sz w:val="21"/>
                <w:szCs w:val="22"/>
                <w:lang w:val="en-US" w:eastAsia="zh-CN" w:bidi="ar"/>
              </w:rPr>
              <w:t>，不提供承诺书或承诺不满足条件视为无效标）</w:t>
            </w:r>
            <w:bookmarkEnd w:id="1"/>
            <w:bookmarkEnd w:id="3"/>
          </w:p>
          <w:p w14:paraId="4BB689EC">
            <w:pPr>
              <w:pStyle w:val="13"/>
              <w:widowControl/>
              <w:numPr>
                <w:ilvl w:val="0"/>
                <w:numId w:val="0"/>
              </w:numPr>
              <w:spacing w:line="360" w:lineRule="auto"/>
              <w:rPr>
                <w:rFonts w:hint="eastAsia" w:ascii="宋体" w:hAnsi="宋体" w:cs="宋体"/>
                <w:b/>
                <w:bCs/>
                <w:kern w:val="0"/>
                <w:lang w:val="en-US" w:eastAsia="zh-CN" w:bidi="ar"/>
              </w:rPr>
            </w:pPr>
            <w:r>
              <w:rPr>
                <w:rFonts w:hint="eastAsia" w:ascii="宋体" w:hAnsi="宋体" w:cs="宋体"/>
                <w:b/>
                <w:bCs/>
                <w:kern w:val="0"/>
                <w:lang w:val="en-US" w:eastAsia="zh-CN" w:bidi="ar"/>
              </w:rPr>
              <w:t>二、医德医风管理系统</w:t>
            </w:r>
          </w:p>
          <w:p w14:paraId="0254D0EA">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1.医德医风个人档案</w:t>
            </w:r>
          </w:p>
          <w:p w14:paraId="24702FBA">
            <w:pPr>
              <w:pStyle w:val="13"/>
              <w:widowControl/>
              <w:numPr>
                <w:ilvl w:val="0"/>
                <w:numId w:val="0"/>
              </w:numPr>
              <w:spacing w:line="360" w:lineRule="auto"/>
              <w:jc w:val="left"/>
              <w:rPr>
                <w:rFonts w:hint="default" w:ascii="宋体" w:hAnsi="宋体" w:cs="宋体"/>
                <w:b w:val="0"/>
                <w:bCs w:val="0"/>
                <w:kern w:val="0"/>
                <w:lang w:val="en-US" w:eastAsia="zh-CN" w:bidi="ar"/>
              </w:rPr>
            </w:pPr>
            <w:r>
              <w:rPr>
                <w:rFonts w:hint="eastAsia" w:ascii="宋体" w:hAnsi="宋体" w:cs="宋体"/>
                <w:b w:val="0"/>
                <w:bCs w:val="0"/>
                <w:kern w:val="0"/>
                <w:lang w:val="en-US" w:eastAsia="zh-CN" w:bidi="ar"/>
              </w:rPr>
              <w:t>▲1.1档案基础信息</w:t>
            </w:r>
          </w:p>
          <w:p w14:paraId="6E80638A">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应包括医务人员基础信息、年度医德医风考评结果、加减分项目明细。其中医务人员基础信息，包括但不限于科室、工号等基本信息，且应与医院HR系统同步，无需单独维护。支持以科室、姓名、人员类别、加减分项目等为检索条件进行搜索、查询、统计、导出。</w:t>
            </w:r>
          </w:p>
          <w:p w14:paraId="1D083B9C">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▲1.2基础信息页面</w:t>
            </w:r>
          </w:p>
          <w:p w14:paraId="02976937">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分为上下两部分，上部分为医务人员基础信息页面，应至少包括姓名、照片、性别、年龄、注册类别、执业范围、注册证书号码、所在业务中心、科室、职务、职称等。下部分为分年度医德医风考评分值及考评结果汇总、培训记录、奖励与荣誉、投诉与处罚、先进事迹。</w:t>
            </w:r>
          </w:p>
          <w:p w14:paraId="65162F2A">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▲1.3分年度医德医风考评结果</w:t>
            </w:r>
          </w:p>
          <w:p w14:paraId="3329D527">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可通过通过点击考评结果汇总表中的“年度”，可查询每位医务人员各年度医德医风考评结果明细。明细分为上下两部分，上部分为加分结果明细，下部分为扣分结果明细。明细应包括：序号、流水号、时间、加分/扣分大项、类型、加分/扣分分值，并可对结果以Excel的方式进行导出，并可通过点击进入查看具体考评流程。</w:t>
            </w:r>
          </w:p>
          <w:p w14:paraId="6A81C64E">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▲1.4考评结果认定标准及一票否决</w:t>
            </w:r>
          </w:p>
          <w:p w14:paraId="5E2602F5">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支持自定义考核分值划分、优秀比例设置及自动提醒。支持设置一票否决项、自定义考核标准、录入后自动核定考核等级。</w:t>
            </w:r>
          </w:p>
          <w:p w14:paraId="571823A1">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2.信息上报</w:t>
            </w:r>
          </w:p>
          <w:p w14:paraId="55B4FD60">
            <w:pPr>
              <w:pStyle w:val="13"/>
              <w:widowControl/>
              <w:numPr>
                <w:ilvl w:val="0"/>
                <w:numId w:val="0"/>
              </w:numPr>
              <w:spacing w:line="360" w:lineRule="auto"/>
              <w:jc w:val="both"/>
              <w:rPr>
                <w:rFonts w:hint="eastAsia" w:ascii="宋体" w:hAnsi="宋体" w:cs="宋体"/>
                <w:b w:val="0"/>
                <w:bCs w:val="0"/>
                <w:kern w:val="0"/>
                <w:lang w:val="en-US" w:eastAsia="zh-CN" w:bidi="ar"/>
              </w:rPr>
            </w:pPr>
            <w:r>
              <w:rPr>
                <w:rFonts w:hint="eastAsia" w:ascii="宋体" w:hAnsi="宋体" w:eastAsia="宋体" w:cs="宋体"/>
                <w:b w:val="0"/>
                <w:bCs w:val="0"/>
                <w:kern w:val="0"/>
                <w:lang w:val="en-US" w:eastAsia="zh-CN" w:bidi="ar"/>
              </w:rPr>
              <w:t>▲2.1包括各类奖励加分项及惩罚扣分项的信息录入，可由各临床科室、职能部门自行录入。系统应具备自动赋分功能及查重功能，避免临床科室和职能部门重复录入。加减分录入支持选择设定的</w:t>
            </w:r>
            <w:r>
              <w:rPr>
                <w:rFonts w:hint="eastAsia" w:ascii="宋体" w:hAnsi="宋体" w:cs="宋体"/>
                <w:b w:val="0"/>
                <w:bCs w:val="0"/>
                <w:kern w:val="0"/>
                <w:lang w:val="en-US" w:eastAsia="zh-CN" w:bidi="ar"/>
              </w:rPr>
              <w:t>奖惩信息按职能部门进行归口划分，各职能部门考评员登录医德医风考评系统时，可自动进入该部门可录入的信息分类。临床科室自行录入时可选择所有类型。“信息录入”的类型包含“加分类”、“扣分类”、“一票否决项”等。</w:t>
            </w:r>
          </w:p>
          <w:p w14:paraId="24D479ED">
            <w:pPr>
              <w:pStyle w:val="13"/>
              <w:widowControl/>
              <w:numPr>
                <w:ilvl w:val="0"/>
                <w:numId w:val="0"/>
              </w:numPr>
              <w:spacing w:line="360" w:lineRule="auto"/>
              <w:jc w:val="both"/>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2.2录入加减分项目后按照职能划分流转至对应部门审核，各审核环节（加减分录入-个人评价-科室评价-院级评价）均允许进行“通过”、“沟通”、“驳回”、“废弃”等操作。审核通过后纳入考评，必须支持加减分项目录入后自动纳入对应医务人员年度医德考评加分统计。</w:t>
            </w:r>
          </w:p>
          <w:p w14:paraId="15CBB90A">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3.统计分析</w:t>
            </w:r>
          </w:p>
          <w:p w14:paraId="0615F429">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系统可实时展示或自由选择时间段，展示个人、科室、业务中心、全院四个维度的加减分明细考核结果，支持导出，支持基本统计分析图表生成，包含院级、考评单元的不同类别人员的各考评等次数量及占比，及加减分类别的数量及占比；系统可汇总展示各考评年度个人、科室、业务中心、全院四个维度的考评等级，并可打印及导出为PDF。</w:t>
            </w:r>
          </w:p>
          <w:p w14:paraId="118D6664">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▲4.医德考评</w:t>
            </w:r>
          </w:p>
          <w:p w14:paraId="35BFADA5">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能够按照医院HR系统组织架构（自动获取），向全院医务人员发布考评任务，并借助OA或企业微信（推荐）方式进行通知，分个人评定、科室评定及医院评定环节，每个环节均可修改审核加减分项目，支持批量审批、导出、统计等。各审核环节均允许进行“通过”、“沟通”、“驳回”、“废弃”等操作。</w:t>
            </w:r>
          </w:p>
          <w:p w14:paraId="367F8A59">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5.培训考试</w:t>
            </w:r>
          </w:p>
          <w:p w14:paraId="62A3BEC4">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支持发布在线培训任务（WORD版、视频资料等）、考试测评任务、自查自纠、签署承诺书任务，支持统计培训率、自查自纠结果、考试结果报告自动生成等。相关培训和考试情况纳入个人医德医风档案展示。</w:t>
            </w:r>
          </w:p>
          <w:p w14:paraId="66286911">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▲6.系统集成与平台适配</w:t>
            </w:r>
          </w:p>
          <w:p w14:paraId="711971E8">
            <w:pPr>
              <w:pStyle w:val="13"/>
              <w:widowControl/>
              <w:numPr>
                <w:ilvl w:val="0"/>
                <w:numId w:val="0"/>
              </w:numPr>
              <w:spacing w:line="360" w:lineRule="auto"/>
              <w:jc w:val="left"/>
            </w:pPr>
            <w:r>
              <w:rPr>
                <w:rFonts w:hint="eastAsia" w:ascii="宋体" w:hAnsi="宋体" w:cs="宋体"/>
                <w:b w:val="0"/>
                <w:bCs w:val="0"/>
                <w:kern w:val="0"/>
                <w:lang w:val="en-US" w:eastAsia="zh-CN" w:bidi="ar"/>
              </w:rPr>
              <w:t>上述内容必须全部支持在PC网页端和移动端（通过医院企业微信、微信公众号、微信小程序）无缝使用，且必须支持无感登录不重复输入账号密码。支持与采购人现有HR系统及OA系统进行组织架构、人员信息同步，确保账号和权限管理的准确性。</w:t>
            </w:r>
          </w:p>
          <w:p w14:paraId="254DB09C">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7.安全建设</w:t>
            </w:r>
          </w:p>
          <w:p w14:paraId="0B86EB78">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7.1★供应商所供产品应符合相关法律法规要求，至少包括《中华人民共和国网络安全法》《关键信息基础设施安全保护条例》《中华人民共和国个人信息保护法》《移动互联网应用程序信息服务管理规定》《生成式人工智能服务管理暂行办法》《未成年人网络保护条例》《网络数据安全管理条例》《个人信息保护合规审计管理办法》《中华人民共和国保守国家秘密法》《中华人民共和国密码法》《网络安全等级保护条例》《医疗卫生机构网络安全管理办法》《医疗质量安全核心制度要点》《国家网络身份认证公共服务管理办法》《网络暴力信息治理规定》《互联网信息服务管理办法》《互联网用户账号信息管理规定》《人脸识别技术应用安全管理办法》《中华人民共和国数据安全法》。</w:t>
            </w:r>
          </w:p>
          <w:p w14:paraId="7AA90460">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7.2供应商应深入了解采购人的真实需求和期望，确保需求理解的准确，避免误解和预期不一致。在项目开展过程中，应编写详细、清晰的需求文档，内容包含功能、性能、原型图等各方面要求。</w:t>
            </w:r>
          </w:p>
          <w:p w14:paraId="2061661E">
            <w:pPr>
              <w:pStyle w:val="13"/>
              <w:widowControl/>
              <w:numPr>
                <w:ilvl w:val="0"/>
                <w:numId w:val="0"/>
              </w:numPr>
              <w:spacing w:line="360" w:lineRule="auto"/>
              <w:jc w:val="left"/>
              <w:rPr>
                <w:rFonts w:hint="eastAsia" w:ascii="宋体" w:hAnsi="宋体" w:cs="宋体"/>
                <w:b/>
                <w:bCs/>
                <w:kern w:val="0"/>
                <w:lang w:val="en-US" w:eastAsia="zh-CN" w:bidi="ar"/>
              </w:rPr>
            </w:pPr>
            <w:r>
              <w:rPr>
                <w:rFonts w:hint="eastAsia" w:ascii="宋体" w:hAnsi="宋体" w:cs="宋体"/>
                <w:b w:val="0"/>
                <w:bCs w:val="0"/>
                <w:kern w:val="0"/>
                <w:lang w:val="en-US" w:eastAsia="zh-CN" w:bidi="ar"/>
              </w:rPr>
              <w:t>7.3★供应商应充分考虑安全因素，在确保供应链安全的基础上，使用满足要求的密码算法，采用多层次的安全防护体系，包括网络安全防护（如防火墙、入侵检测系统、VPN 等）、数据安全防护（如数据加密、访问控制、数据备份与恢复等）、应用安全防护（如身份认证、权限管理、漏洞扫描等）等；同时，系统角色设计应覆盖厂商运维角色、院内信息化工程师运维角色、业务管理部门管理角色、终端用户使用角色、日志审计角色等。确保软件系统在运行过程中能够抵御各种安全威胁，保护医院业务数据的安全性和保密性。同时，合理设置系统参数，如关闭不必要的服务和端口、限制远程访问权限、配置满足要求的密码策略与认证方式等，减少系统的攻击面。对于以口令账号登录的系统，应对提交到服务端的密码数据应进行保护，确保同一账号连续两次提交到服务端的密码数据不一样，同时完成与OA系统的对接，实现单点登录。</w:t>
            </w:r>
            <w:r>
              <w:rPr>
                <w:rFonts w:hint="eastAsia" w:ascii="宋体" w:hAnsi="宋体" w:cs="宋体"/>
                <w:b/>
                <w:bCs/>
                <w:kern w:val="0"/>
                <w:lang w:val="en-US" w:eastAsia="zh-CN" w:bidi="ar"/>
              </w:rPr>
              <w:t>（投标人须提供承诺书并加盖公章，不提供承诺书或承诺不满足条件视为无效标）</w:t>
            </w:r>
          </w:p>
          <w:p w14:paraId="03C3FE22">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7.4供应商应合理规划资源配置方案，基于业务场景和业务规模等，构建资源配置模型，估算操作系统、CPU、内存、存储、带宽、数据库、中间件等资源，确保相关配置的合理、持续。</w:t>
            </w:r>
          </w:p>
          <w:p w14:paraId="57C2482F">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7.5★供应商应对产品进行充分测试验证，按照招标要求、合同要求等内容，梳理产品功能是否覆盖用户需求，编写测试方案，并开展功能、性能、安全等内容的测试，使用频率较高的交互页面须在界面美观协调的基础上满足弹框不超过三层、同一类型业务跳转不超过五次。不同系统之间交互接口的稳定性不低于百分之九十九。与此同时，应形成完备的用户手册，应包括功能模块手册、典型业务场景手册。</w:t>
            </w:r>
          </w:p>
          <w:p w14:paraId="64C67FBB">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7.6★供应商应在系统上线前提交系统完备的系统部署图、核心业务交互图，配合院方开展安全相关的测试，在满足包括物理环境安全、通信网络安全、区域边界安全、计算环境安全、管理制度安全、管理机构安全、管理人员安全、建设管理安全、运维管理安全等安全要求后开展试运行，跟踪并及时解决试点过程中各个环节发现的问题，持续优先产品功性能。同时，面向临床科室、业务主管科室、系统运维科室等开展针对性的培训、推广。</w:t>
            </w:r>
          </w:p>
          <w:p w14:paraId="10FE85F9">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7.7★协助采购人开展攻防演练、等保测评、密评密改、数据分级分类、供应链检测等，并在72小时内完成中高风险的缺陷处理，至少包括但不限于安全漏洞修复、系统补丁更新。至少将系统中所有的管理员账号、数据库口令账号、系统部署图、系统吞度量、统计数据以安全的方式告知采购人，并在密码发生变更时同步给采购人。</w:t>
            </w:r>
          </w:p>
          <w:p w14:paraId="5C95748F">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7.8★严格控制并采取必要措施对采购人在用系统中所有运行日志、业务数据、系统源代码及其他专有信息、内部管理和其他商业秘密及资料、其他敏感信息等进行保密，不得在未经采购人审批同意下篡改日志、拷贝数据、对外传播、用作其他商业用途、泄露给其他个人或组织等，并定期对系统日志、操作日志进行审计与分析。</w:t>
            </w:r>
          </w:p>
          <w:p w14:paraId="4A681744">
            <w:pPr>
              <w:pStyle w:val="13"/>
              <w:widowControl/>
              <w:numPr>
                <w:ilvl w:val="0"/>
                <w:numId w:val="0"/>
              </w:numPr>
              <w:spacing w:line="360" w:lineRule="auto"/>
              <w:jc w:val="left"/>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7.9★日常用户咨询与技术支撑，对使用过程中出现的技术问题、业务问题进行解答和技术支持，包括现场服务、7*24小时线上或者电话服务，并在必要时提供培训。</w:t>
            </w:r>
          </w:p>
          <w:p w14:paraId="7049006A">
            <w:pPr>
              <w:pStyle w:val="13"/>
              <w:widowControl/>
              <w:numPr>
                <w:ilvl w:val="0"/>
                <w:numId w:val="0"/>
              </w:numPr>
              <w:spacing w:line="360" w:lineRule="auto"/>
              <w:jc w:val="left"/>
              <w:rPr>
                <w:rFonts w:hint="eastAsia" w:ascii="宋体" w:hAnsi="宋体" w:cs="宋体"/>
                <w:b/>
                <w:bCs/>
                <w:kern w:val="0"/>
                <w:lang w:val="en-US" w:eastAsia="zh-CN" w:bidi="ar"/>
              </w:rPr>
            </w:pPr>
            <w:r>
              <w:rPr>
                <w:rFonts w:hint="eastAsia" w:ascii="宋体" w:hAnsi="宋体" w:cs="宋体"/>
                <w:b w:val="0"/>
                <w:bCs w:val="0"/>
                <w:kern w:val="0"/>
                <w:lang w:val="en-US" w:eastAsia="zh-CN" w:bidi="ar"/>
              </w:rPr>
              <w:t>7.10★建立完善的用户反馈机制，并集中管理和体系化分析所有用户反馈的各类问题或意见。出现问题，需要针对具体的问题进行编制操作手册，至少包括反馈频次超过3次的问题、近期更新的模块、新上线的业务，在必要时编制培训材料并进行培训。</w:t>
            </w:r>
          </w:p>
        </w:tc>
      </w:tr>
      <w:tr w14:paraId="6C5F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30" w:type="pct"/>
            <w:vAlign w:val="center"/>
          </w:tcPr>
          <w:p w14:paraId="2827DC24">
            <w:pPr>
              <w:keepNext w:val="0"/>
              <w:keepLines w:val="0"/>
              <w:suppressLineNumbers w:val="0"/>
              <w:spacing w:before="0" w:beforeAutospacing="0" w:after="0" w:afterAutospacing="0"/>
              <w:ind w:left="0" w:right="0"/>
              <w:rPr>
                <w:rFonts w:hint="eastAsia" w:ascii="黑体" w:hAnsi="黑体" w:eastAsia="黑体"/>
                <w:color w:val="000000"/>
                <w:sz w:val="24"/>
                <w:szCs w:val="24"/>
                <w:lang w:val="en-US" w:eastAsia="zh-CN"/>
              </w:rPr>
            </w:pPr>
            <w:r>
              <w:rPr>
                <w:rFonts w:hint="eastAsia" w:ascii="黑体" w:hAnsi="黑体" w:eastAsia="黑体"/>
                <w:color w:val="000000"/>
                <w:sz w:val="24"/>
                <w:szCs w:val="24"/>
              </w:rPr>
              <w:t>其他</w:t>
            </w:r>
            <w:r>
              <w:rPr>
                <w:rFonts w:hint="eastAsia" w:ascii="黑体" w:hAnsi="黑体" w:eastAsia="黑体"/>
                <w:color w:val="000000"/>
                <w:sz w:val="24"/>
                <w:szCs w:val="24"/>
                <w:lang w:val="en-US" w:eastAsia="zh-CN"/>
              </w:rPr>
              <w:t>要求</w:t>
            </w:r>
          </w:p>
        </w:tc>
        <w:tc>
          <w:tcPr>
            <w:tcW w:w="4569" w:type="pct"/>
            <w:vAlign w:val="center"/>
          </w:tcPr>
          <w:p w14:paraId="03513C54">
            <w:pPr>
              <w:pStyle w:val="13"/>
              <w:widowControl/>
              <w:numPr>
                <w:ilvl w:val="0"/>
                <w:numId w:val="0"/>
              </w:numPr>
              <w:spacing w:line="360" w:lineRule="auto"/>
              <w:jc w:val="left"/>
              <w:rPr>
                <w:rFonts w:hint="eastAsia" w:ascii="黑体" w:hAnsi="黑体" w:eastAsia="黑体"/>
                <w:color w:val="000000"/>
                <w:sz w:val="24"/>
                <w:szCs w:val="24"/>
              </w:rPr>
            </w:pPr>
            <w:r>
              <w:rPr>
                <w:rFonts w:hint="eastAsia" w:ascii="宋体" w:hAnsi="宋体" w:eastAsia="宋体" w:cs="宋体"/>
                <w:b w:val="0"/>
                <w:bCs w:val="0"/>
                <w:kern w:val="0"/>
                <w:lang w:val="en-US" w:eastAsia="zh-CN" w:bidi="ar"/>
              </w:rPr>
              <w:t>供应商应负责对医院相关人员进行系统培训，确保医院人员能够熟练掌握和应用系统。质保期内，应及时响应医院提出的技术问题和需求，并提供解决方案。定期对系统进行回访和评估，收集医院的反馈意见，对系统进行优化和改进。</w:t>
            </w:r>
          </w:p>
        </w:tc>
      </w:tr>
    </w:tbl>
    <w:p w14:paraId="4A84281A">
      <w:pPr>
        <w:pStyle w:val="13"/>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1"/>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三、商务要求</w:t>
      </w:r>
    </w:p>
    <w:tbl>
      <w:tblPr>
        <w:tblStyle w:val="9"/>
        <w:tblW w:w="47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7391"/>
      </w:tblGrid>
      <w:tr w14:paraId="30E0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0" w:type="pct"/>
            <w:vAlign w:val="center"/>
          </w:tcPr>
          <w:p w14:paraId="20F85D15">
            <w:pPr>
              <w:keepNext w:val="0"/>
              <w:keepLines w:val="0"/>
              <w:widowControl/>
              <w:suppressLineNumbers w:val="0"/>
              <w:tabs>
                <w:tab w:val="left" w:pos="3573"/>
              </w:tabs>
              <w:spacing w:before="0" w:beforeAutospacing="0" w:after="0" w:afterAutospacing="0" w:line="440" w:lineRule="exact"/>
              <w:ind w:left="0" w:right="0"/>
              <w:jc w:val="center"/>
              <w:rPr>
                <w:rFonts w:hint="eastAsia" w:ascii="宋体" w:hAnsi="宋体" w:cs="宋体"/>
                <w:b w:val="0"/>
                <w:bCs w:val="0"/>
                <w:kern w:val="0"/>
                <w:lang w:val="en-US" w:eastAsia="zh-CN" w:bidi="ar"/>
              </w:rPr>
            </w:pPr>
            <w:r>
              <w:rPr>
                <w:rFonts w:hint="eastAsia" w:ascii="宋体" w:hAnsi="宋体" w:cs="宋体"/>
                <w:b w:val="0"/>
                <w:bCs w:val="0"/>
                <w:kern w:val="0"/>
                <w:lang w:val="en-US" w:eastAsia="zh-CN" w:bidi="ar"/>
              </w:rPr>
              <w:t>★</w:t>
            </w:r>
          </w:p>
          <w:p w14:paraId="692C0C49">
            <w:pPr>
              <w:keepNext w:val="0"/>
              <w:keepLines w:val="0"/>
              <w:widowControl/>
              <w:suppressLineNumbers w:val="0"/>
              <w:tabs>
                <w:tab w:val="left" w:pos="3573"/>
              </w:tabs>
              <w:spacing w:before="0" w:beforeAutospacing="0" w:after="0" w:afterAutospacing="0" w:line="440" w:lineRule="exact"/>
              <w:ind w:left="0" w:right="0"/>
              <w:jc w:val="center"/>
              <w:rPr>
                <w:rFonts w:hint="default" w:ascii="黑体" w:hAnsi="黑体" w:eastAsia="黑体"/>
                <w:color w:val="000000"/>
                <w:sz w:val="24"/>
                <w:szCs w:val="24"/>
                <w:lang w:val="en-US" w:eastAsia="zh-CN"/>
              </w:rPr>
            </w:pPr>
            <w:r>
              <w:rPr>
                <w:rFonts w:hint="eastAsia" w:ascii="黑体" w:hAnsi="黑体" w:eastAsia="黑体"/>
                <w:color w:val="000000"/>
                <w:sz w:val="24"/>
                <w:szCs w:val="24"/>
                <w:lang w:val="en-US" w:eastAsia="zh-CN"/>
              </w:rPr>
              <w:t>商务要求</w:t>
            </w:r>
          </w:p>
        </w:tc>
        <w:tc>
          <w:tcPr>
            <w:tcW w:w="4569" w:type="pct"/>
            <w:vAlign w:val="center"/>
          </w:tcPr>
          <w:p w14:paraId="5EE0117A">
            <w:pPr>
              <w:keepNext w:val="0"/>
              <w:keepLines w:val="0"/>
              <w:numPr>
                <w:ilvl w:val="0"/>
                <w:numId w:val="0"/>
              </w:numPr>
              <w:suppressLineNumbers w:val="0"/>
              <w:spacing w:before="0" w:beforeAutospacing="0" w:after="0" w:afterAutospacing="0"/>
              <w:ind w:left="0" w:leftChars="0" w:right="0"/>
              <w:rPr>
                <w:rFonts w:hint="eastAsia" w:cs="Times New Roman"/>
                <w:b/>
                <w:bCs/>
                <w:highlight w:val="none"/>
                <w:lang w:val="en-US" w:eastAsia="zh-CN"/>
              </w:rPr>
            </w:pPr>
            <w:r>
              <w:rPr>
                <w:rFonts w:hint="eastAsia" w:cs="Times New Roman"/>
                <w:b/>
                <w:bCs/>
                <w:highlight w:val="none"/>
                <w:lang w:val="en-US" w:eastAsia="zh-CN"/>
              </w:rPr>
              <w:t>商务要求全为实质性要求。</w:t>
            </w:r>
          </w:p>
          <w:p w14:paraId="03FD749F">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 xml:space="preserve">1.交付时间及地点 </w:t>
            </w:r>
          </w:p>
          <w:p w14:paraId="48815D5C">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 xml:space="preserve">（1）交付时间：合同签订生效后，12个月内完成交付。 </w:t>
            </w:r>
          </w:p>
          <w:p w14:paraId="5B7E50FF">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 xml:space="preserve">（2）交付地点： 四川省妇幼保健院 </w:t>
            </w:r>
          </w:p>
          <w:p w14:paraId="78915B3E">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2.付款方式及履约保证金</w:t>
            </w:r>
          </w:p>
          <w:p w14:paraId="667F9846">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（1）付款方式：项目整体验收合格后，且收到完税发票后及凭证资料后，60日内支付合同总金额的100%；</w:t>
            </w:r>
          </w:p>
          <w:p w14:paraId="2FAE57DA">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（2）履约保证金：成交总金额的10%，由采购人在合同签订前收取；支付方式：银行转账，支票、汇票、本票，保函/保险等任选其一。</w:t>
            </w:r>
          </w:p>
          <w:p w14:paraId="334B06CB">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（3）质保期结束后，由供应商提出书面申请后，采购人60日内一次性无息退还乙方的履约保证金；在合同履行期限内（含质保期），供应商存在任何违约行为，履约保证金不予退还。</w:t>
            </w:r>
          </w:p>
          <w:p w14:paraId="4EC57632">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3.质保期</w:t>
            </w:r>
          </w:p>
          <w:p w14:paraId="2C2D9ABD">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项目整体验收合格之日起1年。</w:t>
            </w:r>
          </w:p>
          <w:p w14:paraId="69A9F622">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4.报价要求</w:t>
            </w:r>
          </w:p>
          <w:p w14:paraId="4E49DAAF">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本次报价包含完成本项目的所有费用，采购人不再额外支付任何费用。</w:t>
            </w:r>
          </w:p>
          <w:p w14:paraId="28DE88C7">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5．验收标准</w:t>
            </w:r>
          </w:p>
          <w:p w14:paraId="0E984900">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 xml:space="preserve">（1）严格按照《财政部关于进一步加强政府采购需求和履约验收管理的指导意见》(财库〔2016〕205 号)的要求进行验收。 </w:t>
            </w:r>
          </w:p>
          <w:p w14:paraId="44BD31B6">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（2）以采购文件技术参数及要求、供应商的响应文件及承诺、相关国家或行业标准为准。</w:t>
            </w:r>
          </w:p>
          <w:p w14:paraId="22B8234C">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6．服务要求</w:t>
            </w:r>
          </w:p>
          <w:p w14:paraId="0AA881EE">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（1）合同履行期限内（含质保期），成交供应商在15分钟内电话响应，2小时内到达现场，一般故障4小时内处理完成。</w:t>
            </w:r>
          </w:p>
          <w:p w14:paraId="7C4BAEFA">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2）合同履行期限内（含质保期），如果因供应商原因造成采购人违反国家卫生行政管理部门或上级相关行政部门的规定被上级部门约谈、通报及处罚等情况发生，采购人有权对供应商进行以下处理：①要求供应商承担采购人实际损失；②同时，每发生一次，要求供应商承担成交金额的5%的违约金；情节严重的，每次供应商需承担成交金额的10%的违约金；③供应商承担损失金额及违约金都将从合同款中扣除，扣除后不足部分由供应商补足。</w:t>
            </w:r>
          </w:p>
          <w:p w14:paraId="0FB3BCFB">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7. 知识产权</w:t>
            </w:r>
          </w:p>
          <w:p w14:paraId="4FB13AD4">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1）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5BC3B179">
            <w:pPr>
              <w:pStyle w:val="13"/>
              <w:widowControl/>
              <w:numPr>
                <w:ilvl w:val="0"/>
                <w:numId w:val="0"/>
              </w:numPr>
              <w:spacing w:line="360" w:lineRule="auto"/>
              <w:jc w:val="left"/>
              <w:rPr>
                <w:rFonts w:hint="eastAsia" w:ascii="宋体" w:hAnsi="宋体" w:eastAsia="宋体" w:cs="宋体"/>
                <w:b w:val="0"/>
                <w:bCs w:val="0"/>
                <w:kern w:val="0"/>
                <w:lang w:val="en-US" w:eastAsia="zh-CN" w:bidi="ar"/>
              </w:rPr>
            </w:pPr>
            <w:r>
              <w:rPr>
                <w:rFonts w:hint="eastAsia" w:ascii="宋体" w:hAnsi="宋体" w:eastAsia="宋体" w:cs="宋体"/>
                <w:b w:val="0"/>
                <w:bCs w:val="0"/>
                <w:kern w:val="0"/>
                <w:lang w:val="en-US" w:eastAsia="zh-CN" w:bidi="ar"/>
              </w:rPr>
              <w:t>（2）本项目在建设及应用过程中产生的知识产权及源代码归采购人所有，采购人对本项目相关的知识产权及源代码具有使用权。</w:t>
            </w:r>
          </w:p>
          <w:p w14:paraId="73A87F33">
            <w:pPr>
              <w:keepNext w:val="0"/>
              <w:keepLines w:val="0"/>
              <w:suppressLineNumbers w:val="0"/>
              <w:spacing w:before="0" w:beforeAutospacing="0" w:after="0" w:afterAutospacing="0"/>
              <w:ind w:left="0" w:right="0"/>
              <w:rPr>
                <w:rFonts w:hint="eastAsia"/>
                <w:highlight w:val="none"/>
                <w:lang w:val="en-US" w:eastAsia="zh-CN"/>
              </w:rPr>
            </w:pPr>
          </w:p>
        </w:tc>
      </w:tr>
    </w:tbl>
    <w:p w14:paraId="6B6522EE">
      <w:pPr>
        <w:rPr>
          <w:rFonts w:hint="eastAsia" w:ascii="黑体" w:hAnsi="宋体" w:eastAsia="黑体" w:cs="黑体"/>
          <w:b w:val="0"/>
          <w:bCs/>
          <w:i w:val="0"/>
          <w:caps w:val="0"/>
          <w:color w:val="000000"/>
          <w:spacing w:val="0"/>
          <w:kern w:val="2"/>
          <w:sz w:val="28"/>
          <w:szCs w:val="28"/>
          <w:shd w:val="clear" w:fill="FFFFFF"/>
          <w:lang w:val="en-US" w:eastAsia="zh-CN" w:bidi="ar"/>
        </w:rPr>
      </w:pPr>
    </w:p>
    <w:p w14:paraId="1D56537D">
      <w:pPr>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黑体" w:hAnsi="宋体" w:eastAsia="黑体" w:cs="黑体"/>
          <w:b w:val="0"/>
          <w:bCs/>
          <w:i w:val="0"/>
          <w:caps w:val="0"/>
          <w:color w:val="000000"/>
          <w:spacing w:val="0"/>
          <w:kern w:val="2"/>
          <w:sz w:val="28"/>
          <w:szCs w:val="28"/>
          <w:shd w:val="clear" w:fill="FFFFFF"/>
          <w:lang w:val="en-US" w:eastAsia="zh-CN" w:bidi="ar"/>
        </w:rPr>
        <w:br w:type="page"/>
      </w:r>
    </w:p>
    <w:p w14:paraId="28EB00A0">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14:paraId="00DC4664">
      <w:pPr>
        <w:keepNext w:val="0"/>
        <w:keepLines w:val="0"/>
        <w:widowControl w:val="0"/>
        <w:suppressLineNumbers w:val="0"/>
        <w:spacing w:before="0" w:beforeAutospacing="0" w:after="0" w:afterAutospacing="0"/>
        <w:ind w:left="0" w:right="0"/>
        <w:jc w:val="center"/>
        <w:rPr>
          <w:rFonts w:hint="eastAsia" w:ascii="微软雅黑" w:hAnsi="宋体" w:eastAsia="微软雅黑" w:cs="宋体"/>
          <w:bCs/>
          <w:kern w:val="0"/>
          <w:sz w:val="36"/>
          <w:szCs w:val="36"/>
          <w:shd w:val="clear" w:fill="FFFFFF"/>
        </w:rPr>
      </w:pPr>
      <w:r>
        <w:rPr>
          <w:rFonts w:hint="eastAsia" w:ascii="微软雅黑" w:hAnsi="微软雅黑" w:eastAsia="微软雅黑" w:cs="微软雅黑"/>
          <w:bCs/>
          <w:kern w:val="0"/>
          <w:sz w:val="36"/>
          <w:szCs w:val="36"/>
          <w:shd w:val="clear" w:fill="FFFFFF"/>
          <w:lang w:val="en-US" w:eastAsia="zh-CN" w:bidi="ar"/>
        </w:rPr>
        <w:t>评审办法</w:t>
      </w:r>
    </w:p>
    <w:tbl>
      <w:tblPr>
        <w:tblStyle w:val="9"/>
        <w:tblW w:w="47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1084"/>
        <w:gridCol w:w="1182"/>
        <w:gridCol w:w="3466"/>
        <w:gridCol w:w="1413"/>
      </w:tblGrid>
      <w:tr w14:paraId="7B16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5000" w:type="pct"/>
            <w:gridSpan w:val="5"/>
            <w:vAlign w:val="center"/>
          </w:tcPr>
          <w:p w14:paraId="5924BABB">
            <w:pPr>
              <w:keepNext w:val="0"/>
              <w:keepLines w:val="0"/>
              <w:widowControl/>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评分实施细则（根据项目实际情况进行增减）</w:t>
            </w:r>
          </w:p>
        </w:tc>
      </w:tr>
      <w:tr w14:paraId="3BFE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59A22BA0">
            <w:pPr>
              <w:keepNext w:val="0"/>
              <w:keepLines w:val="0"/>
              <w:suppressLineNumbers w:val="0"/>
              <w:wordWrap w:val="0"/>
              <w:overflowPunct w:val="0"/>
              <w:topLinePunct/>
              <w:spacing w:before="0" w:beforeAutospacing="0" w:after="0" w:afterAutospacing="0" w:line="4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b/>
                <w:sz w:val="24"/>
                <w:szCs w:val="24"/>
              </w:rPr>
              <w:t>序号</w:t>
            </w:r>
          </w:p>
        </w:tc>
        <w:tc>
          <w:tcPr>
            <w:tcW w:w="670" w:type="pct"/>
            <w:vAlign w:val="center"/>
          </w:tcPr>
          <w:p w14:paraId="3ADDF589">
            <w:pPr>
              <w:keepNext w:val="0"/>
              <w:keepLines w:val="0"/>
              <w:suppressLineNumbers w:val="0"/>
              <w:wordWrap w:val="0"/>
              <w:overflowPunct w:val="0"/>
              <w:topLinePunct/>
              <w:spacing w:before="0" w:beforeAutospacing="0" w:after="0" w:afterAutospacing="0" w:line="4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b/>
                <w:sz w:val="24"/>
                <w:szCs w:val="24"/>
              </w:rPr>
              <w:t>评分因素</w:t>
            </w:r>
          </w:p>
        </w:tc>
        <w:tc>
          <w:tcPr>
            <w:tcW w:w="731" w:type="pct"/>
            <w:vAlign w:val="center"/>
          </w:tcPr>
          <w:p w14:paraId="579437E9">
            <w:pPr>
              <w:keepNext w:val="0"/>
              <w:keepLines w:val="0"/>
              <w:suppressLineNumbers w:val="0"/>
              <w:wordWrap w:val="0"/>
              <w:overflowPunct w:val="0"/>
              <w:topLinePunct/>
              <w:spacing w:before="0" w:beforeAutospacing="0" w:after="0" w:afterAutospacing="0" w:line="4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b/>
                <w:sz w:val="24"/>
                <w:szCs w:val="24"/>
              </w:rPr>
              <w:t>分值</w:t>
            </w:r>
          </w:p>
        </w:tc>
        <w:tc>
          <w:tcPr>
            <w:tcW w:w="2143" w:type="pct"/>
            <w:vAlign w:val="center"/>
          </w:tcPr>
          <w:p w14:paraId="3D3A8EFE">
            <w:pPr>
              <w:keepNext w:val="0"/>
              <w:keepLines w:val="0"/>
              <w:suppressLineNumbers w:val="0"/>
              <w:wordWrap w:val="0"/>
              <w:overflowPunct w:val="0"/>
              <w:topLinePunct/>
              <w:spacing w:before="0" w:beforeAutospacing="0" w:after="0" w:afterAutospacing="0" w:line="440" w:lineRule="exact"/>
              <w:ind w:left="0" w:right="0"/>
              <w:jc w:val="center"/>
              <w:textAlignment w:val="center"/>
              <w:rPr>
                <w:rFonts w:hint="eastAsia" w:ascii="宋体" w:hAnsi="宋体" w:eastAsia="宋体" w:cs="宋体"/>
                <w:b/>
                <w:sz w:val="24"/>
                <w:szCs w:val="24"/>
              </w:rPr>
            </w:pPr>
            <w:r>
              <w:rPr>
                <w:rFonts w:hint="eastAsia" w:ascii="宋体" w:hAnsi="宋体" w:eastAsia="宋体" w:cs="宋体"/>
                <w:b/>
                <w:sz w:val="24"/>
                <w:szCs w:val="24"/>
              </w:rPr>
              <w:t>评分标准</w:t>
            </w:r>
          </w:p>
        </w:tc>
        <w:tc>
          <w:tcPr>
            <w:tcW w:w="871" w:type="pct"/>
            <w:vAlign w:val="center"/>
          </w:tcPr>
          <w:p w14:paraId="0D20F460">
            <w:pPr>
              <w:keepNext w:val="0"/>
              <w:keepLines w:val="0"/>
              <w:suppressLineNumbers w:val="0"/>
              <w:wordWrap w:val="0"/>
              <w:overflowPunct w:val="0"/>
              <w:topLinePunct/>
              <w:spacing w:before="0" w:beforeAutospacing="0" w:after="0" w:afterAutospacing="0" w:line="440" w:lineRule="exact"/>
              <w:ind w:left="0" w:right="0"/>
              <w:jc w:val="center"/>
              <w:textAlignment w:val="center"/>
              <w:rPr>
                <w:rFonts w:hint="eastAsia" w:ascii="宋体" w:hAnsi="宋体" w:eastAsia="宋体" w:cs="宋体"/>
                <w:b/>
                <w:sz w:val="24"/>
                <w:szCs w:val="24"/>
              </w:rPr>
            </w:pPr>
            <w:r>
              <w:rPr>
                <w:rFonts w:hint="eastAsia" w:ascii="宋体" w:hAnsi="宋体" w:eastAsia="宋体" w:cs="宋体"/>
                <w:b/>
                <w:sz w:val="24"/>
                <w:szCs w:val="24"/>
              </w:rPr>
              <w:t>说明</w:t>
            </w:r>
          </w:p>
        </w:tc>
      </w:tr>
      <w:tr w14:paraId="4726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159DD9FB">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670" w:type="pct"/>
            <w:vAlign w:val="center"/>
          </w:tcPr>
          <w:p w14:paraId="48A123D1">
            <w:pPr>
              <w:keepNext w:val="0"/>
              <w:keepLines w:val="0"/>
              <w:suppressLineNumbers w:val="0"/>
              <w:spacing w:before="0" w:beforeAutospacing="0" w:after="0" w:afterAutospacing="0" w:line="360" w:lineRule="auto"/>
              <w:ind w:left="0" w:right="0"/>
              <w:jc w:val="center"/>
              <w:rPr>
                <w:rFonts w:hint="eastAsia" w:ascii="宋体" w:hAnsi="宋体" w:eastAsia="宋体" w:cs="宋体"/>
                <w:b w:val="0"/>
                <w:bCs/>
                <w:sz w:val="24"/>
                <w:szCs w:val="24"/>
                <w:lang w:val="en-US" w:eastAsia="zh-CN"/>
              </w:rPr>
            </w:pPr>
            <w:r>
              <w:rPr>
                <w:rFonts w:hint="eastAsia" w:ascii="宋体" w:hAnsi="宋体" w:eastAsia="宋体" w:cs="宋体"/>
                <w:bCs/>
                <w:sz w:val="24"/>
                <w:szCs w:val="24"/>
                <w:lang w:val="en-US" w:eastAsia="zh-CN"/>
              </w:rPr>
              <w:t>报价</w:t>
            </w:r>
          </w:p>
        </w:tc>
        <w:tc>
          <w:tcPr>
            <w:tcW w:w="731" w:type="pct"/>
            <w:vAlign w:val="center"/>
          </w:tcPr>
          <w:p w14:paraId="72A28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4"/>
                <w:szCs w:val="24"/>
                <w:lang w:val="en-US" w:eastAsia="zh-CN"/>
              </w:rPr>
            </w:pPr>
            <w:r>
              <w:rPr>
                <w:rFonts w:hint="eastAsia" w:ascii="宋体" w:hAnsi="宋体" w:eastAsia="宋体" w:cs="宋体"/>
                <w:bCs/>
                <w:sz w:val="24"/>
                <w:szCs w:val="24"/>
                <w:lang w:val="en-US" w:eastAsia="zh-CN"/>
              </w:rPr>
              <w:t>20</w:t>
            </w:r>
          </w:p>
        </w:tc>
        <w:tc>
          <w:tcPr>
            <w:tcW w:w="2143" w:type="pct"/>
            <w:vAlign w:val="center"/>
          </w:tcPr>
          <w:p w14:paraId="63E99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sz w:val="24"/>
                <w:szCs w:val="24"/>
              </w:rPr>
            </w:pPr>
            <w:r>
              <w:rPr>
                <w:rFonts w:hint="eastAsia" w:ascii="宋体" w:hAnsi="宋体" w:eastAsia="宋体" w:cs="宋体"/>
                <w:bCs/>
                <w:sz w:val="24"/>
                <w:szCs w:val="24"/>
              </w:rPr>
              <w:t>满足招标文件要求且以投标价最低的为评标基准价</w:t>
            </w:r>
            <w:r>
              <w:rPr>
                <w:rFonts w:hint="eastAsia" w:ascii="宋体" w:hAnsi="宋体" w:eastAsia="宋体" w:cs="宋体"/>
                <w:bCs/>
                <w:sz w:val="24"/>
                <w:szCs w:val="24"/>
                <w:lang w:eastAsia="zh-CN"/>
              </w:rPr>
              <w:t>，</w:t>
            </w:r>
            <w:r>
              <w:rPr>
                <w:rFonts w:hint="eastAsia" w:ascii="宋体" w:hAnsi="宋体" w:eastAsia="宋体" w:cs="宋体"/>
                <w:bCs/>
                <w:sz w:val="24"/>
                <w:szCs w:val="24"/>
              </w:rPr>
              <w:t>其价格分为</w:t>
            </w:r>
            <w:r>
              <w:rPr>
                <w:rFonts w:hint="eastAsia" w:ascii="宋体" w:hAnsi="宋体" w:eastAsia="宋体" w:cs="宋体"/>
                <w:bCs/>
                <w:sz w:val="24"/>
                <w:szCs w:val="24"/>
                <w:lang w:val="en-US" w:eastAsia="zh-CN"/>
              </w:rPr>
              <w:t>20</w:t>
            </w:r>
            <w:r>
              <w:rPr>
                <w:rFonts w:hint="eastAsia" w:ascii="宋体" w:hAnsi="宋体" w:eastAsia="宋体" w:cs="宋体"/>
                <w:bCs/>
                <w:sz w:val="24"/>
                <w:szCs w:val="24"/>
              </w:rPr>
              <w:t>分。其他</w:t>
            </w:r>
            <w:r>
              <w:rPr>
                <w:rFonts w:hint="eastAsia" w:ascii="宋体" w:hAnsi="宋体" w:eastAsia="宋体" w:cs="宋体"/>
                <w:bCs/>
                <w:sz w:val="24"/>
                <w:szCs w:val="24"/>
                <w:lang w:val="en-US" w:eastAsia="zh-CN"/>
              </w:rPr>
              <w:t>投标人</w:t>
            </w:r>
            <w:r>
              <w:rPr>
                <w:rFonts w:hint="eastAsia" w:ascii="宋体" w:hAnsi="宋体" w:eastAsia="宋体" w:cs="宋体"/>
                <w:bCs/>
                <w:sz w:val="24"/>
                <w:szCs w:val="24"/>
              </w:rPr>
              <w:t>的价格分统一按照以下公式计算：</w:t>
            </w:r>
            <w:r>
              <w:rPr>
                <w:rFonts w:hint="eastAsia" w:ascii="宋体" w:hAnsi="宋体" w:eastAsia="宋体" w:cs="宋体"/>
                <w:b/>
                <w:bCs w:val="0"/>
                <w:sz w:val="24"/>
                <w:szCs w:val="24"/>
              </w:rPr>
              <w:t>价格分</w:t>
            </w:r>
            <w:r>
              <w:rPr>
                <w:rFonts w:hint="eastAsia" w:ascii="宋体" w:hAnsi="宋体" w:eastAsia="宋体" w:cs="宋体"/>
                <w:b/>
                <w:bCs w:val="0"/>
                <w:sz w:val="24"/>
                <w:szCs w:val="24"/>
                <w:lang w:val="en-US" w:eastAsia="zh-CN"/>
              </w:rPr>
              <w:t>=</w:t>
            </w:r>
            <w:r>
              <w:rPr>
                <w:rFonts w:hint="eastAsia" w:ascii="宋体" w:hAnsi="宋体" w:eastAsia="宋体" w:cs="宋体"/>
                <w:b/>
                <w:bCs w:val="0"/>
                <w:sz w:val="24"/>
                <w:szCs w:val="24"/>
              </w:rPr>
              <w:t>(评标基准价／投标报价)×</w:t>
            </w:r>
            <w:r>
              <w:rPr>
                <w:rFonts w:hint="eastAsia" w:ascii="宋体" w:hAnsi="宋体" w:eastAsia="宋体" w:cs="宋体"/>
                <w:b/>
                <w:bCs w:val="0"/>
                <w:sz w:val="24"/>
                <w:szCs w:val="24"/>
                <w:lang w:val="en-US" w:eastAsia="zh-CN"/>
              </w:rPr>
              <w:t>20</w:t>
            </w:r>
          </w:p>
        </w:tc>
        <w:tc>
          <w:tcPr>
            <w:tcW w:w="871" w:type="pct"/>
            <w:vAlign w:val="center"/>
          </w:tcPr>
          <w:p w14:paraId="5C38A4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Cs/>
                <w:sz w:val="24"/>
                <w:szCs w:val="24"/>
                <w:lang w:val="en-US" w:eastAsia="zh-CN"/>
              </w:rPr>
              <w:t>客观分</w:t>
            </w:r>
          </w:p>
        </w:tc>
      </w:tr>
      <w:tr w14:paraId="19E7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726DFB20">
            <w:pPr>
              <w:keepNext w:val="0"/>
              <w:keepLines w:val="0"/>
              <w:widowControl/>
              <w:suppressLineNumbers w:val="0"/>
              <w:spacing w:before="0" w:beforeAutospacing="0" w:after="0" w:afterAutospacing="0"/>
              <w:ind w:left="0" w:right="0"/>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2</w:t>
            </w:r>
          </w:p>
        </w:tc>
        <w:tc>
          <w:tcPr>
            <w:tcW w:w="670" w:type="pct"/>
            <w:vAlign w:val="center"/>
          </w:tcPr>
          <w:p w14:paraId="195D6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sz w:val="24"/>
                <w:szCs w:val="24"/>
              </w:rPr>
            </w:pPr>
            <w:r>
              <w:rPr>
                <w:rFonts w:hint="eastAsia" w:ascii="宋体" w:hAnsi="宋体" w:eastAsia="宋体" w:cs="宋体"/>
                <w:sz w:val="24"/>
                <w:szCs w:val="24"/>
                <w:lang w:val="en-US" w:eastAsia="zh-CN"/>
              </w:rPr>
              <w:t>技术要求</w:t>
            </w:r>
          </w:p>
        </w:tc>
        <w:tc>
          <w:tcPr>
            <w:tcW w:w="731" w:type="pct"/>
            <w:vAlign w:val="center"/>
          </w:tcPr>
          <w:p w14:paraId="46D1CB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4"/>
                <w:szCs w:val="24"/>
                <w:lang w:val="en-US" w:eastAsia="zh-CN"/>
              </w:rPr>
            </w:pPr>
            <w:r>
              <w:rPr>
                <w:rFonts w:hint="eastAsia" w:ascii="宋体" w:hAnsi="宋体" w:eastAsia="宋体" w:cs="宋体"/>
                <w:sz w:val="24"/>
                <w:szCs w:val="24"/>
                <w:lang w:val="en-US" w:eastAsia="zh-CN"/>
              </w:rPr>
              <w:t>48</w:t>
            </w:r>
          </w:p>
        </w:tc>
        <w:tc>
          <w:tcPr>
            <w:tcW w:w="2143" w:type="pct"/>
            <w:vAlign w:val="center"/>
          </w:tcPr>
          <w:p w14:paraId="4E43647D">
            <w:pPr>
              <w:pStyle w:val="6"/>
              <w:spacing w:before="0" w:beforeAutospacing="0"/>
              <w:ind w:left="0" w:right="0"/>
              <w:rPr>
                <w:rFonts w:hint="eastAsia" w:ascii="宋体" w:hAnsi="宋体" w:eastAsia="宋体" w:cs="宋体"/>
                <w:bCs/>
                <w:kern w:val="2"/>
                <w:sz w:val="24"/>
                <w:szCs w:val="24"/>
                <w:lang w:val="en-US" w:eastAsia="zh-CN" w:bidi="ar-SA"/>
              </w:rPr>
            </w:pPr>
            <w:r>
              <w:rPr>
                <w:rFonts w:hint="eastAsia" w:ascii="宋体" w:hAnsi="宋体" w:eastAsia="宋体" w:cs="宋体"/>
                <w:sz w:val="24"/>
                <w:szCs w:val="24"/>
                <w:lang w:val="en-US" w:eastAsia="zh-CN"/>
              </w:rPr>
              <w:t>完</w:t>
            </w:r>
            <w:r>
              <w:rPr>
                <w:rFonts w:hint="eastAsia" w:ascii="宋体" w:hAnsi="宋体" w:eastAsia="宋体" w:cs="宋体"/>
                <w:bCs/>
                <w:kern w:val="2"/>
                <w:sz w:val="24"/>
                <w:szCs w:val="24"/>
                <w:lang w:val="en-US" w:eastAsia="zh-CN" w:bidi="ar-SA"/>
              </w:rPr>
              <w:t>全符合招标文件“技术服务要求”的要求没有负偏离得该项满分。带“★”的条款为实质性参数条款，每有一项不满足将按无效响应处理；</w:t>
            </w:r>
          </w:p>
          <w:p w14:paraId="7B841B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▲号条款负偏离一项扣2.9分，一般技术条款负偏离一项扣0.5分，扣完为止。（▲号条款共15项，一般技术条款共9项）</w:t>
            </w:r>
          </w:p>
          <w:p w14:paraId="7BAD7415">
            <w:pPr>
              <w:pStyle w:val="6"/>
              <w:spacing w:before="0" w:beforeAutospacing="0"/>
              <w:ind w:left="0" w:right="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注：1.针对参数条款的响应，如果采购文件“技术要求”中参数条款对支撑材料有要求，应按要求提供，否则对应参数条款将不得分。</w:t>
            </w:r>
          </w:p>
          <w:p w14:paraId="753BC73C">
            <w:pPr>
              <w:pStyle w:val="6"/>
              <w:spacing w:before="0" w:beforeAutospacing="0"/>
              <w:ind w:left="0" w:right="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2.带“▲”的条款以所在位置包含的章节或者段落的为一条。</w:t>
            </w:r>
          </w:p>
          <w:p w14:paraId="3730F294">
            <w:pPr>
              <w:pStyle w:val="6"/>
              <w:spacing w:before="0" w:beforeAutospacing="0"/>
              <w:ind w:left="0" w:right="0"/>
              <w:rPr>
                <w:rFonts w:hint="eastAsia" w:ascii="宋体" w:hAnsi="宋体" w:eastAsia="宋体" w:cs="宋体"/>
                <w:sz w:val="24"/>
                <w:szCs w:val="24"/>
              </w:rPr>
            </w:pPr>
            <w:r>
              <w:rPr>
                <w:rFonts w:hint="eastAsia" w:ascii="宋体" w:hAnsi="宋体" w:eastAsia="宋体" w:cs="宋体"/>
                <w:bCs/>
                <w:kern w:val="2"/>
                <w:sz w:val="24"/>
                <w:szCs w:val="24"/>
                <w:lang w:val="en-US" w:eastAsia="zh-CN" w:bidi="ar-SA"/>
              </w:rPr>
              <w:t>3.一般参数以条款最后一个序号层级进行计数（例如：“（一）”“1”“1.1”则“1.1”为计数条款。</w:t>
            </w:r>
          </w:p>
        </w:tc>
        <w:tc>
          <w:tcPr>
            <w:tcW w:w="871" w:type="pct"/>
            <w:vAlign w:val="center"/>
          </w:tcPr>
          <w:p w14:paraId="70859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Cs/>
                <w:sz w:val="24"/>
                <w:szCs w:val="24"/>
                <w:lang w:val="en-US" w:eastAsia="zh-CN"/>
              </w:rPr>
              <w:t>客观分</w:t>
            </w:r>
          </w:p>
        </w:tc>
      </w:tr>
      <w:tr w14:paraId="75BB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jc w:val="center"/>
        </w:trPr>
        <w:tc>
          <w:tcPr>
            <w:tcW w:w="582" w:type="pct"/>
            <w:vAlign w:val="center"/>
          </w:tcPr>
          <w:p w14:paraId="4A7E8F75">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670" w:type="pct"/>
            <w:vAlign w:val="center"/>
          </w:tcPr>
          <w:p w14:paraId="04DDE5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sz w:val="24"/>
                <w:szCs w:val="24"/>
              </w:rPr>
            </w:pPr>
            <w:r>
              <w:rPr>
                <w:rFonts w:hint="eastAsia" w:ascii="宋体" w:hAnsi="宋体" w:eastAsia="宋体" w:cs="宋体"/>
                <w:sz w:val="24"/>
                <w:szCs w:val="24"/>
                <w:lang w:val="en-US" w:eastAsia="zh-CN"/>
              </w:rPr>
              <w:t>业绩证明</w:t>
            </w:r>
          </w:p>
        </w:tc>
        <w:tc>
          <w:tcPr>
            <w:tcW w:w="731" w:type="pct"/>
            <w:vAlign w:val="center"/>
          </w:tcPr>
          <w:p w14:paraId="71B10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4"/>
                <w:szCs w:val="24"/>
                <w:lang w:val="en-US" w:eastAsia="zh-CN"/>
              </w:rPr>
            </w:pPr>
            <w:r>
              <w:rPr>
                <w:rFonts w:hint="eastAsia" w:ascii="宋体" w:hAnsi="宋体" w:eastAsia="宋体" w:cs="宋体"/>
                <w:sz w:val="24"/>
                <w:szCs w:val="24"/>
                <w:lang w:val="en-US" w:eastAsia="zh-CN"/>
              </w:rPr>
              <w:t>10</w:t>
            </w:r>
          </w:p>
        </w:tc>
        <w:tc>
          <w:tcPr>
            <w:tcW w:w="2143" w:type="pct"/>
            <w:vAlign w:val="center"/>
          </w:tcPr>
          <w:p w14:paraId="4C032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rPr>
              <w:t>自202</w:t>
            </w:r>
            <w:r>
              <w:rPr>
                <w:rFonts w:hint="eastAsia" w:ascii="宋体" w:hAnsi="宋体" w:eastAsia="宋体" w:cs="宋体"/>
                <w:sz w:val="24"/>
                <w:szCs w:val="24"/>
                <w:lang w:val="en-US" w:eastAsia="zh-CN"/>
              </w:rPr>
              <w:t>3</w:t>
            </w:r>
            <w:r>
              <w:rPr>
                <w:rFonts w:hint="eastAsia" w:ascii="宋体" w:hAnsi="宋体" w:eastAsia="宋体" w:cs="宋体"/>
                <w:sz w:val="24"/>
                <w:szCs w:val="24"/>
              </w:rPr>
              <w:t>年1月1日至今，投标人每提供</w:t>
            </w:r>
            <w:r>
              <w:rPr>
                <w:rFonts w:hint="eastAsia" w:ascii="宋体" w:hAnsi="宋体" w:eastAsia="宋体" w:cs="宋体"/>
                <w:sz w:val="24"/>
                <w:szCs w:val="24"/>
                <w:lang w:val="en-US" w:eastAsia="zh-CN"/>
              </w:rPr>
              <w:t>1</w:t>
            </w:r>
            <w:r>
              <w:rPr>
                <w:rFonts w:hint="eastAsia" w:ascii="宋体" w:hAnsi="宋体" w:eastAsia="宋体" w:cs="宋体"/>
                <w:sz w:val="24"/>
                <w:szCs w:val="24"/>
              </w:rPr>
              <w:t>项</w:t>
            </w:r>
            <w:r>
              <w:rPr>
                <w:rFonts w:hint="eastAsia" w:ascii="宋体" w:hAnsi="宋体" w:eastAsia="宋体" w:cs="宋体"/>
                <w:sz w:val="24"/>
                <w:szCs w:val="24"/>
                <w:lang w:val="en-US" w:eastAsia="zh-CN"/>
              </w:rPr>
              <w:t>本次采购标的</w:t>
            </w:r>
            <w:r>
              <w:rPr>
                <w:rFonts w:hint="eastAsia" w:ascii="宋体" w:hAnsi="宋体" w:eastAsia="宋体" w:cs="宋体"/>
                <w:sz w:val="24"/>
                <w:szCs w:val="24"/>
              </w:rPr>
              <w:t>业绩证明的得</w:t>
            </w:r>
            <w:r>
              <w:rPr>
                <w:rFonts w:hint="eastAsia" w:ascii="宋体" w:hAnsi="宋体" w:eastAsia="宋体" w:cs="宋体"/>
                <w:sz w:val="24"/>
                <w:szCs w:val="24"/>
                <w:lang w:val="en-US" w:eastAsia="zh-CN"/>
              </w:rPr>
              <w:t>2</w:t>
            </w:r>
            <w:r>
              <w:rPr>
                <w:rFonts w:hint="eastAsia" w:ascii="宋体" w:hAnsi="宋体" w:eastAsia="宋体" w:cs="宋体"/>
                <w:sz w:val="24"/>
                <w:szCs w:val="24"/>
              </w:rPr>
              <w:t>分（以合同签订时间为准），最高得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14:paraId="77BF4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sz w:val="24"/>
                <w:szCs w:val="24"/>
              </w:rPr>
            </w:pPr>
            <w:r>
              <w:rPr>
                <w:rFonts w:hint="eastAsia" w:ascii="宋体" w:hAnsi="宋体" w:eastAsia="宋体" w:cs="宋体"/>
                <w:b/>
                <w:bCs/>
                <w:sz w:val="24"/>
                <w:szCs w:val="24"/>
              </w:rPr>
              <w:t>注：需提供合同复印件和</w:t>
            </w:r>
            <w:r>
              <w:rPr>
                <w:rFonts w:hint="eastAsia" w:ascii="宋体" w:hAnsi="宋体" w:eastAsia="宋体" w:cs="宋体"/>
                <w:b/>
                <w:bCs/>
                <w:sz w:val="24"/>
                <w:szCs w:val="24"/>
                <w:lang w:val="en-US" w:eastAsia="zh-CN"/>
              </w:rPr>
              <w:t>验收报告</w:t>
            </w:r>
            <w:r>
              <w:rPr>
                <w:rFonts w:hint="eastAsia" w:ascii="宋体" w:hAnsi="宋体" w:eastAsia="宋体" w:cs="宋体"/>
                <w:b/>
                <w:bCs/>
                <w:sz w:val="24"/>
                <w:szCs w:val="24"/>
              </w:rPr>
              <w:t>，加盖投标人公章。</w:t>
            </w:r>
          </w:p>
        </w:tc>
        <w:tc>
          <w:tcPr>
            <w:tcW w:w="871" w:type="pct"/>
            <w:vAlign w:val="center"/>
          </w:tcPr>
          <w:p w14:paraId="2357D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24"/>
                <w:szCs w:val="24"/>
                <w:lang w:val="en-US" w:eastAsia="zh-CN"/>
              </w:rPr>
            </w:pPr>
            <w:r>
              <w:rPr>
                <w:rFonts w:hint="eastAsia" w:ascii="宋体" w:hAnsi="宋体" w:eastAsia="宋体" w:cs="宋体"/>
                <w:bCs/>
                <w:sz w:val="24"/>
                <w:szCs w:val="24"/>
                <w:lang w:val="en-US" w:eastAsia="zh-CN"/>
              </w:rPr>
              <w:t>客观分</w:t>
            </w:r>
          </w:p>
        </w:tc>
      </w:tr>
      <w:tr w14:paraId="6A4B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0F49A0A2">
            <w:pPr>
              <w:keepNext w:val="0"/>
              <w:keepLines w:val="0"/>
              <w:widowControl/>
              <w:suppressLineNumbers w:val="0"/>
              <w:spacing w:before="0" w:beforeAutospacing="0" w:after="0" w:afterAutospacing="0"/>
              <w:ind w:left="0" w:right="0"/>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4</w:t>
            </w:r>
          </w:p>
        </w:tc>
        <w:tc>
          <w:tcPr>
            <w:tcW w:w="670" w:type="pct"/>
            <w:vAlign w:val="center"/>
          </w:tcPr>
          <w:p w14:paraId="79C86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sz w:val="24"/>
                <w:szCs w:val="24"/>
              </w:rPr>
            </w:pPr>
            <w:r>
              <w:rPr>
                <w:rFonts w:hint="eastAsia" w:ascii="宋体" w:hAnsi="宋体" w:eastAsia="宋体" w:cs="宋体"/>
                <w:sz w:val="24"/>
                <w:szCs w:val="24"/>
                <w:lang w:val="en-US" w:eastAsia="zh-CN"/>
              </w:rPr>
              <w:t>售后服务</w:t>
            </w:r>
          </w:p>
        </w:tc>
        <w:tc>
          <w:tcPr>
            <w:tcW w:w="731" w:type="pct"/>
            <w:vAlign w:val="center"/>
          </w:tcPr>
          <w:p w14:paraId="01947B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4"/>
                <w:szCs w:val="24"/>
                <w:lang w:val="en-US" w:eastAsia="zh-CN"/>
              </w:rPr>
            </w:pPr>
            <w:r>
              <w:rPr>
                <w:rFonts w:hint="eastAsia" w:ascii="宋体" w:hAnsi="宋体" w:eastAsia="宋体" w:cs="宋体"/>
                <w:sz w:val="24"/>
                <w:szCs w:val="24"/>
                <w:lang w:val="en-US" w:eastAsia="zh-CN"/>
              </w:rPr>
              <w:t>10</w:t>
            </w:r>
          </w:p>
        </w:tc>
        <w:tc>
          <w:tcPr>
            <w:tcW w:w="2143" w:type="pct"/>
            <w:vAlign w:val="center"/>
          </w:tcPr>
          <w:p w14:paraId="4D140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sz w:val="24"/>
                <w:szCs w:val="24"/>
              </w:rPr>
            </w:pPr>
            <w:r>
              <w:rPr>
                <w:rFonts w:hint="eastAsia" w:ascii="宋体" w:hAnsi="宋体" w:eastAsia="宋体" w:cs="宋体"/>
                <w:sz w:val="24"/>
                <w:szCs w:val="24"/>
              </w:rPr>
              <w:t>根据供应商针对本项目制定的项目实施方案进行评审，项目实施方案包含：①整体设计方案；②项目团队组成及职能分工；③进度计划保障措施；④应急预案；⑤服务质量保证措施。上述5项内容齐全且无缺陷（缺陷是指：内容涉及的规范或标准错误、内容表述错误、内容与本项目无关、内容不利于项目实施的任意一种情形）得</w:t>
            </w:r>
            <w:r>
              <w:rPr>
                <w:rFonts w:hint="eastAsia" w:ascii="宋体" w:hAnsi="宋体" w:eastAsia="宋体" w:cs="宋体"/>
                <w:sz w:val="24"/>
                <w:szCs w:val="24"/>
                <w:lang w:val="en-US" w:eastAsia="zh-CN"/>
              </w:rPr>
              <w:t>10</w:t>
            </w:r>
            <w:r>
              <w:rPr>
                <w:rFonts w:hint="eastAsia" w:ascii="宋体" w:hAnsi="宋体" w:eastAsia="宋体" w:cs="宋体"/>
                <w:sz w:val="24"/>
                <w:szCs w:val="24"/>
              </w:rPr>
              <w:t>分，每缺少一项内容扣</w:t>
            </w:r>
            <w:r>
              <w:rPr>
                <w:rFonts w:hint="eastAsia" w:ascii="宋体" w:hAnsi="宋体" w:eastAsia="宋体" w:cs="宋体"/>
                <w:sz w:val="24"/>
                <w:szCs w:val="24"/>
                <w:lang w:val="en-US" w:eastAsia="zh-CN"/>
              </w:rPr>
              <w:t>2</w:t>
            </w:r>
            <w:r>
              <w:rPr>
                <w:rFonts w:hint="eastAsia" w:ascii="宋体" w:hAnsi="宋体" w:eastAsia="宋体" w:cs="宋体"/>
                <w:sz w:val="24"/>
                <w:szCs w:val="24"/>
              </w:rPr>
              <w:t>分，扣完为止；单项内容每存在一处缺陷扣</w:t>
            </w:r>
            <w:r>
              <w:rPr>
                <w:rFonts w:hint="eastAsia" w:ascii="宋体" w:hAnsi="宋体" w:eastAsia="宋体" w:cs="宋体"/>
                <w:sz w:val="24"/>
                <w:szCs w:val="24"/>
                <w:lang w:val="en-US" w:eastAsia="zh-CN"/>
              </w:rPr>
              <w:t>1</w:t>
            </w:r>
            <w:r>
              <w:rPr>
                <w:rFonts w:hint="eastAsia" w:ascii="宋体" w:hAnsi="宋体" w:eastAsia="宋体" w:cs="宋体"/>
                <w:sz w:val="24"/>
                <w:szCs w:val="24"/>
              </w:rPr>
              <w:t>分，单项内容分扣完为止。</w:t>
            </w:r>
          </w:p>
        </w:tc>
        <w:tc>
          <w:tcPr>
            <w:tcW w:w="871" w:type="pct"/>
            <w:vAlign w:val="center"/>
          </w:tcPr>
          <w:p w14:paraId="28959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Cs/>
                <w:sz w:val="24"/>
                <w:szCs w:val="24"/>
                <w:lang w:val="en-US" w:eastAsia="zh-CN"/>
              </w:rPr>
              <w:t>主观分</w:t>
            </w:r>
          </w:p>
        </w:tc>
      </w:tr>
      <w:tr w14:paraId="5470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67D28A85">
            <w:pPr>
              <w:keepNext w:val="0"/>
              <w:keepLines w:val="0"/>
              <w:widowControl/>
              <w:suppressLineNumbers w:val="0"/>
              <w:spacing w:before="0" w:beforeAutospacing="0" w:after="0" w:afterAutospacing="0"/>
              <w:ind w:left="0" w:right="0"/>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5</w:t>
            </w:r>
          </w:p>
        </w:tc>
        <w:tc>
          <w:tcPr>
            <w:tcW w:w="670" w:type="pct"/>
            <w:vAlign w:val="center"/>
          </w:tcPr>
          <w:p w14:paraId="1F2C16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val="0"/>
                <w:bCs/>
                <w:sz w:val="24"/>
                <w:szCs w:val="24"/>
              </w:rPr>
            </w:pPr>
            <w:r>
              <w:rPr>
                <w:rFonts w:hint="eastAsia" w:ascii="宋体" w:hAnsi="宋体" w:eastAsia="宋体" w:cs="宋体"/>
                <w:sz w:val="24"/>
                <w:szCs w:val="24"/>
                <w:lang w:val="en-US" w:eastAsia="zh-CN"/>
              </w:rPr>
              <w:t>现场产品演示</w:t>
            </w:r>
          </w:p>
        </w:tc>
        <w:tc>
          <w:tcPr>
            <w:tcW w:w="731" w:type="pct"/>
            <w:vAlign w:val="center"/>
          </w:tcPr>
          <w:p w14:paraId="66A2F7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sz w:val="24"/>
                <w:szCs w:val="24"/>
                <w:lang w:val="en-US" w:eastAsia="zh-CN"/>
              </w:rPr>
            </w:pPr>
            <w:r>
              <w:rPr>
                <w:rFonts w:hint="eastAsia" w:ascii="宋体" w:hAnsi="宋体" w:eastAsia="宋体" w:cs="宋体"/>
                <w:sz w:val="24"/>
                <w:szCs w:val="24"/>
                <w:lang w:val="en-US" w:eastAsia="zh-CN"/>
              </w:rPr>
              <w:t>12</w:t>
            </w:r>
          </w:p>
        </w:tc>
        <w:tc>
          <w:tcPr>
            <w:tcW w:w="2143" w:type="pct"/>
            <w:vAlign w:val="center"/>
          </w:tcPr>
          <w:p w14:paraId="4043A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sz w:val="24"/>
                <w:szCs w:val="24"/>
              </w:rPr>
            </w:pPr>
            <w:r>
              <w:rPr>
                <w:rFonts w:hint="eastAsia" w:ascii="宋体" w:hAnsi="宋体" w:eastAsia="宋体" w:cs="宋体"/>
                <w:sz w:val="24"/>
                <w:szCs w:val="24"/>
                <w:lang w:val="en-US" w:eastAsia="zh-CN"/>
              </w:rPr>
              <w:t>提供现场产品演示，根据产品的①性能、②易用性、③稳定性、④需求匹配度等四个方面，每个方面完整且满足要求得3分，部分满足要求或部分完整得1.5分，完全不满足要求不得分；未提供产品演示及说明的不得分。</w:t>
            </w:r>
          </w:p>
        </w:tc>
        <w:tc>
          <w:tcPr>
            <w:tcW w:w="871" w:type="pct"/>
            <w:vAlign w:val="center"/>
          </w:tcPr>
          <w:p w14:paraId="549FC5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24"/>
                <w:szCs w:val="24"/>
              </w:rPr>
            </w:pPr>
            <w:r>
              <w:rPr>
                <w:rFonts w:hint="eastAsia" w:ascii="宋体" w:hAnsi="宋体" w:eastAsia="宋体" w:cs="宋体"/>
                <w:sz w:val="24"/>
                <w:szCs w:val="24"/>
                <w:lang w:val="en-US" w:eastAsia="zh-CN"/>
              </w:rPr>
              <w:t>主观分</w:t>
            </w:r>
          </w:p>
        </w:tc>
      </w:tr>
    </w:tbl>
    <w:p w14:paraId="64BD5872">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6BBE1752">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附件3：资格性响应文件装订顺序</w:t>
      </w:r>
    </w:p>
    <w:p w14:paraId="5672AD2E">
      <w:pPr>
        <w:keepNext w:val="0"/>
        <w:keepLines w:val="0"/>
        <w:widowControl w:val="0"/>
        <w:suppressLineNumbers w:val="0"/>
        <w:autoSpaceDE w:val="0"/>
        <w:autoSpaceDN/>
        <w:spacing w:before="0" w:beforeAutospacing="0" w:after="0" w:afterAutospacing="0"/>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资格性响应文件装订顺序</w:t>
      </w:r>
    </w:p>
    <w:p w14:paraId="662E12CE">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5166D0B9">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14:paraId="32DFC1E8">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3.在中国境内注册并具有法人资格的合法企业</w:t>
      </w:r>
      <w:r>
        <w:rPr>
          <w:rFonts w:hint="eastAsia" w:ascii="宋体" w:hAnsi="宋体" w:eastAsia="宋体" w:cs="宋体"/>
          <w:b/>
          <w:bCs/>
          <w:spacing w:val="8"/>
          <w:kern w:val="0"/>
          <w:sz w:val="28"/>
          <w:szCs w:val="28"/>
          <w:shd w:val="clear" w:fill="FFFFFF"/>
          <w:lang w:val="en-US" w:eastAsia="zh-CN" w:bidi="ar"/>
        </w:rPr>
        <w:t>（提供承诺函原件，并加盖供应商公章）</w:t>
      </w:r>
    </w:p>
    <w:p w14:paraId="6CB0201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4.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宋体" w:hAnsi="宋体" w:eastAsia="宋体" w:cs="宋体"/>
          <w:b/>
          <w:bCs/>
          <w:spacing w:val="8"/>
          <w:kern w:val="0"/>
          <w:sz w:val="28"/>
          <w:szCs w:val="28"/>
          <w:shd w:val="clear" w:fill="FFFFFF"/>
          <w:lang w:val="en-US" w:eastAsia="zh-CN" w:bidi="ar"/>
        </w:rPr>
        <w:t>（提供相关证明材料复印件，并加盖供应商公章）</w:t>
      </w:r>
    </w:p>
    <w:p w14:paraId="2A071BAA">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5.具有良好的商业信誉和健全的财务会计制度，提供承诺函；具有履行合同所必需的设备和专业技术能力，提供承诺函；具有依法缴纳税收和社会保障资金的良好记录，提供承诺函；参加采购活动前三年内，在经营活动中没有重大违法记录，提供承诺函；供应商负责人为同一人或者存在控股、管理关系的不同单位，均视为同一参会供应商，不得重复参加采购；法律、行政法规规定的其他条件，提供承诺函。</w:t>
      </w:r>
      <w:r>
        <w:rPr>
          <w:rFonts w:hint="eastAsia" w:ascii="宋体" w:hAnsi="宋体" w:eastAsia="宋体" w:cs="宋体"/>
          <w:b/>
          <w:bCs/>
          <w:spacing w:val="8"/>
          <w:kern w:val="0"/>
          <w:sz w:val="28"/>
          <w:szCs w:val="28"/>
          <w:shd w:val="clear" w:fill="FFFFFF"/>
          <w:lang w:val="en-US" w:eastAsia="zh-CN" w:bidi="ar"/>
        </w:rPr>
        <w:t>（提供承诺函，并加盖供应商公章）</w:t>
      </w:r>
    </w:p>
    <w:p w14:paraId="185411A6">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6.根据会议公告附件模板提供反商业贿赂承诺书，无围标、串标行为承诺书，供应商遵守招标采购纪律相关承诺书；</w:t>
      </w:r>
      <w:r>
        <w:rPr>
          <w:rFonts w:hint="eastAsia" w:ascii="宋体" w:hAnsi="宋体" w:eastAsia="宋体" w:cs="宋体"/>
          <w:b/>
          <w:bCs/>
          <w:spacing w:val="8"/>
          <w:kern w:val="0"/>
          <w:sz w:val="28"/>
          <w:szCs w:val="28"/>
          <w:shd w:val="clear" w:fill="FFFFFF"/>
          <w:lang w:val="en-US" w:eastAsia="zh-CN" w:bidi="ar"/>
        </w:rPr>
        <w:t>（提供承诺函，并加盖供应商公章）</w:t>
      </w:r>
    </w:p>
    <w:p w14:paraId="493E121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7.授权参加本次采购活动的供应商代表证明(供应商代表为“授权代表”时，提供授权委托书及身份证复印件；供应商代表为“法定代表人（单位负责人）”时，提供法定代表人（单位负责人）身份证复印件)。</w:t>
      </w:r>
      <w:r>
        <w:rPr>
          <w:rFonts w:hint="eastAsia" w:ascii="宋体" w:hAnsi="宋体" w:eastAsia="宋体" w:cs="宋体"/>
          <w:b/>
          <w:bCs/>
          <w:spacing w:val="8"/>
          <w:kern w:val="0"/>
          <w:sz w:val="28"/>
          <w:szCs w:val="28"/>
          <w:shd w:val="clear" w:fill="FFFFFF"/>
          <w:lang w:val="en-US" w:eastAsia="zh-CN" w:bidi="ar"/>
        </w:rPr>
        <w:t>（提供相关证明材料，并加盖供应商公章）</w:t>
      </w:r>
    </w:p>
    <w:p w14:paraId="162C3535">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8.通过“中国政府采购网”网站（www.ccgp.gov.cn）查询投标人在递交响应文件截止时间前一个月内的政府采购严重违法失信行为信息记录结果网页截图，“信用中国”网站（www.creditchina.gov.cn）查询信用信息，信用中国需下载完整版信用信息报告（开标前一个月内）。拒绝违法失信行为记录名单中的供应商报名参加本项目的采购活动</w:t>
      </w:r>
      <w:r>
        <w:rPr>
          <w:rFonts w:hint="eastAsia" w:ascii="宋体" w:hAnsi="宋体" w:eastAsia="宋体" w:cs="宋体"/>
          <w:b/>
          <w:bCs/>
          <w:spacing w:val="8"/>
          <w:kern w:val="0"/>
          <w:sz w:val="28"/>
          <w:szCs w:val="28"/>
          <w:shd w:val="clear" w:fill="FFFFFF"/>
          <w:lang w:val="en-US" w:eastAsia="zh-CN" w:bidi="ar"/>
        </w:rPr>
        <w:t>（提供证明材料，并加盖供应商公章）</w:t>
      </w:r>
    </w:p>
    <w:p w14:paraId="662B8ECE">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560" w:firstLineChars="200"/>
        <w:jc w:val="both"/>
        <w:rPr>
          <w:rFonts w:hint="eastAsia" w:ascii="黑体" w:hAnsi="宋体" w:eastAsia="黑体" w:cs="黑体"/>
          <w:b w:val="0"/>
          <w:bCs w:val="0"/>
          <w:kern w:val="2"/>
          <w:sz w:val="28"/>
          <w:szCs w:val="28"/>
          <w:lang w:val="en-US" w:eastAsia="zh-CN" w:bidi="ar"/>
        </w:rPr>
      </w:pPr>
      <w:r>
        <w:rPr>
          <w:rFonts w:hint="eastAsia" w:ascii="黑体" w:hAnsi="宋体" w:eastAsia="黑体" w:cs="黑体"/>
          <w:b w:val="0"/>
          <w:bCs w:val="0"/>
          <w:kern w:val="2"/>
          <w:sz w:val="28"/>
          <w:szCs w:val="28"/>
          <w:lang w:val="en-US" w:eastAsia="zh-CN" w:bidi="ar"/>
        </w:rPr>
        <w:br w:type="page"/>
      </w:r>
    </w:p>
    <w:p w14:paraId="637DF8E3">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2"/>
          <w:sz w:val="28"/>
          <w:szCs w:val="28"/>
          <w:lang w:val="en-US" w:eastAsia="zh-CN" w:bidi="ar"/>
        </w:rPr>
        <w:t>附件4：其他响应文件装订顺序</w:t>
      </w:r>
    </w:p>
    <w:p w14:paraId="688CAE22">
      <w:pPr>
        <w:keepNext w:val="0"/>
        <w:keepLines w:val="0"/>
        <w:widowControl/>
        <w:suppressLineNumbers w:val="0"/>
        <w:adjustRightInd w:val="0"/>
        <w:snapToGrid w:val="0"/>
        <w:spacing w:before="0" w:beforeAutospacing="0" w:after="0" w:afterAutospacing="0" w:line="580" w:lineRule="exact"/>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其他响应文件装订顺序</w:t>
      </w:r>
    </w:p>
    <w:p w14:paraId="2B12DF12">
      <w:pPr>
        <w:pStyle w:val="4"/>
        <w:widowControl/>
        <w:rPr>
          <w:rFonts w:hint="default" w:ascii="Times New Roman" w:hAnsi="Calibri" w:eastAsia="宋体" w:cs="Times New Roman"/>
          <w:kern w:val="2"/>
          <w:sz w:val="21"/>
          <w:szCs w:val="21"/>
        </w:rPr>
      </w:pPr>
      <w:r>
        <w:rPr>
          <w:rFonts w:hint="default" w:ascii="Times New Roman" w:hAnsi="Calibri" w:eastAsia="宋体" w:cs="Times New Roman"/>
          <w:kern w:val="2"/>
          <w:sz w:val="21"/>
          <w:szCs w:val="21"/>
        </w:rPr>
        <w:t xml:space="preserve"> </w:t>
      </w:r>
    </w:p>
    <w:p w14:paraId="73EAC0BF">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566ECBF3">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14:paraId="6A6965E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3.报价表（格式见附件5-1）。</w:t>
      </w:r>
    </w:p>
    <w:p w14:paraId="23AA1853">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4.技术服务要求、商务要求偏离表（格式见附件5-2）。</w:t>
      </w:r>
    </w:p>
    <w:p w14:paraId="3DBE5B8B">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5.售后服务承诺。</w:t>
      </w:r>
    </w:p>
    <w:p w14:paraId="3EBB2665">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6.行业相关规范或标准（如有）。</w:t>
      </w:r>
    </w:p>
    <w:p w14:paraId="498D452B">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7.供应商认为需要提供的其它资料。</w:t>
      </w:r>
    </w:p>
    <w:p w14:paraId="0832B7A0">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8.封底。</w:t>
      </w:r>
    </w:p>
    <w:p w14:paraId="2C046935">
      <w:pPr>
        <w:pStyle w:val="12"/>
        <w:widowControl/>
        <w:spacing w:before="0" w:beforeAutospacing="1"/>
        <w:ind w:leftChars="20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44B8E041">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shd w:val="clear" w:fill="FFFFFF"/>
        </w:rPr>
      </w:pPr>
      <w:r>
        <w:rPr>
          <w:rFonts w:hint="eastAsia" w:ascii="宋体" w:hAnsi="宋体" w:eastAsia="宋体" w:cs="宋体"/>
          <w:b/>
          <w:bCs/>
          <w:spacing w:val="8"/>
          <w:kern w:val="0"/>
          <w:sz w:val="28"/>
          <w:szCs w:val="28"/>
          <w:shd w:val="clear" w:fill="FFFFFF"/>
          <w:lang w:val="en-US" w:eastAsia="zh-CN" w:bidi="ar"/>
        </w:rPr>
        <w:t>注：请务必按以上顺序装订资料，如有非中文资料，请同时提供中文翻译件。</w:t>
      </w:r>
    </w:p>
    <w:p w14:paraId="6CE0485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 xml:space="preserve"> </w:t>
      </w:r>
    </w:p>
    <w:p w14:paraId="706F3DCA">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900BEFE">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647022EA">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B76A3B9">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7DE33D0">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53602F49">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7CB3A3F">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771DAD1">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0EA055E">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B946F9E">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39F70ACC">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72E20C4">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34BC0C03">
      <w:pPr>
        <w:pStyle w:val="4"/>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199B98B">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4A8ED66A">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0B4EC0EB">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附件5：主要表格格式</w:t>
      </w:r>
    </w:p>
    <w:p w14:paraId="18069439">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u w:val="single"/>
          <w:shd w:val="clear" w:fill="FFFFFF"/>
          <w:lang w:val="en-US"/>
        </w:rPr>
      </w:pPr>
      <w:r>
        <w:rPr>
          <w:rFonts w:hint="eastAsia" w:ascii="宋体" w:hAnsi="宋体" w:eastAsia="宋体" w:cs="宋体"/>
          <w:b/>
          <w:bCs/>
          <w:kern w:val="0"/>
          <w:sz w:val="28"/>
          <w:szCs w:val="28"/>
          <w:shd w:val="clear" w:fill="FFFFFF"/>
          <w:lang w:val="en-US" w:eastAsia="zh-CN" w:bidi="ar"/>
        </w:rPr>
        <w:t>附件5-1：报价表</w:t>
      </w:r>
    </w:p>
    <w:p w14:paraId="2154FBFC">
      <w:pPr>
        <w:keepNext w:val="0"/>
        <w:keepLines w:val="0"/>
        <w:widowControl/>
        <w:suppressLineNumbers w:val="0"/>
        <w:autoSpaceDE w:val="0"/>
        <w:autoSpaceDN/>
        <w:spacing w:before="0" w:beforeAutospacing="0" w:after="0" w:afterAutospacing="0" w:line="360" w:lineRule="auto"/>
        <w:ind w:left="0" w:right="0"/>
        <w:jc w:val="center"/>
      </w:pPr>
      <w:r>
        <w:rPr>
          <w:rFonts w:hint="eastAsia" w:ascii="宋体" w:hAnsi="宋体" w:eastAsia="宋体" w:cs="宋体"/>
          <w:kern w:val="0"/>
          <w:sz w:val="28"/>
          <w:szCs w:val="28"/>
          <w:u w:val="single"/>
          <w:lang w:val="en-US" w:eastAsia="zh-CN" w:bidi="ar"/>
        </w:rPr>
        <w:t>XXX</w:t>
      </w:r>
      <w:r>
        <w:rPr>
          <w:rFonts w:hint="eastAsia" w:ascii="宋体" w:hAnsi="宋体" w:eastAsia="宋体" w:cs="宋体"/>
          <w:kern w:val="0"/>
          <w:sz w:val="28"/>
          <w:szCs w:val="28"/>
          <w:lang w:val="en-US" w:eastAsia="zh-CN" w:bidi="ar"/>
        </w:rPr>
        <w:t>采购项目报价表</w:t>
      </w:r>
    </w:p>
    <w:p w14:paraId="6C7B1A93">
      <w:pPr>
        <w:rPr>
          <w:rFonts w:hint="default" w:eastAsiaTheme="minorEastAsia"/>
          <w:sz w:val="24"/>
          <w:szCs w:val="24"/>
          <w:lang w:val="en-US" w:eastAsia="zh-CN"/>
        </w:rPr>
      </w:pPr>
      <w:bookmarkStart w:id="5" w:name="OLE_LINK2"/>
      <w:r>
        <w:rPr>
          <w:rFonts w:hint="eastAsia"/>
          <w:sz w:val="24"/>
          <w:szCs w:val="24"/>
          <w:lang w:val="en-US" w:eastAsia="zh-CN"/>
        </w:rPr>
        <w:t>项目名称：</w:t>
      </w:r>
      <w:r>
        <w:rPr>
          <w:rFonts w:hint="eastAsia"/>
          <w:sz w:val="24"/>
          <w:szCs w:val="24"/>
          <w:lang w:val="en-US" w:eastAsia="zh-CN"/>
        </w:rPr>
        <w:br w:type="textWrapping"/>
      </w:r>
      <w:r>
        <w:rPr>
          <w:rFonts w:hint="eastAsia"/>
          <w:sz w:val="24"/>
          <w:szCs w:val="24"/>
          <w:lang w:val="en-US" w:eastAsia="zh-CN"/>
        </w:rPr>
        <w:t>项目编号：</w:t>
      </w:r>
    </w:p>
    <w:bookmarkEnd w:id="5"/>
    <w:tbl>
      <w:tblPr>
        <w:tblStyle w:val="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92"/>
        <w:gridCol w:w="850"/>
        <w:gridCol w:w="1817"/>
        <w:gridCol w:w="902"/>
        <w:gridCol w:w="920"/>
        <w:gridCol w:w="1702"/>
        <w:gridCol w:w="1650"/>
      </w:tblGrid>
      <w:tr w14:paraId="06133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1" w:hRule="atLeast"/>
          <w:jc w:val="center"/>
        </w:trPr>
        <w:tc>
          <w:tcPr>
            <w:tcW w:w="2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DED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包号</w:t>
            </w:r>
          </w:p>
        </w:tc>
        <w:tc>
          <w:tcPr>
            <w:tcW w:w="5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279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rPr>
            </w:pPr>
            <w:r>
              <w:rPr>
                <w:rFonts w:hint="eastAsia" w:ascii="宋体" w:hAnsi="宋体" w:eastAsia="宋体" w:cs="宋体"/>
                <w:b/>
                <w:bCs/>
                <w:color w:val="000000"/>
                <w:kern w:val="0"/>
                <w:sz w:val="21"/>
                <w:szCs w:val="21"/>
                <w:lang w:val="en-US" w:eastAsia="zh-CN" w:bidi="ar"/>
              </w:rPr>
              <w:t>序号</w:t>
            </w:r>
          </w:p>
        </w:tc>
        <w:tc>
          <w:tcPr>
            <w:tcW w:w="1090"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ED681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服务内容</w:t>
            </w:r>
          </w:p>
        </w:tc>
        <w:tc>
          <w:tcPr>
            <w:tcW w:w="541"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8B5437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1"/>
                <w:szCs w:val="21"/>
                <w:lang w:val="en-US" w:eastAsia="zh-CN"/>
              </w:rPr>
            </w:pPr>
            <w:r>
              <w:rPr>
                <w:rFonts w:hint="eastAsia" w:ascii="宋体" w:hAnsi="宋体" w:eastAsia="宋体" w:cs="宋体"/>
                <w:b/>
                <w:bCs/>
                <w:color w:val="000000"/>
                <w:kern w:val="0"/>
                <w:sz w:val="21"/>
                <w:szCs w:val="21"/>
                <w:lang w:val="en-US" w:eastAsia="zh-CN"/>
              </w:rPr>
              <w:t>数量</w:t>
            </w:r>
          </w:p>
        </w:tc>
        <w:tc>
          <w:tcPr>
            <w:tcW w:w="552"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1C8B8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单位</w:t>
            </w:r>
          </w:p>
        </w:tc>
        <w:tc>
          <w:tcPr>
            <w:tcW w:w="1021"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6A2A25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kern w:val="2"/>
                <w:sz w:val="21"/>
                <w:szCs w:val="21"/>
                <w:lang w:val="en-US" w:eastAsia="zh-CN"/>
              </w:rPr>
              <w:t>最高限价（万元）</w:t>
            </w:r>
          </w:p>
        </w:tc>
        <w:tc>
          <w:tcPr>
            <w:tcW w:w="98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28F312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rPr>
              <w:t>报价（万元）</w:t>
            </w:r>
          </w:p>
        </w:tc>
      </w:tr>
      <w:tr w14:paraId="169E7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296" w:type="pct"/>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D7565B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1"/>
                <w:szCs w:val="21"/>
                <w:lang w:val="en-US" w:eastAsia="zh-CN" w:bidi="ar"/>
              </w:rPr>
            </w:pPr>
            <w:r>
              <w:rPr>
                <w:rFonts w:hint="eastAsia" w:ascii="宋体" w:hAnsi="宋体" w:eastAsia="宋体" w:cs="宋体"/>
                <w:i w:val="0"/>
                <w:iCs w:val="0"/>
                <w:color w:val="000000"/>
                <w:kern w:val="0"/>
                <w:sz w:val="21"/>
                <w:szCs w:val="21"/>
                <w:lang w:val="en-US" w:eastAsia="zh-CN" w:bidi="ar"/>
              </w:rPr>
              <w:t>1</w:t>
            </w:r>
          </w:p>
        </w:tc>
        <w:tc>
          <w:tcPr>
            <w:tcW w:w="5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DFE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r>
              <w:rPr>
                <w:rFonts w:hint="eastAsia" w:ascii="宋体" w:hAnsi="宋体" w:eastAsia="宋体" w:cs="宋体"/>
                <w:i w:val="0"/>
                <w:iCs w:val="0"/>
                <w:color w:val="000000"/>
                <w:kern w:val="0"/>
                <w:sz w:val="21"/>
                <w:szCs w:val="21"/>
                <w:lang w:val="en-US" w:eastAsia="zh-CN" w:bidi="ar"/>
              </w:rPr>
              <w:t>1</w:t>
            </w:r>
          </w:p>
        </w:tc>
        <w:tc>
          <w:tcPr>
            <w:tcW w:w="1090"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E783EA3">
            <w:pPr>
              <w:pStyle w:val="13"/>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lang w:val="en-US" w:eastAsia="zh-CN"/>
              </w:rPr>
              <w:t>反统方系统</w:t>
            </w:r>
          </w:p>
        </w:tc>
        <w:tc>
          <w:tcPr>
            <w:tcW w:w="541"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E9B06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1</w:t>
            </w:r>
          </w:p>
        </w:tc>
        <w:tc>
          <w:tcPr>
            <w:tcW w:w="552"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27AA2F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套</w:t>
            </w:r>
          </w:p>
        </w:tc>
        <w:tc>
          <w:tcPr>
            <w:tcW w:w="1021"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6A00B46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9.9</w:t>
            </w:r>
          </w:p>
        </w:tc>
        <w:tc>
          <w:tcPr>
            <w:tcW w:w="98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32EAA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0C62B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7" w:hRule="atLeast"/>
          <w:jc w:val="center"/>
        </w:trPr>
        <w:tc>
          <w:tcPr>
            <w:tcW w:w="296" w:type="pct"/>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01A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lang w:val="en-US" w:eastAsia="zh-CN" w:bidi="ar"/>
              </w:rPr>
            </w:pPr>
          </w:p>
        </w:tc>
        <w:tc>
          <w:tcPr>
            <w:tcW w:w="5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99D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1"/>
                <w:szCs w:val="21"/>
                <w:lang w:val="en-US" w:eastAsia="zh-CN" w:bidi="ar"/>
              </w:rPr>
            </w:pPr>
            <w:r>
              <w:rPr>
                <w:rFonts w:hint="eastAsia" w:ascii="宋体" w:hAnsi="宋体" w:eastAsia="宋体" w:cs="宋体"/>
                <w:i w:val="0"/>
                <w:iCs w:val="0"/>
                <w:color w:val="000000"/>
                <w:kern w:val="0"/>
                <w:sz w:val="21"/>
                <w:szCs w:val="21"/>
                <w:lang w:val="en-US" w:eastAsia="zh-CN" w:bidi="ar"/>
              </w:rPr>
              <w:t>2</w:t>
            </w:r>
          </w:p>
        </w:tc>
        <w:tc>
          <w:tcPr>
            <w:tcW w:w="1090"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782F408">
            <w:pPr>
              <w:pStyle w:val="13"/>
              <w:widowControl/>
              <w:numPr>
                <w:ilvl w:val="0"/>
                <w:numId w:val="0"/>
              </w:numPr>
              <w:adjustRightInd w:val="0"/>
              <w:spacing w:before="156" w:beforeLines="50" w:beforeAutospacing="0" w:after="156" w:afterLines="50" w:afterAutospacing="0" w:line="360" w:lineRule="auto"/>
              <w:ind w:left="0" w:leftChars="0" w:right="0" w:rightChars="0" w:firstLine="0" w:firstLineChars="0"/>
              <w:contextualSpacing/>
              <w:jc w:val="center"/>
              <w:outlineLvl w:val="9"/>
              <w:rPr>
                <w:rFonts w:hint="eastAsia" w:ascii="宋体" w:hAnsi="宋体" w:eastAsia="宋体" w:cs="宋体"/>
                <w:b/>
                <w:bCs/>
                <w:color w:val="000000"/>
                <w:kern w:val="0"/>
                <w:sz w:val="21"/>
                <w:szCs w:val="21"/>
              </w:rPr>
            </w:pPr>
            <w:r>
              <w:rPr>
                <w:rFonts w:hint="eastAsia" w:ascii="宋体" w:hAnsi="宋体" w:eastAsia="宋体" w:cs="宋体"/>
                <w:b w:val="0"/>
                <w:bCs/>
                <w:color w:val="000000"/>
                <w:kern w:val="2"/>
                <w:sz w:val="24"/>
                <w:szCs w:val="24"/>
              </w:rPr>
              <w:t>行风与医德医风管理系统</w:t>
            </w:r>
          </w:p>
        </w:tc>
        <w:tc>
          <w:tcPr>
            <w:tcW w:w="541"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89990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1</w:t>
            </w:r>
          </w:p>
        </w:tc>
        <w:tc>
          <w:tcPr>
            <w:tcW w:w="552"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00C877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lang w:val="en-US" w:eastAsia="zh-CN"/>
              </w:rPr>
              <w:t>套</w:t>
            </w:r>
          </w:p>
        </w:tc>
        <w:tc>
          <w:tcPr>
            <w:tcW w:w="1021"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7BED80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9.9</w:t>
            </w:r>
          </w:p>
        </w:tc>
        <w:tc>
          <w:tcPr>
            <w:tcW w:w="98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7B4E67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070B8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2" w:hRule="atLeast"/>
          <w:jc w:val="center"/>
        </w:trPr>
        <w:tc>
          <w:tcPr>
            <w:tcW w:w="5000" w:type="pct"/>
            <w:gridSpan w:val="7"/>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485AC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报价合计：             （大写：              ）</w:t>
            </w:r>
          </w:p>
        </w:tc>
      </w:tr>
    </w:tbl>
    <w:p w14:paraId="01780D6E">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642119EA">
      <w:pPr>
        <w:pStyle w:val="8"/>
        <w:widowControl/>
        <w:ind w:left="0" w:leftChars="0" w:right="0" w:firstLine="0" w:firstLineChars="0"/>
        <w:rPr>
          <w:rFonts w:hint="eastAsia" w:ascii="宋体" w:hAnsi="宋体" w:eastAsia="宋体" w:cs="宋体"/>
          <w:b/>
          <w:bCs/>
          <w:color w:val="333333"/>
          <w:spacing w:val="0"/>
          <w:kern w:val="2"/>
          <w:sz w:val="24"/>
          <w:szCs w:val="24"/>
        </w:rPr>
      </w:pPr>
      <w:r>
        <w:rPr>
          <w:rFonts w:hint="eastAsia" w:ascii="宋体" w:hAnsi="宋体" w:eastAsia="宋体" w:cs="宋体"/>
          <w:color w:val="333333"/>
          <w:spacing w:val="0"/>
          <w:kern w:val="2"/>
          <w:sz w:val="24"/>
          <w:szCs w:val="24"/>
        </w:rPr>
        <w:t>注：</w:t>
      </w:r>
    </w:p>
    <w:p w14:paraId="0BD06ABA">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1.</w:t>
      </w:r>
      <w:r>
        <w:rPr>
          <w:rFonts w:hint="eastAsia" w:ascii="宋体" w:hAnsi="宋体" w:eastAsia="宋体" w:cs="宋体"/>
          <w:color w:val="333333"/>
          <w:spacing w:val="0"/>
          <w:kern w:val="2"/>
          <w:sz w:val="24"/>
          <w:szCs w:val="24"/>
        </w:rPr>
        <w:t>报价应是最终用户验收合格后的总价，包括设备运输、保险、代理、安装调试、培训、税费、系统集成费用和采购文件规定的其它费用。</w:t>
      </w:r>
    </w:p>
    <w:p w14:paraId="1230FEF8">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2.</w:t>
      </w:r>
      <w:r>
        <w:rPr>
          <w:rFonts w:hint="eastAsia" w:ascii="宋体" w:hAnsi="宋体" w:eastAsia="宋体" w:cs="宋体"/>
          <w:color w:val="333333"/>
          <w:spacing w:val="0"/>
          <w:kern w:val="2"/>
          <w:sz w:val="24"/>
          <w:szCs w:val="24"/>
        </w:rPr>
        <w:t>“报价表”为多页的，每页均需由法定代表人或授权代表签字并盖供应商印章。</w:t>
      </w:r>
    </w:p>
    <w:p w14:paraId="390FB5DD">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3.</w:t>
      </w:r>
      <w:r>
        <w:rPr>
          <w:rFonts w:hint="eastAsia" w:ascii="宋体" w:hAnsi="宋体" w:eastAsia="宋体" w:cs="宋体"/>
          <w:color w:val="333333"/>
          <w:spacing w:val="0"/>
          <w:kern w:val="2"/>
          <w:sz w:val="24"/>
          <w:szCs w:val="24"/>
        </w:rPr>
        <w:t>报价超过最高限价，视为无效报价，将作无效投标处理。</w:t>
      </w:r>
    </w:p>
    <w:p w14:paraId="0B6F5B9A">
      <w:pPr>
        <w:pStyle w:val="8"/>
        <w:widowControl/>
        <w:ind w:left="0" w:leftChars="0" w:right="0" w:firstLine="0" w:firstLineChars="0"/>
        <w:rPr>
          <w:rFonts w:hint="default" w:ascii="宋体" w:hAnsi="宋体" w:eastAsia="宋体" w:cs="宋体"/>
          <w:color w:val="333333"/>
          <w:spacing w:val="0"/>
          <w:kern w:val="2"/>
          <w:sz w:val="24"/>
          <w:szCs w:val="24"/>
          <w:lang w:val="en-US" w:eastAsia="zh-CN"/>
        </w:rPr>
      </w:pPr>
      <w:r>
        <w:rPr>
          <w:rFonts w:hint="eastAsia" w:ascii="宋体" w:hAnsi="宋体" w:eastAsia="宋体" w:cs="宋体"/>
          <w:color w:val="333333"/>
          <w:spacing w:val="0"/>
          <w:kern w:val="2"/>
          <w:sz w:val="24"/>
          <w:szCs w:val="24"/>
          <w:lang w:val="en-US" w:eastAsia="zh-CN"/>
        </w:rPr>
        <w:t>4.预估数量</w:t>
      </w:r>
      <w:r>
        <w:rPr>
          <w:rFonts w:hint="eastAsia" w:ascii="宋体" w:eastAsia="宋体" w:cs="宋体"/>
          <w:color w:val="333333"/>
          <w:spacing w:val="0"/>
          <w:kern w:val="2"/>
          <w:sz w:val="24"/>
          <w:szCs w:val="24"/>
          <w:lang w:val="en-US" w:eastAsia="zh-CN"/>
        </w:rPr>
        <w:t>（如有）</w:t>
      </w:r>
      <w:r>
        <w:rPr>
          <w:rFonts w:hint="eastAsia" w:ascii="宋体" w:hAnsi="宋体" w:eastAsia="宋体" w:cs="宋体"/>
          <w:color w:val="333333"/>
          <w:spacing w:val="0"/>
          <w:kern w:val="2"/>
          <w:sz w:val="24"/>
          <w:szCs w:val="24"/>
          <w:lang w:val="en-US" w:eastAsia="zh-CN"/>
        </w:rPr>
        <w:t>只用作报价测算，不作为其他使用。</w:t>
      </w:r>
    </w:p>
    <w:p w14:paraId="02F1EC01">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73790D8F">
      <w:pPr>
        <w:pStyle w:val="8"/>
        <w:widowControl/>
        <w:ind w:left="0" w:leftChars="0" w:right="0" w:firstLine="0" w:firstLineChars="0"/>
        <w:rPr>
          <w:rFonts w:hint="eastAsia" w:ascii="宋体" w:hAnsi="宋体" w:eastAsia="宋体" w:cs="宋体"/>
          <w:color w:val="333333"/>
          <w:spacing w:val="0"/>
          <w:kern w:val="2"/>
          <w:sz w:val="24"/>
          <w:szCs w:val="24"/>
        </w:rPr>
      </w:pPr>
      <w:bookmarkStart w:id="6" w:name="OLE_LINK3"/>
      <w:r>
        <w:rPr>
          <w:rFonts w:hint="eastAsia" w:ascii="宋体" w:hAnsi="宋体" w:eastAsia="宋体" w:cs="宋体"/>
          <w:color w:val="333333"/>
          <w:spacing w:val="0"/>
          <w:kern w:val="2"/>
          <w:sz w:val="24"/>
          <w:szCs w:val="24"/>
        </w:rPr>
        <w:t>供应商名称（盖章）：</w:t>
      </w:r>
    </w:p>
    <w:p w14:paraId="4B5F0D5C">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法定代表人或授权代表（签字）：</w:t>
      </w:r>
    </w:p>
    <w:p w14:paraId="3480F9B6">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日期：</w:t>
      </w:r>
    </w:p>
    <w:bookmarkEnd w:id="6"/>
    <w:p w14:paraId="2D0C3655">
      <w:pPr>
        <w:rPr>
          <w:rFonts w:hint="default"/>
          <w:lang w:val="en-US" w:eastAsia="zh-CN"/>
        </w:rPr>
      </w:pPr>
    </w:p>
    <w:p w14:paraId="36D15B22">
      <w:pPr>
        <w:rPr>
          <w:rFonts w:hint="eastAsia"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br w:type="page"/>
      </w:r>
    </w:p>
    <w:p w14:paraId="6128C07D">
      <w:pPr>
        <w:outlineLvl w:val="1"/>
        <w:rPr>
          <w:rFonts w:hint="eastAsia" w:ascii="宋体" w:hAnsi="宋体" w:eastAsia="宋体" w:cs="宋体"/>
          <w:kern w:val="0"/>
          <w:sz w:val="28"/>
          <w:szCs w:val="28"/>
        </w:rPr>
      </w:pPr>
      <w:r>
        <w:rPr>
          <w:rFonts w:hint="eastAsia" w:ascii="宋体" w:hAnsi="宋体" w:eastAsia="宋体" w:cs="宋体"/>
          <w:b/>
          <w:bCs/>
          <w:kern w:val="0"/>
          <w:sz w:val="28"/>
          <w:szCs w:val="28"/>
          <w:shd w:val="clear" w:fill="FFFFFF"/>
          <w:lang w:val="en-US" w:eastAsia="zh-CN" w:bidi="ar"/>
        </w:rPr>
        <w:t>附件5-2</w:t>
      </w:r>
      <w:r>
        <w:rPr>
          <w:rFonts w:hint="eastAsia" w:ascii="黑体" w:hAnsi="宋体" w:eastAsia="黑体" w:cs="黑体"/>
          <w:b w:val="0"/>
          <w:bCs w:val="0"/>
          <w:kern w:val="0"/>
          <w:sz w:val="28"/>
          <w:szCs w:val="28"/>
          <w:lang w:val="en-US" w:eastAsia="zh-CN" w:bidi="ar"/>
        </w:rPr>
        <w:t>：技术、商务要求及售后服务要求偏离表</w:t>
      </w:r>
    </w:p>
    <w:p w14:paraId="3DEAF87B">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微软雅黑" w:hAnsi="微软雅黑" w:eastAsia="微软雅黑" w:cs="微软雅黑"/>
          <w:b w:val="0"/>
          <w:bCs w:val="0"/>
          <w:kern w:val="0"/>
          <w:sz w:val="28"/>
          <w:szCs w:val="28"/>
          <w:shd w:val="clear" w:fill="FFFFFF"/>
        </w:rPr>
      </w:pPr>
      <w:r>
        <w:rPr>
          <w:rFonts w:hint="eastAsia" w:ascii="微软雅黑" w:hAnsi="微软雅黑" w:eastAsia="微软雅黑" w:cs="微软雅黑"/>
          <w:b w:val="0"/>
          <w:bCs w:val="0"/>
          <w:kern w:val="0"/>
          <w:sz w:val="28"/>
          <w:szCs w:val="28"/>
          <w:shd w:val="clear" w:fill="FFFFFF"/>
          <w:lang w:val="en-US" w:eastAsia="zh-CN" w:bidi="ar"/>
        </w:rPr>
        <w:t>技术服务要求、商务要求偏离表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14:paraId="4A860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9FB246D">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48D2650">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C1D0F16">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8C8DDE7">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偏离及其影响</w:t>
            </w:r>
          </w:p>
        </w:tc>
      </w:tr>
      <w:tr w14:paraId="75F67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24766D32">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0DE28B3B">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03455943">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340C9A81">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79E4B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68E5F96F">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68F4367B">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4C3F0B38">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2E153C32">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5C9A57AD">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注：</w:t>
      </w:r>
    </w:p>
    <w:p w14:paraId="7611BECC">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1.供应商根据附件1“采购需求”中的“技术服务要求、商务要求”进行填写。</w:t>
      </w:r>
      <w:r>
        <w:rPr>
          <w:rFonts w:hint="eastAsia" w:ascii="宋体" w:hAnsi="宋体" w:eastAsia="宋体" w:cs="宋体"/>
          <w:b/>
          <w:bCs/>
          <w:kern w:val="0"/>
          <w:sz w:val="28"/>
          <w:szCs w:val="28"/>
          <w:shd w:val="clear" w:fill="FFFFFF"/>
          <w:lang w:val="en-US" w:eastAsia="zh-CN" w:bidi="ar"/>
        </w:rPr>
        <w:t>若未填写此表，视为完全响应并满足所有“技术服务要求、商务要求”。</w:t>
      </w:r>
    </w:p>
    <w:p w14:paraId="4CA30643">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2.若无偏离，可在偏离情况中填“/”；若有偏离，需在偏离情况中进行说明；</w:t>
      </w:r>
    </w:p>
    <w:p w14:paraId="68FD04D5">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3.若“技术要求”、“商务要求”、“售后服务要求”要求提供证明材料，需按要求提供证明材料。</w:t>
      </w:r>
    </w:p>
    <w:p w14:paraId="391E212A">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45597B66">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22339418">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供应商名称：XXXX（盖单位公章）</w:t>
      </w:r>
    </w:p>
    <w:p w14:paraId="2206332C">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14B3E2DC">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p>
    <w:p w14:paraId="0F852B2B">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lang w:val="en-US" w:eastAsia="zh-CN" w:bidi="ar"/>
        </w:rPr>
        <w:br w:type="page"/>
      </w:r>
    </w:p>
    <w:p w14:paraId="0E856BCF">
      <w:pPr>
        <w:keepNext w:val="0"/>
        <w:keepLines w:val="0"/>
        <w:widowControl/>
        <w:suppressLineNumbers w:val="0"/>
        <w:shd w:val="clear" w:fill="FFFFFF"/>
        <w:wordWrap w:val="0"/>
        <w:spacing w:before="0" w:beforeAutospacing="0" w:after="0" w:afterAutospacing="0" w:line="270" w:lineRule="atLeast"/>
        <w:ind w:left="0" w:right="0"/>
        <w:jc w:val="left"/>
        <w:outlineLvl w:val="1"/>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0"/>
          <w:sz w:val="28"/>
          <w:szCs w:val="28"/>
          <w:shd w:val="clear" w:fill="FFFFFF"/>
          <w:lang w:val="en-US" w:eastAsia="zh-CN" w:bidi="ar"/>
        </w:rPr>
        <w:t>附件5-3：用户情况表</w:t>
      </w:r>
    </w:p>
    <w:p w14:paraId="531B1B8D">
      <w:pPr>
        <w:keepNext w:val="0"/>
        <w:keepLines w:val="0"/>
        <w:widowControl/>
        <w:suppressLineNumbers w:val="0"/>
        <w:shd w:val="clear" w:fill="FFFFFF"/>
        <w:wordWrap w:val="0"/>
        <w:spacing w:before="0" w:beforeAutospacing="0" w:after="0" w:afterAutospacing="0"/>
        <w:ind w:left="0" w:right="0"/>
        <w:jc w:val="center"/>
        <w:rPr>
          <w:rFonts w:hint="eastAsia" w:ascii="宋体" w:hAnsi="宋体" w:eastAsia="宋体" w:cs="宋体"/>
          <w:kern w:val="0"/>
          <w:sz w:val="28"/>
          <w:szCs w:val="28"/>
          <w:shd w:val="clear" w:fill="FFFFFF"/>
        </w:rPr>
      </w:pPr>
      <w:r>
        <w:rPr>
          <w:rFonts w:hint="eastAsia" w:ascii="宋体" w:hAnsi="宋体" w:eastAsia="宋体" w:cs="宋体"/>
          <w:b/>
          <w:bCs/>
          <w:kern w:val="0"/>
          <w:sz w:val="28"/>
          <w:szCs w:val="28"/>
          <w:shd w:val="clear" w:fill="FFFFFF"/>
          <w:lang w:val="en-US" w:eastAsia="zh-CN" w:bidi="ar"/>
        </w:rPr>
        <w:t>用户情况表</w:t>
      </w:r>
    </w:p>
    <w:tbl>
      <w:tblPr>
        <w:tblStyle w:val="9"/>
        <w:tblW w:w="8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500"/>
        <w:gridCol w:w="1497"/>
        <w:gridCol w:w="1392"/>
        <w:gridCol w:w="2028"/>
        <w:gridCol w:w="1080"/>
      </w:tblGrid>
      <w:tr w14:paraId="19CF5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shd w:val="clear" w:color="auto" w:fill="auto"/>
            <w:tcMar>
              <w:left w:w="108" w:type="dxa"/>
              <w:right w:w="108" w:type="dxa"/>
            </w:tcMar>
            <w:vAlign w:val="center"/>
          </w:tcPr>
          <w:p w14:paraId="35D4E7D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1500" w:type="dxa"/>
            <w:tcBorders>
              <w:top w:val="single" w:color="auto" w:sz="8" w:space="0"/>
              <w:left w:val="nil"/>
              <w:bottom w:val="single" w:color="auto" w:sz="8" w:space="0"/>
              <w:right w:val="single" w:color="auto" w:sz="4" w:space="0"/>
            </w:tcBorders>
            <w:shd w:val="clear" w:color="auto" w:fill="auto"/>
            <w:tcMar>
              <w:left w:w="108" w:type="dxa"/>
              <w:right w:w="108" w:type="dxa"/>
            </w:tcMar>
            <w:vAlign w:val="center"/>
          </w:tcPr>
          <w:p w14:paraId="47B22A2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用户名称</w:t>
            </w:r>
          </w:p>
        </w:tc>
        <w:tc>
          <w:tcPr>
            <w:tcW w:w="149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2B1885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项目名称</w:t>
            </w:r>
          </w:p>
        </w:tc>
        <w:tc>
          <w:tcPr>
            <w:tcW w:w="13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376EEE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合同时间</w:t>
            </w:r>
          </w:p>
        </w:tc>
        <w:tc>
          <w:tcPr>
            <w:tcW w:w="202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2F3F22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联系人及联系方式</w:t>
            </w:r>
          </w:p>
        </w:tc>
        <w:tc>
          <w:tcPr>
            <w:tcW w:w="108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EE886E9">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备注</w:t>
            </w:r>
          </w:p>
        </w:tc>
      </w:tr>
      <w:tr w14:paraId="2FCCD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03D751C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8807C0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053E722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47210DC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2E464B8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F0B6DD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6D029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14BBD6C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17727AD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FA7F77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5D2B0A2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4A78AF9B">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15A592EE">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5D9C3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5FF2E902">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76F1E88">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3FFB0E79">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6BFAED12">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15BE29D3">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D4A74A9">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1FA1C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7932E66E">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5B0B3B7F">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64E0AAFA">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3CD17453">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380672CE">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1EE9DCAB">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3A911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6EB38A83">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66B63D1">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93B504F">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116F2488">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1BE28E18">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2F95D8AC">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5F62B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4DF6AC1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D36312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7CFAA56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0211194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1D48804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6DC4A87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01AB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3DD076F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A8BD485">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1F88F0D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35BDF60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7502BC9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1EE0E4F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51CA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560171B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53DD136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1C2CD97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276DA67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49624B7C">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568A04A">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687F812F">
      <w:pPr>
        <w:keepNext w:val="0"/>
        <w:keepLines w:val="0"/>
        <w:widowControl/>
        <w:suppressLineNumbers w:val="0"/>
        <w:shd w:val="clear" w:fill="FFFFFF"/>
        <w:wordWrap w:val="0"/>
        <w:spacing w:before="0" w:beforeAutospacing="0" w:after="0" w:afterAutospacing="0" w:line="270" w:lineRule="atLeast"/>
        <w:ind w:left="0" w:right="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1EA410BE">
      <w:pPr>
        <w:keepNext w:val="0"/>
        <w:keepLines w:val="0"/>
        <w:widowControl/>
        <w:suppressLineNumbers w:val="0"/>
        <w:shd w:val="clear" w:fill="FFFFFF"/>
        <w:wordWrap w:val="0"/>
        <w:spacing w:before="0" w:beforeAutospacing="0" w:after="0" w:afterAutospacing="0"/>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6E7A2635">
      <w:pPr>
        <w:keepNext w:val="0"/>
        <w:keepLines w:val="0"/>
        <w:widowControl/>
        <w:suppressLineNumbers w:val="0"/>
        <w:shd w:val="clear" w:fill="FFFFFF"/>
        <w:wordWrap w:val="0"/>
        <w:spacing w:before="0" w:beforeAutospacing="0" w:after="0" w:afterAutospacing="0" w:line="270" w:lineRule="atLeast"/>
        <w:ind w:left="0" w:right="0" w:firstLine="449"/>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r>
        <w:rPr>
          <w:rFonts w:hint="eastAsia" w:ascii="宋体" w:hAnsi="宋体" w:eastAsia="宋体" w:cs="宋体"/>
          <w:b/>
          <w:bCs/>
          <w:kern w:val="0"/>
          <w:sz w:val="28"/>
          <w:szCs w:val="28"/>
          <w:shd w:val="clear" w:fill="FFFFFF"/>
          <w:lang w:val="en-US" w:eastAsia="zh-CN" w:bidi="ar"/>
        </w:rPr>
        <w:t>:</w:t>
      </w:r>
    </w:p>
    <w:p w14:paraId="10AD889C">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8"/>
          <w:szCs w:val="28"/>
          <w:shd w:val="clear" w:fill="FFFFFF"/>
        </w:rPr>
      </w:pPr>
      <w:r>
        <w:rPr>
          <w:rFonts w:hint="eastAsia" w:ascii="宋体" w:hAnsi="宋体" w:eastAsia="宋体" w:cs="宋体"/>
          <w:b/>
          <w:bCs/>
          <w:kern w:val="0"/>
          <w:sz w:val="28"/>
          <w:szCs w:val="28"/>
          <w:shd w:val="clear" w:fill="FFFFFF"/>
          <w:lang w:val="en-US" w:eastAsia="zh-CN" w:bidi="ar"/>
        </w:rPr>
        <w:br w:type="page"/>
      </w:r>
    </w:p>
    <w:p w14:paraId="5D6D8BEE">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lang w:val="en-US" w:eastAsia="zh-CN"/>
        </w:rPr>
      </w:pPr>
      <w:r>
        <w:rPr>
          <w:rFonts w:hint="eastAsia" w:ascii="黑体" w:hAnsi="宋体" w:eastAsia="黑体" w:cs="黑体"/>
          <w:b w:val="0"/>
          <w:bCs w:val="0"/>
          <w:kern w:val="0"/>
          <w:sz w:val="28"/>
          <w:szCs w:val="28"/>
        </w:rPr>
        <w:t>附件5-</w:t>
      </w:r>
      <w:r>
        <w:rPr>
          <w:rFonts w:hint="eastAsia" w:ascii="黑体" w:hAnsi="宋体" w:eastAsia="黑体" w:cs="黑体"/>
          <w:b w:val="0"/>
          <w:bCs w:val="0"/>
          <w:kern w:val="0"/>
          <w:sz w:val="28"/>
          <w:szCs w:val="28"/>
          <w:lang w:val="en-US" w:eastAsia="zh-CN"/>
        </w:rPr>
        <w:t>4</w:t>
      </w:r>
      <w:r>
        <w:rPr>
          <w:rFonts w:hint="eastAsia" w:ascii="黑体" w:hAnsi="宋体" w:eastAsia="黑体" w:cs="黑体"/>
          <w:b w:val="0"/>
          <w:bCs w:val="0"/>
          <w:kern w:val="0"/>
          <w:sz w:val="28"/>
          <w:szCs w:val="28"/>
        </w:rPr>
        <w:t>：</w:t>
      </w:r>
      <w:r>
        <w:rPr>
          <w:rFonts w:hint="eastAsia" w:ascii="黑体" w:hAnsi="宋体" w:eastAsia="黑体" w:cs="黑体"/>
          <w:b w:val="0"/>
          <w:bCs w:val="0"/>
          <w:kern w:val="0"/>
          <w:sz w:val="28"/>
          <w:szCs w:val="28"/>
          <w:lang w:val="en-US" w:eastAsia="zh-CN"/>
        </w:rPr>
        <w:t>授权委托书</w:t>
      </w:r>
    </w:p>
    <w:p w14:paraId="31092FEA">
      <w:pPr>
        <w:pStyle w:val="14"/>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微软雅黑" w:hAnsi="微软雅黑" w:eastAsia="微软雅黑" w:cs="微软雅黑"/>
          <w:b w:val="0"/>
          <w:bCs/>
          <w:kern w:val="2"/>
          <w:sz w:val="28"/>
          <w:szCs w:val="28"/>
        </w:rPr>
      </w:pPr>
      <w:r>
        <w:rPr>
          <w:rFonts w:hint="eastAsia" w:ascii="微软雅黑" w:hAnsi="微软雅黑" w:eastAsia="微软雅黑" w:cs="微软雅黑"/>
          <w:b w:val="0"/>
          <w:bCs/>
          <w:kern w:val="2"/>
          <w:sz w:val="28"/>
          <w:szCs w:val="28"/>
        </w:rPr>
        <w:t>授权委托书</w:t>
      </w:r>
    </w:p>
    <w:p w14:paraId="49D9B923">
      <w:pPr>
        <w:pStyle w:val="14"/>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rPr>
        <w:t>（若供应商代表为“授权代表”时，提供此委托书）</w:t>
      </w:r>
    </w:p>
    <w:p w14:paraId="2E20D7EA">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784C06BF">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（供应商名称）的法定代表人（单位负责人），现委托</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（姓名）为我方代理人。代理人在本次采购中所签署的一切文件和处理的一切有关事宜，我公司（单位）均予承认，所产生的法律后果均由我公司（单位）承担。</w:t>
      </w:r>
    </w:p>
    <w:p w14:paraId="5572F425">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委托期限：自本授权委托书签署之日起至响应文件有效期届满之日止。代理人无转委托权。</w:t>
      </w:r>
    </w:p>
    <w:p w14:paraId="6B1C9D86">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6BE05DD6">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2CD0135F">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授权代表（代理人）签字：XXXX。</w:t>
      </w:r>
    </w:p>
    <w:p w14:paraId="42C4C783">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6C7DD288">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05E0C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1D1FC9F9">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61843B03">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66C00272">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4F3BF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36EE4C2F">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653091A4">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7DE26FF4">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firstLine="720" w:firstLineChars="3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42E32D18">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360" w:lineRule="auto"/>
        <w:ind w:left="480" w:right="0" w:hanging="360"/>
        <w:jc w:val="left"/>
        <w:textAlignment w:val="auto"/>
        <w:rPr>
          <w:rFonts w:hint="eastAsia" w:ascii="宋体" w:hAnsi="宋体" w:eastAsia="宋体" w:cs="宋体"/>
          <w:kern w:val="0"/>
          <w:sz w:val="24"/>
          <w:szCs w:val="24"/>
          <w:shd w:val="clear" w:fill="FFFFFF"/>
        </w:rPr>
      </w:pPr>
      <w:r>
        <w:rPr>
          <w:rFonts w:hint="eastAsia" w:ascii="宋体" w:hAnsi="宋体" w:eastAsia="宋体" w:cs="宋体"/>
          <w:kern w:val="0"/>
          <w:sz w:val="24"/>
          <w:szCs w:val="24"/>
          <w:shd w:val="clear" w:fill="FFFFFF"/>
          <w:lang w:val="en-US" w:eastAsia="zh-CN" w:bidi="ar"/>
        </w:rPr>
        <w:t>★说明：上述证明文件附有法定代表人、被授权代表身份证复印件（双方签字并加盖公章）时才能生效。</w:t>
      </w:r>
    </w:p>
    <w:p w14:paraId="1D617A99">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rPr>
      </w:pPr>
      <w:r>
        <w:rPr>
          <w:rFonts w:hint="eastAsia" w:ascii="宋体" w:hAnsi="宋体" w:eastAsia="宋体" w:cs="宋体"/>
          <w:b/>
          <w:bCs/>
          <w:kern w:val="0"/>
          <w:sz w:val="24"/>
          <w:szCs w:val="24"/>
        </w:rPr>
        <w:br w:type="page"/>
      </w:r>
      <w:r>
        <w:rPr>
          <w:rFonts w:hint="eastAsia" w:ascii="宋体" w:hAnsi="宋体" w:eastAsia="宋体" w:cs="宋体"/>
          <w:b/>
          <w:bCs/>
          <w:kern w:val="0"/>
          <w:sz w:val="24"/>
          <w:szCs w:val="24"/>
        </w:rPr>
        <w:t>附件5-</w:t>
      </w:r>
      <w:r>
        <w:rPr>
          <w:rFonts w:hint="eastAsia" w:hAnsi="宋体" w:eastAsia="宋体" w:cs="宋体"/>
          <w:b/>
          <w:bCs/>
          <w:kern w:val="0"/>
          <w:sz w:val="24"/>
          <w:szCs w:val="24"/>
          <w:lang w:val="en-US" w:eastAsia="zh-CN"/>
        </w:rPr>
        <w:t>5</w:t>
      </w: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法定代表人（单位负责人）身份证明</w:t>
      </w:r>
    </w:p>
    <w:p w14:paraId="4A141DFD">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rPr>
      </w:pPr>
      <w:r>
        <w:rPr>
          <w:rFonts w:hint="eastAsia" w:ascii="微软雅黑" w:hAnsi="微软雅黑" w:eastAsia="微软雅黑" w:cs="微软雅黑"/>
          <w:b w:val="0"/>
          <w:bCs/>
          <w:kern w:val="2"/>
          <w:sz w:val="28"/>
          <w:szCs w:val="28"/>
          <w:lang w:val="en-US" w:eastAsia="zh-CN" w:bidi="ar"/>
        </w:rPr>
        <w:t>法定代表人（单位负责人）身份证明</w:t>
      </w:r>
    </w:p>
    <w:p w14:paraId="464B857A">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（若供应商代表为“法定代表人（单位负责人）”时，提供此证明）</w:t>
      </w:r>
    </w:p>
    <w:p w14:paraId="69B428F5">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347E9F29">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u w:val="single"/>
        </w:rPr>
      </w:pPr>
      <w:r>
        <w:rPr>
          <w:rFonts w:hint="eastAsia" w:ascii="宋体" w:hAnsi="宋体" w:eastAsia="宋体" w:cs="宋体"/>
          <w:kern w:val="2"/>
          <w:sz w:val="24"/>
          <w:szCs w:val="24"/>
          <w:lang w:val="en-US" w:eastAsia="zh-CN" w:bidi="ar"/>
        </w:rPr>
        <w:t>四川省妇幼保健院：</w:t>
      </w:r>
    </w:p>
    <w:p w14:paraId="5B36B6B1">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（供应商名称）的法定代表人（单位负责人）（职务</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57EF5E18">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特此证明。</w:t>
      </w:r>
    </w:p>
    <w:p w14:paraId="58DC41D0">
      <w:pPr>
        <w:pStyle w:val="7"/>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14:paraId="39220B76">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535133F0">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248C49E3">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4FC607DB">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 xml:space="preserve"> </w:t>
      </w:r>
    </w:p>
    <w:p w14:paraId="044F36BE">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14:paraId="25633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14:paraId="15D67CA0">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14:paraId="550C22DB">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r>
    </w:tbl>
    <w:p w14:paraId="13508528">
      <w:pPr>
        <w:pStyle w:val="7"/>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rPr>
      </w:pPr>
      <w:r>
        <w:rPr>
          <w:rFonts w:hint="eastAsia" w:ascii="宋体" w:hAnsi="宋体" w:eastAsia="宋体" w:cs="宋体"/>
          <w:b/>
          <w:bCs/>
          <w:i w:val="0"/>
          <w:iCs w:val="0"/>
          <w:kern w:val="0"/>
          <w:sz w:val="24"/>
          <w:szCs w:val="24"/>
          <w:lang w:val="en-US" w:eastAsia="zh-CN" w:bidi="ar"/>
        </w:rPr>
        <w:t xml:space="preserve"> </w:t>
      </w:r>
    </w:p>
    <w:p w14:paraId="125EB695">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71ADE1F2">
      <w:pPr>
        <w:pStyle w:val="6"/>
        <w:widowControl/>
        <w:spacing w:before="0" w:beforeAutospacing="1"/>
        <w:ind w:left="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22EC4FB7">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rPr>
      </w:pPr>
      <w:r>
        <w:rPr>
          <w:rFonts w:hint="default" w:ascii="仿宋_GB2312" w:hAnsi="Segoe UI" w:eastAsia="仿宋_GB2312" w:cs="Segoe UI"/>
          <w:b/>
          <w:bCs/>
          <w:kern w:val="0"/>
          <w:sz w:val="24"/>
          <w:szCs w:val="24"/>
          <w:lang w:val="en-US" w:eastAsia="zh-CN" w:bidi="ar"/>
        </w:rPr>
        <w:br w:type="page"/>
      </w:r>
    </w:p>
    <w:p w14:paraId="6B312693">
      <w:pPr>
        <w:pStyle w:val="11"/>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rPr>
      </w:pPr>
      <w:r>
        <w:rPr>
          <w:rFonts w:hint="eastAsia" w:ascii="黑体" w:hAnsi="宋体" w:eastAsia="黑体" w:cs="黑体"/>
          <w:b w:val="0"/>
          <w:bCs w:val="0"/>
          <w:kern w:val="0"/>
          <w:sz w:val="24"/>
          <w:szCs w:val="24"/>
        </w:rPr>
        <w:t>附件5-</w:t>
      </w:r>
      <w:r>
        <w:rPr>
          <w:rFonts w:hint="eastAsia" w:ascii="黑体" w:hAnsi="宋体" w:eastAsia="黑体" w:cs="黑体"/>
          <w:b w:val="0"/>
          <w:bCs w:val="0"/>
          <w:kern w:val="0"/>
          <w:sz w:val="24"/>
          <w:szCs w:val="24"/>
          <w:lang w:val="en-US" w:eastAsia="zh-CN"/>
        </w:rPr>
        <w:t>6</w:t>
      </w:r>
      <w:r>
        <w:rPr>
          <w:rFonts w:hint="eastAsia" w:ascii="黑体" w:hAnsi="宋体" w:eastAsia="黑体" w:cs="黑体"/>
          <w:b w:val="0"/>
          <w:bCs w:val="0"/>
          <w:kern w:val="0"/>
          <w:sz w:val="24"/>
          <w:szCs w:val="24"/>
        </w:rPr>
        <w:t>：承诺函</w:t>
      </w:r>
    </w:p>
    <w:p w14:paraId="531706EC">
      <w:pPr>
        <w:pStyle w:val="11"/>
        <w:widowControl/>
        <w:autoSpaceDE w:val="0"/>
        <w:autoSpaceDN/>
        <w:snapToGrid w:val="0"/>
        <w:spacing w:before="156" w:beforeLines="50" w:beforeAutospacing="0" w:after="312" w:afterLines="100" w:afterAutospacing="0" w:line="360" w:lineRule="auto"/>
        <w:ind w:left="0" w:firstLine="0" w:firstLineChars="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rPr>
        <w:t>承诺函</w:t>
      </w:r>
    </w:p>
    <w:p w14:paraId="2A51CB9A">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7622198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本供应商</w:t>
      </w:r>
      <w:r>
        <w:rPr>
          <w:rFonts w:hint="eastAsia" w:ascii="宋体" w:hAnsi="宋体" w:eastAsia="宋体" w:cs="宋体"/>
          <w:kern w:val="2"/>
          <w:sz w:val="24"/>
          <w:szCs w:val="24"/>
          <w:u w:val="single"/>
          <w:lang w:val="en-US" w:eastAsia="zh-CN" w:bidi="ar"/>
        </w:rPr>
        <w:t xml:space="preserve">      （供应商全称）        </w:t>
      </w:r>
      <w:r>
        <w:rPr>
          <w:rFonts w:hint="eastAsia" w:ascii="宋体" w:hAnsi="宋体" w:eastAsia="宋体" w:cs="宋体"/>
          <w:kern w:val="2"/>
          <w:sz w:val="24"/>
          <w:szCs w:val="24"/>
          <w:lang w:val="en-US" w:eastAsia="zh-CN" w:bidi="ar"/>
        </w:rPr>
        <w:t>参加</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）的采购活动，现郑重承诺：</w:t>
      </w:r>
    </w:p>
    <w:p w14:paraId="21EB7AE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一、具备本项目规定的条件：</w:t>
      </w:r>
    </w:p>
    <w:p w14:paraId="1FE9A1B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（一）具有独立承担民事责任的能力； </w:t>
      </w:r>
    </w:p>
    <w:p w14:paraId="268BC08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（二）具有良好的商业信誉和健全的财务会计制度； </w:t>
      </w:r>
    </w:p>
    <w:p w14:paraId="4EE81B5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（三）具有履行合同所必需的设备和专业技术能力； </w:t>
      </w:r>
    </w:p>
    <w:p w14:paraId="31C0E17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（四）有依法缴纳税收和社会保障资金的良好记录； </w:t>
      </w:r>
    </w:p>
    <w:p w14:paraId="182635B9">
      <w:pPr>
        <w:pStyle w:val="7"/>
        <w:keepNext w:val="0"/>
        <w:keepLines w:val="0"/>
        <w:widowControl/>
        <w:suppressLineNumbers w:val="0"/>
        <w:adjustRightInd w:val="0"/>
        <w:snapToGrid w:val="0"/>
        <w:spacing w:before="0" w:beforeAutospacing="1" w:after="0" w:afterAutospacing="1" w:line="500" w:lineRule="exact"/>
        <w:ind w:left="0" w:right="0"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（五）</w:t>
      </w:r>
      <w:r>
        <w:rPr>
          <w:rFonts w:hint="eastAsia" w:ascii="宋体" w:hAnsi="宋体" w:eastAsia="宋体" w:cs="宋体"/>
          <w:kern w:val="2"/>
          <w:sz w:val="24"/>
          <w:szCs w:val="24"/>
          <w:lang w:val="en-US" w:eastAsia="zh-CN" w:bidi="ar"/>
        </w:rPr>
        <w:t>参加采购活动前三年内，在经营活动中没有重大违法记录；没有因安全事故、质量事故、违规等被政府有关部门记录。</w:t>
      </w:r>
    </w:p>
    <w:p w14:paraId="7B19EB3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（六）不存在与单位负责人为同一人或者存在直接控股、管理关系的不同供应商参加同一合同项下的政府采购活动的行为。</w:t>
      </w:r>
    </w:p>
    <w:p w14:paraId="7929AAD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（七）不属于为本项目提供整体设计、规范编制或者项目管理、监理、检测等服务的供应商。</w:t>
      </w:r>
    </w:p>
    <w:p w14:paraId="4BBF379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（八）法律、行政法规规定的其他条件；</w:t>
      </w:r>
    </w:p>
    <w:p w14:paraId="431F28D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14:paraId="0329EAA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三、本单位未参与本采购项目前期咨询论证，不属于禁止参加本项目的供应商。</w:t>
      </w:r>
    </w:p>
    <w:p w14:paraId="7EF4638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四、参加本次采购活动，不存在和其他供应商在同一合同项下的采购项目中，同时委托同一个自然人、同一家庭的人员、同一单位的人员作为代理人的行为。</w:t>
      </w:r>
    </w:p>
    <w:p w14:paraId="59E1583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14:paraId="47DC17F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六、国家或行业主管部门对采购产品的技术标准、质量标准和资格资质条件等有强制性规定的，我方承诺符合其要求。</w:t>
      </w:r>
    </w:p>
    <w:p w14:paraId="594A424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ab/>
      </w:r>
    </w:p>
    <w:p w14:paraId="1E289F54">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7DEC9683">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供应商名称：        （盖章）</w:t>
      </w:r>
    </w:p>
    <w:p w14:paraId="5FD71C06">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法定代表人或授权代表（</w:t>
      </w:r>
      <w:r>
        <w:rPr>
          <w:rFonts w:hint="eastAsia" w:ascii="宋体" w:hAnsi="宋体" w:eastAsia="宋体" w:cs="宋体"/>
          <w:kern w:val="2"/>
          <w:sz w:val="24"/>
          <w:szCs w:val="24"/>
          <w:u w:val="single"/>
          <w:lang w:val="en-US" w:eastAsia="zh-CN" w:bidi="ar"/>
        </w:rPr>
        <w:t>签字或盖章</w:t>
      </w:r>
      <w:r>
        <w:rPr>
          <w:rFonts w:hint="eastAsia" w:ascii="宋体" w:hAnsi="宋体" w:eastAsia="宋体" w:cs="宋体"/>
          <w:kern w:val="2"/>
          <w:sz w:val="24"/>
          <w:szCs w:val="24"/>
          <w:lang w:val="en-US" w:eastAsia="zh-CN" w:bidi="ar"/>
        </w:rPr>
        <w:t>）：</w:t>
      </w:r>
    </w:p>
    <w:p w14:paraId="0ADBD9E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 期：</w:t>
      </w:r>
    </w:p>
    <w:p w14:paraId="41DA08BE">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14:paraId="18952A00">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shd w:val="clear" w:fill="FFFFFF"/>
        </w:rPr>
      </w:pPr>
      <w:r>
        <w:rPr>
          <w:rFonts w:hint="eastAsia" w:ascii="黑体" w:hAnsi="宋体" w:eastAsia="黑体" w:cs="黑体"/>
          <w:kern w:val="2"/>
          <w:sz w:val="28"/>
          <w:szCs w:val="28"/>
          <w:shd w:val="clear" w:fill="FFFFFF"/>
          <w:lang w:val="en-US" w:eastAsia="zh-CN" w:bidi="ar"/>
        </w:rPr>
        <w:t>附件6：反商业贿赂承诺书</w:t>
      </w:r>
    </w:p>
    <w:p w14:paraId="2A2580FA">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rPr>
      </w:pPr>
      <w:r>
        <w:rPr>
          <w:rFonts w:hint="eastAsia" w:ascii="微软雅黑" w:hAnsi="微软雅黑" w:eastAsia="微软雅黑" w:cs="微软雅黑"/>
          <w:b w:val="0"/>
          <w:bCs w:val="0"/>
          <w:kern w:val="0"/>
          <w:sz w:val="28"/>
          <w:szCs w:val="28"/>
          <w:lang w:val="en-US" w:eastAsia="zh-CN" w:bidi="ar"/>
        </w:rPr>
        <w:t>反商业贿赂承诺书</w:t>
      </w:r>
    </w:p>
    <w:p w14:paraId="68AE5E5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5E1AB39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45B17A3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二、本厂家、商家、公司保证在药品、医疗器械、设备、物资、基建工程竞标工作及药品、试剂销售等工作中承诺做到：</w:t>
      </w:r>
    </w:p>
    <w:p w14:paraId="22BCA47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1、不与其他供应商相互串通投标报价，损害贵院的合法权益；</w:t>
      </w:r>
    </w:p>
    <w:p w14:paraId="19AB11E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2、不与招标人串通投标，损害国家利益、社会公共利益或他人的合法权益；</w:t>
      </w:r>
    </w:p>
    <w:p w14:paraId="6EB8985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3、不以向招标人或者评标委员会成员行贿的手段谋取中标；</w:t>
      </w:r>
    </w:p>
    <w:p w14:paraId="2317EC9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4、竞标报价不违反相关法律的规定，也不以他人名义投标或者以其他方式弄虚作假，骗取中标；</w:t>
      </w:r>
    </w:p>
    <w:p w14:paraId="4CDD139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5、保证不以其他任何方式扰乱贵院的招标工作；</w:t>
      </w:r>
    </w:p>
    <w:p w14:paraId="40B6F40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6、保证不在药品销售、医疗器械、设备、物资、基建工程竞标中采取账外暗中给予回扣的手段腐蚀、贿赂医护、药剂人员、干部等其他相关人员；</w:t>
      </w:r>
    </w:p>
    <w:p w14:paraId="7E2F5CD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14:paraId="2F30A6A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8、保证不让贵院临床科室、药剂部门以及有关人员登记、统计医生处方或为此提供方便，干扰贵院的正常工作秩序；</w:t>
      </w:r>
    </w:p>
    <w:p w14:paraId="1CB7506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9、保证不以其他任何不正当竞争手段推销药品、医疗器械、设备、物资。</w:t>
      </w:r>
    </w:p>
    <w:p w14:paraId="2B99462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三、本厂家、商家、公司保证竭力维护贵院的声誉，不做任何有损贵院形象的事情。</w:t>
      </w:r>
    </w:p>
    <w:p w14:paraId="3BB6AA2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4BB5FD4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五、对本厂家、商家、公司及本厂家、商家、公司工作人员采取以上手段竞标、促销等，干扰贵院正常工作秩序，损害贵院形象的，本厂家、商家、公司保证：</w:t>
      </w:r>
    </w:p>
    <w:p w14:paraId="0633871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1、对尚处在竞标阶段的，贵院有权取消本厂家、商家、公司的竞标资格；已经中标的，贵院有权取消中标；对已经获得准入资格的，贵院有权随时取消本厂家、商家、公司的准入资格；</w:t>
      </w:r>
    </w:p>
    <w:p w14:paraId="016C2D1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2、对本厂家、商家、公司相关工作人员作出严肃处理；</w:t>
      </w:r>
    </w:p>
    <w:p w14:paraId="67308CA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3、对由于本厂家、商家、公司或本厂家、商家、公司工作人员的上述行为给贵院造成经济或名誉损失的，由本厂家、商家、公司负责，并愿意承担全部民事赔偿责任。</w:t>
      </w:r>
    </w:p>
    <w:p w14:paraId="0F25732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六、采购项目名称：</w:t>
      </w:r>
    </w:p>
    <w:p w14:paraId="260DB60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本《承诺书》一式二份（一份由承诺人自存；一份随投标文件装订）</w:t>
      </w:r>
    </w:p>
    <w:p w14:paraId="7C745F58">
      <w:pPr>
        <w:keepNext w:val="0"/>
        <w:keepLines w:val="0"/>
        <w:widowControl w:val="0"/>
        <w:suppressLineNumbers w:val="0"/>
        <w:autoSpaceDE w:val="0"/>
        <w:autoSpaceDN/>
        <w:spacing w:before="0" w:beforeAutospacing="0" w:after="0" w:afterAutospacing="0" w:line="360" w:lineRule="auto"/>
        <w:ind w:left="0" w:right="0" w:firstLine="480" w:firstLineChars="200"/>
        <w:jc w:val="both"/>
      </w:pPr>
      <w:r>
        <w:rPr>
          <w:rFonts w:hint="eastAsia" w:ascii="宋体" w:hAnsi="宋体" w:eastAsia="宋体" w:cs="宋体"/>
          <w:kern w:val="2"/>
          <w:sz w:val="24"/>
          <w:szCs w:val="24"/>
          <w:lang w:val="en-US" w:eastAsia="zh-CN" w:bidi="ar"/>
        </w:rPr>
        <w:t>承诺企业名称（公章）法人代表或委托代理人（承诺人）</w:t>
      </w:r>
    </w:p>
    <w:p w14:paraId="27E44E78">
      <w:pPr>
        <w:spacing w:line="360" w:lineRule="auto"/>
        <w:rPr>
          <w:rFonts w:hint="eastAsia" w:ascii="宋体" w:hAnsi="宋体" w:eastAsia="宋体" w:cs="宋体"/>
          <w:kern w:val="2"/>
          <w:sz w:val="24"/>
          <w:szCs w:val="24"/>
        </w:rPr>
        <w:sectPr>
          <w:pgSz w:w="11906" w:h="16838"/>
          <w:pgMar w:top="1020" w:right="1800" w:bottom="1440" w:left="1800" w:header="851" w:footer="992" w:gutter="0"/>
          <w:cols w:space="425" w:num="1"/>
          <w:docGrid w:type="lines" w:linePitch="312" w:charSpace="0"/>
        </w:sectPr>
      </w:pPr>
    </w:p>
    <w:p w14:paraId="05F09CD1">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shd w:val="clear" w:fill="FFFFFF"/>
        </w:rPr>
      </w:pPr>
      <w:r>
        <w:rPr>
          <w:rFonts w:hint="eastAsia" w:ascii="黑体" w:hAnsi="宋体" w:eastAsia="黑体" w:cs="黑体"/>
          <w:kern w:val="0"/>
          <w:sz w:val="28"/>
          <w:szCs w:val="28"/>
          <w:shd w:val="clear" w:fill="FFFFFF"/>
          <w:lang w:val="en-US" w:eastAsia="zh-CN" w:bidi="ar"/>
        </w:rPr>
        <w:t>附件7：无围标、串标行为承诺书</w:t>
      </w:r>
    </w:p>
    <w:p w14:paraId="74EEB245">
      <w:pPr>
        <w:pStyle w:val="6"/>
        <w:widowControl/>
        <w:spacing w:before="0" w:beforeAutospacing="1"/>
        <w:ind w:left="0" w:right="0" w:firstLine="2108" w:firstLineChars="750"/>
        <w:rPr>
          <w:rFonts w:hint="default" w:ascii="仿宋_GB2312" w:hAnsi="Segoe UI" w:eastAsia="仿宋_GB2312" w:cs="Segoe UI"/>
          <w:b/>
          <w:bCs/>
          <w:kern w:val="0"/>
          <w:sz w:val="28"/>
          <w:szCs w:val="28"/>
        </w:rPr>
      </w:pPr>
      <w:r>
        <w:rPr>
          <w:rFonts w:hint="default" w:ascii="仿宋_GB2312" w:hAnsi="Segoe UI" w:eastAsia="仿宋_GB2312" w:cs="Segoe UI"/>
          <w:b/>
          <w:bCs/>
          <w:kern w:val="0"/>
          <w:sz w:val="28"/>
          <w:szCs w:val="28"/>
        </w:rPr>
        <w:t xml:space="preserve"> </w:t>
      </w:r>
      <w:r>
        <w:rPr>
          <w:rFonts w:hint="eastAsia" w:ascii="微软雅黑" w:hAnsi="微软雅黑" w:eastAsia="微软雅黑" w:cs="微软雅黑"/>
          <w:b w:val="0"/>
          <w:bCs w:val="0"/>
          <w:kern w:val="0"/>
          <w:sz w:val="28"/>
          <w:szCs w:val="28"/>
        </w:rPr>
        <w:t>无围标、串标行为承诺书</w:t>
      </w:r>
    </w:p>
    <w:p w14:paraId="4D61F99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14:paraId="23AC568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1.不同供应商的投标文件由同一单位或者个人编制；</w:t>
      </w:r>
    </w:p>
    <w:p w14:paraId="4C2EFFC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2.不同供应商委托同一单位或者个人办理投标事宜；</w:t>
      </w:r>
    </w:p>
    <w:p w14:paraId="536DFEC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3.不同供应商的投标文件载明的项目管理成员或者联系人员为同一人；</w:t>
      </w:r>
    </w:p>
    <w:p w14:paraId="21271CE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4.不同供应商的投标文件异常一致或者投标报价呈规律性差异；</w:t>
      </w:r>
    </w:p>
    <w:p w14:paraId="06EE837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5.不同供应商的投标文件相互混装；</w:t>
      </w:r>
    </w:p>
    <w:p w14:paraId="58BE3FF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6.不同供应商的投标保证金从同一单位或者个人的账户转出；</w:t>
      </w:r>
    </w:p>
    <w:p w14:paraId="6E93EFD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7.不同供应商的董事、监事、高管、单位负责人为同一人或者存在控股、管理关系的不同单位参加同一采购项目；</w:t>
      </w:r>
    </w:p>
    <w:p w14:paraId="43DC75A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8.供应商之间事先约定由某一特定供应商中标、成交；</w:t>
      </w:r>
    </w:p>
    <w:p w14:paraId="6FD9C4F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9.供应商之间商定部分供应商放弃参加采购活动或者放弃中标、成交；</w:t>
      </w:r>
    </w:p>
    <w:p w14:paraId="09D8CCB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10.法律法规界定的其他围标串标行为。</w:t>
      </w:r>
    </w:p>
    <w:p w14:paraId="69A7F76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14:paraId="32A1D95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46A56F1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供应商法人代表或委托代理人（承诺人） ：</w:t>
      </w:r>
    </w:p>
    <w:p w14:paraId="38E3413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供应商：（公章）  </w:t>
      </w:r>
    </w:p>
    <w:p w14:paraId="6F6142A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14:paraId="68E2E173">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290965C1">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20AF8C98">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rPr>
      </w:pPr>
      <w:r>
        <w:rPr>
          <w:rFonts w:hint="eastAsia" w:ascii="微软雅黑" w:hAnsi="微软雅黑" w:eastAsia="微软雅黑" w:cs="Segoe UI"/>
          <w:bCs/>
          <w:kern w:val="0"/>
          <w:sz w:val="28"/>
          <w:szCs w:val="28"/>
          <w:lang w:val="en-US" w:eastAsia="zh-CN" w:bidi="ar"/>
        </w:rPr>
        <w:br w:type="page"/>
      </w:r>
    </w:p>
    <w:p w14:paraId="555A0DD6">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shd w:val="clear" w:fill="FFFFFF"/>
        </w:rPr>
      </w:pPr>
      <w:r>
        <w:rPr>
          <w:rFonts w:hint="eastAsia" w:ascii="黑体" w:hAnsi="宋体" w:eastAsia="黑体" w:cs="黑体"/>
          <w:bCs/>
          <w:kern w:val="0"/>
          <w:sz w:val="28"/>
          <w:szCs w:val="28"/>
          <w:shd w:val="clear" w:fill="FFFFFF"/>
          <w:lang w:val="en-US" w:eastAsia="zh-CN" w:bidi="ar"/>
        </w:rPr>
        <w:t>附件8：供应商遵守招标采购纪律承诺书</w:t>
      </w:r>
    </w:p>
    <w:p w14:paraId="5E473C66">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b w:val="0"/>
          <w:bCs w:val="0"/>
          <w:kern w:val="0"/>
          <w:sz w:val="28"/>
          <w:szCs w:val="28"/>
        </w:rPr>
      </w:pPr>
      <w:r>
        <w:rPr>
          <w:rFonts w:hint="eastAsia" w:ascii="微软雅黑" w:hAnsi="微软雅黑" w:eastAsia="微软雅黑" w:cs="微软雅黑"/>
          <w:b w:val="0"/>
          <w:bCs w:val="0"/>
          <w:kern w:val="0"/>
          <w:sz w:val="28"/>
          <w:szCs w:val="28"/>
          <w:lang w:val="en-US" w:eastAsia="zh-CN" w:bidi="ar"/>
        </w:rPr>
        <w:t>供应商遵守招标采购纪律承诺书</w:t>
      </w:r>
    </w:p>
    <w:p w14:paraId="2E398D7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bidi="ar"/>
        </w:rPr>
        <w:t xml:space="preserve"> </w:t>
      </w:r>
    </w:p>
    <w:p w14:paraId="06E74DB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致四川省妇幼保健院：</w:t>
      </w:r>
    </w:p>
    <w:p w14:paraId="294BFB7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我单位作为本次采购项目的供应商，根据采购文件要求，现郑重承诺如下：</w:t>
      </w:r>
    </w:p>
    <w:p w14:paraId="3C7DED9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一、参加本次采购活动，我单位不存在与单位负责人为同一人或者存在直接控股、管理关系的其他供应商参与同一合同项下的采购活动的行为。</w:t>
      </w:r>
    </w:p>
    <w:p w14:paraId="3CD6E47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二、参加本次采购活动，不得直接或者间接从采购人或者采购代理机构处获得其他供应商的相关情况并修改其投标文件或者响应文件。</w:t>
      </w:r>
    </w:p>
    <w:p w14:paraId="7B46D1E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三、参加本次采购活动，不得按照采购人的授意撤换、修改投标文件或者响应文件。</w:t>
      </w:r>
    </w:p>
    <w:p w14:paraId="29B89F2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四、参加本次采购活动，不得和本次采购供应商之间协商报价、技术方案等投标文件或者响应文件的实质性内容。</w:t>
      </w:r>
    </w:p>
    <w:p w14:paraId="0806AF0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五、本次采购活动中，不存在属于同一集团、协会、商会等组织成员的供应商按照该组织要求协同参加本次采购活动。</w:t>
      </w:r>
    </w:p>
    <w:p w14:paraId="00F9F2D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六、参加本次采购活动，不存在与其他供应商之间事先约定由某一特定供应商中标、成交。</w:t>
      </w:r>
    </w:p>
    <w:p w14:paraId="5121397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七、参加本次采购活动，不存在与其他供应商商定部分供应商放弃参加采购活动或者放弃中标、成交。</w:t>
      </w:r>
    </w:p>
    <w:p w14:paraId="2C70875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八、参加本次采购活动，不存在我单位的投标文件或者响应文件由其他参与本项目的单位或个人编制或委托办理投标事宜。</w:t>
      </w:r>
    </w:p>
    <w:p w14:paraId="37A5A11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九、参加本次采购活动，不存在我单位与采购人之间、供应商相互之间，为谋求特定供应商中标、成交或者排斥其他供应商的其他串通行为。</w:t>
      </w:r>
    </w:p>
    <w:p w14:paraId="112F59C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十、与我方存在直接控股关系的单位为：_______________；</w:t>
      </w:r>
    </w:p>
    <w:p w14:paraId="350AD2D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存在管理关系单位为：____________________________。</w:t>
      </w:r>
    </w:p>
    <w:p w14:paraId="4C08BB6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27EF8B8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7E0ADF4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1D4E55F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供应商名称（单位公章）：                 年    月   日      </w:t>
      </w:r>
    </w:p>
    <w:p w14:paraId="1595159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法定代表人/单位负责人或授权代表</w:t>
      </w:r>
    </w:p>
    <w:p w14:paraId="74A9012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（签字或加盖个人名章）：        </w:t>
      </w:r>
    </w:p>
    <w:p w14:paraId="4414178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2C8A4F9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1889DAA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w:t>
      </w:r>
    </w:p>
    <w:p w14:paraId="59A9665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1.“负责人”是指单位法定代表人或者法律、行政法规规定代表单位行使职权的主要负责人。</w:t>
      </w:r>
    </w:p>
    <w:p w14:paraId="1D3A1F9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6EF0F07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3.“管理关系”是指与不具有出资持股关系的单位之间存在的其他管理与被管理关系。</w:t>
      </w:r>
    </w:p>
    <w:p w14:paraId="52C28C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CE8A5B-BA02-4481-8567-5A56CC08F5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AFFA60B-B31F-4187-A90D-C11D0980D118}"/>
  </w:font>
  <w:font w:name="仿宋_GB2312">
    <w:panose1 w:val="02010609030101010101"/>
    <w:charset w:val="86"/>
    <w:family w:val="auto"/>
    <w:pitch w:val="default"/>
    <w:sig w:usb0="00000001" w:usb1="080E0000" w:usb2="00000000" w:usb3="00000000" w:csb0="00040000" w:csb1="00000000"/>
    <w:embedRegular r:id="rId3" w:fontKey="{5B99AF3E-CFCE-48ED-A72A-AFB171217F55}"/>
  </w:font>
  <w:font w:name="微软雅黑">
    <w:panose1 w:val="020B0503020204020204"/>
    <w:charset w:val="86"/>
    <w:family w:val="auto"/>
    <w:pitch w:val="default"/>
    <w:sig w:usb0="80000287" w:usb1="2ACF3C50" w:usb2="00000016" w:usb3="00000000" w:csb0="0004001F" w:csb1="00000000"/>
    <w:embedRegular r:id="rId4" w:fontKey="{EAB58FBE-4DEB-4DCA-BB96-4F25F97C2A48}"/>
  </w:font>
  <w:font w:name="Segoe UI">
    <w:panose1 w:val="020B0502040204020203"/>
    <w:charset w:val="00"/>
    <w:family w:val="auto"/>
    <w:pitch w:val="default"/>
    <w:sig w:usb0="E4002EFF" w:usb1="C000E47F" w:usb2="00000009" w:usb3="00000000" w:csb0="200001FF" w:csb1="00000000"/>
    <w:embedRegular r:id="rId5" w:fontKey="{272D3071-4AF9-47AB-84FE-D037FEE8F219}"/>
  </w:font>
  <w:font w:name="WPSEMBED16">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E43302"/>
    <w:multiLevelType w:val="multilevel"/>
    <w:tmpl w:val="40E4330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ABA0FCF"/>
    <w:rsid w:val="10FB5E9E"/>
    <w:rsid w:val="123A0C48"/>
    <w:rsid w:val="12661A3D"/>
    <w:rsid w:val="12791770"/>
    <w:rsid w:val="137A397A"/>
    <w:rsid w:val="17E21B65"/>
    <w:rsid w:val="18153CE9"/>
    <w:rsid w:val="20B56069"/>
    <w:rsid w:val="21D544E9"/>
    <w:rsid w:val="22A94DF5"/>
    <w:rsid w:val="255E092A"/>
    <w:rsid w:val="25BF33FF"/>
    <w:rsid w:val="26777C58"/>
    <w:rsid w:val="2E3A5DFF"/>
    <w:rsid w:val="3321758E"/>
    <w:rsid w:val="3A0A0D7C"/>
    <w:rsid w:val="43AF4742"/>
    <w:rsid w:val="46FE3A16"/>
    <w:rsid w:val="49137521"/>
    <w:rsid w:val="49A87E95"/>
    <w:rsid w:val="4B683B54"/>
    <w:rsid w:val="594554D5"/>
    <w:rsid w:val="5B5C495E"/>
    <w:rsid w:val="5DA6050C"/>
    <w:rsid w:val="5F3202A9"/>
    <w:rsid w:val="5FE13A7D"/>
    <w:rsid w:val="64C9520C"/>
    <w:rsid w:val="666F7255"/>
    <w:rsid w:val="69E76134"/>
    <w:rsid w:val="6A8549B2"/>
    <w:rsid w:val="6C501D9F"/>
    <w:rsid w:val="743D52CE"/>
    <w:rsid w:val="76A41635"/>
    <w:rsid w:val="76D0242A"/>
    <w:rsid w:val="78B33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5">
    <w:name w:val="annotation text"/>
    <w:basedOn w:val="1"/>
    <w:qFormat/>
    <w:uiPriority w:val="0"/>
    <w:pPr>
      <w:jc w:val="left"/>
    </w:pPr>
  </w:style>
  <w:style w:type="paragraph" w:styleId="6">
    <w:name w:val="Body Text"/>
    <w:basedOn w:val="1"/>
    <w:next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7">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8">
    <w:name w:val="Body Text First Indent"/>
    <w:basedOn w:val="6"/>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customStyle="1" w:styleId="11">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2">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3">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4">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5">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5806</Words>
  <Characters>6009</Characters>
  <Lines>0</Lines>
  <Paragraphs>0</Paragraphs>
  <TotalTime>0</TotalTime>
  <ScaleCrop>false</ScaleCrop>
  <LinksUpToDate>false</LinksUpToDate>
  <CharactersWithSpaces>6019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Alano</cp:lastModifiedBy>
  <dcterms:modified xsi:type="dcterms:W3CDTF">2026-09-10T07:37:14Z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C5F95AF1F56C4961A877691FCB42A720_13</vt:lpwstr>
  </property>
  <property fmtid="{D5CDD505-2E9C-101B-9397-08002B2CF9AE}" pid="4" name="KSOTemplateDocerSaveRecord">
    <vt:lpwstr>eyJoZGlkIjoiNGY0ZWU5M2EzNGVhNzI3MWM5NWJkN2JhMTNhZjY4ZGQiLCJ1c2VySWQiOiIxMTM4ODg2OTkzIn0=</vt:lpwstr>
  </property>
</Properties>
</file>