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21B04">
      <w:pPr>
        <w:spacing w:line="360" w:lineRule="auto"/>
        <w:outlineLvl w:val="0"/>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附件1：</w:t>
      </w:r>
      <w:r>
        <w:rPr>
          <w:rFonts w:hint="eastAsia" w:ascii="仿宋" w:hAnsi="仿宋" w:eastAsia="仿宋" w:cs="仿宋"/>
          <w:b/>
          <w:bCs/>
          <w:sz w:val="28"/>
          <w:szCs w:val="28"/>
          <w:highlight w:val="none"/>
          <w:lang w:val="en-US" w:eastAsia="zh-CN"/>
        </w:rPr>
        <w:t>采购需求</w:t>
      </w:r>
    </w:p>
    <w:p w14:paraId="611B2A90">
      <w:pPr>
        <w:widowControl/>
        <w:tabs>
          <w:tab w:val="left" w:pos="3573"/>
        </w:tabs>
        <w:spacing w:line="360" w:lineRule="auto"/>
        <w:rPr>
          <w:rFonts w:hint="eastAsia" w:ascii="仿宋" w:hAnsi="仿宋" w:eastAsia="仿宋" w:cs="仿宋"/>
          <w:sz w:val="24"/>
          <w:szCs w:val="32"/>
          <w:highlight w:val="none"/>
        </w:rPr>
      </w:pPr>
      <w:r>
        <w:rPr>
          <w:rFonts w:hint="eastAsia" w:ascii="仿宋" w:hAnsi="仿宋" w:eastAsia="仿宋" w:cs="仿宋"/>
          <w:sz w:val="24"/>
          <w:szCs w:val="32"/>
          <w:highlight w:val="none"/>
        </w:rPr>
        <w:t>本章中标注“★”号的条款为本项目的实质性要求，供应商应全部满足，否则其投标文件作无效处理。“▲”符号的条款为本项目的重要参数条款。</w:t>
      </w:r>
    </w:p>
    <w:p w14:paraId="7F3BB595">
      <w:pPr>
        <w:pStyle w:val="2"/>
        <w:spacing w:line="360" w:lineRule="auto"/>
        <w:ind w:firstLine="422"/>
        <w:outlineLvl w:val="1"/>
        <w:rPr>
          <w:rFonts w:hint="default" w:ascii="仿宋" w:hAnsi="仿宋" w:eastAsia="仿宋" w:cs="仿宋"/>
          <w:b/>
          <w:color w:val="000000" w:themeColor="text1"/>
          <w:sz w:val="28"/>
          <w:szCs w:val="28"/>
          <w:lang w:val="en-US" w:eastAsia="zh-CN"/>
          <w14:textFill>
            <w14:solidFill>
              <w14:schemeClr w14:val="tx1"/>
            </w14:solidFill>
          </w14:textFill>
        </w:rPr>
      </w:pPr>
      <w:r>
        <w:rPr>
          <w:rFonts w:hint="eastAsia" w:ascii="仿宋" w:hAnsi="仿宋" w:eastAsia="仿宋" w:cs="仿宋"/>
          <w:b/>
          <w:sz w:val="28"/>
          <w:szCs w:val="28"/>
        </w:rPr>
        <w:t>一、</w:t>
      </w:r>
      <w:r>
        <w:rPr>
          <w:rFonts w:hint="eastAsia" w:ascii="仿宋" w:hAnsi="仿宋" w:eastAsia="仿宋" w:cs="仿宋"/>
          <w:b/>
          <w:sz w:val="28"/>
          <w:szCs w:val="28"/>
          <w:lang w:val="en-US" w:eastAsia="zh-CN"/>
        </w:rPr>
        <w:t>项目概况</w:t>
      </w:r>
    </w:p>
    <w:p w14:paraId="6173F32F">
      <w:pPr>
        <w:pStyle w:val="15"/>
        <w:keepNext w:val="0"/>
        <w:keepLines w:val="0"/>
        <w:pageBreakBefore w:val="0"/>
        <w:widowControl w:val="0"/>
        <w:numPr>
          <w:ilvl w:val="0"/>
          <w:numId w:val="0"/>
        </w:numPr>
        <w:kinsoku/>
        <w:wordWrap/>
        <w:overflowPunct/>
        <w:topLinePunct w:val="0"/>
        <w:autoSpaceDE/>
        <w:autoSpaceDN/>
        <w:bidi w:val="0"/>
        <w:adjustRightInd w:val="0"/>
        <w:snapToGrid/>
        <w:spacing w:before="156" w:beforeLines="50" w:after="156" w:afterLines="50" w:line="360" w:lineRule="auto"/>
        <w:ind w:left="0" w:leftChars="0" w:firstLine="480" w:firstLineChars="200"/>
        <w:contextualSpacing/>
        <w:jc w:val="left"/>
        <w:textAlignment w:val="auto"/>
        <w:outlineLvl w:val="9"/>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CN" w:bidi="ar-SA"/>
        </w:rPr>
        <w:t>1.</w:t>
      </w:r>
      <w:r>
        <w:rPr>
          <w:rFonts w:hint="eastAsia" w:ascii="仿宋" w:hAnsi="仿宋" w:eastAsia="仿宋" w:cs="仿宋"/>
          <w:bCs/>
          <w:color w:val="000000"/>
          <w:sz w:val="24"/>
          <w:szCs w:val="24"/>
          <w:lang w:val="en-US" w:eastAsia="zh-CN"/>
        </w:rPr>
        <w:t>项目名称：</w:t>
      </w:r>
      <w:bookmarkStart w:id="0" w:name="OLE_LINK3"/>
      <w:r>
        <w:rPr>
          <w:rFonts w:hint="eastAsia" w:ascii="仿宋" w:hAnsi="仿宋" w:eastAsia="仿宋" w:cs="仿宋"/>
          <w:bCs/>
          <w:color w:val="000000"/>
          <w:sz w:val="24"/>
          <w:szCs w:val="24"/>
          <w:lang w:val="en-US" w:eastAsia="zh-CN"/>
        </w:rPr>
        <w:t>医学遗传实验室信息系统</w:t>
      </w:r>
      <w:bookmarkEnd w:id="0"/>
    </w:p>
    <w:p w14:paraId="1D905208">
      <w:pPr>
        <w:pStyle w:val="15"/>
        <w:keepNext w:val="0"/>
        <w:keepLines w:val="0"/>
        <w:pageBreakBefore w:val="0"/>
        <w:widowControl w:val="0"/>
        <w:numPr>
          <w:ilvl w:val="0"/>
          <w:numId w:val="0"/>
        </w:numPr>
        <w:kinsoku/>
        <w:wordWrap/>
        <w:overflowPunct/>
        <w:topLinePunct w:val="0"/>
        <w:autoSpaceDE/>
        <w:autoSpaceDN/>
        <w:bidi w:val="0"/>
        <w:adjustRightInd w:val="0"/>
        <w:snapToGrid/>
        <w:spacing w:before="156" w:beforeLines="50" w:after="156" w:afterLines="50" w:line="360" w:lineRule="auto"/>
        <w:ind w:left="0" w:leftChars="0" w:firstLine="480" w:firstLineChars="200"/>
        <w:contextualSpacing/>
        <w:jc w:val="left"/>
        <w:textAlignment w:val="auto"/>
        <w:outlineLvl w:val="9"/>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CN" w:bidi="ar-SA"/>
        </w:rPr>
        <w:t>2.</w:t>
      </w:r>
      <w:r>
        <w:rPr>
          <w:rFonts w:hint="eastAsia" w:ascii="仿宋" w:hAnsi="仿宋" w:eastAsia="仿宋" w:cs="仿宋"/>
          <w:bCs/>
          <w:color w:val="000000"/>
          <w:sz w:val="24"/>
          <w:szCs w:val="24"/>
          <w:lang w:val="en-US" w:eastAsia="zh-CN"/>
        </w:rPr>
        <w:t>项目编号：2026-XXHB-ZYZ-010（公）</w:t>
      </w:r>
    </w:p>
    <w:p w14:paraId="72AE1FDC">
      <w:pPr>
        <w:pStyle w:val="15"/>
        <w:keepNext w:val="0"/>
        <w:keepLines w:val="0"/>
        <w:pageBreakBefore w:val="0"/>
        <w:widowControl w:val="0"/>
        <w:numPr>
          <w:ilvl w:val="0"/>
          <w:numId w:val="0"/>
        </w:numPr>
        <w:kinsoku/>
        <w:wordWrap/>
        <w:overflowPunct/>
        <w:topLinePunct w:val="0"/>
        <w:autoSpaceDE/>
        <w:autoSpaceDN/>
        <w:bidi w:val="0"/>
        <w:adjustRightInd w:val="0"/>
        <w:snapToGrid/>
        <w:spacing w:before="156" w:beforeLines="50" w:after="156" w:afterLines="50" w:line="360" w:lineRule="auto"/>
        <w:ind w:left="0" w:leftChars="0" w:firstLine="480" w:firstLineChars="200"/>
        <w:contextualSpacing/>
        <w:jc w:val="left"/>
        <w:textAlignment w:val="auto"/>
        <w:outlineLvl w:val="9"/>
        <w:rPr>
          <w:rFonts w:hint="eastAsia" w:ascii="仿宋" w:hAnsi="仿宋" w:eastAsia="仿宋" w:cs="仿宋"/>
          <w:bCs/>
          <w:color w:val="000000"/>
          <w:sz w:val="28"/>
          <w:szCs w:val="28"/>
        </w:rPr>
      </w:pPr>
      <w:r>
        <w:rPr>
          <w:rFonts w:hint="eastAsia" w:ascii="仿宋" w:hAnsi="仿宋" w:eastAsia="仿宋" w:cs="仿宋"/>
          <w:bCs/>
          <w:color w:val="000000"/>
          <w:kern w:val="2"/>
          <w:sz w:val="24"/>
          <w:szCs w:val="24"/>
          <w:lang w:val="en-US" w:eastAsia="zh-CN" w:bidi="ar-SA"/>
        </w:rPr>
        <w:t>3.</w:t>
      </w:r>
      <w:r>
        <w:rPr>
          <w:rFonts w:hint="eastAsia" w:ascii="仿宋" w:hAnsi="仿宋" w:eastAsia="仿宋" w:cs="仿宋"/>
          <w:bCs/>
          <w:color w:val="000000"/>
          <w:sz w:val="24"/>
          <w:szCs w:val="24"/>
        </w:rPr>
        <w:t>预算：</w:t>
      </w:r>
      <w:r>
        <w:rPr>
          <w:rFonts w:hint="eastAsia" w:ascii="仿宋" w:hAnsi="仿宋" w:eastAsia="仿宋" w:cs="仿宋"/>
          <w:bCs/>
          <w:color w:val="000000"/>
          <w:sz w:val="24"/>
          <w:szCs w:val="24"/>
          <w:lang w:val="en-US" w:eastAsia="zh-CN"/>
        </w:rPr>
        <w:t>49</w:t>
      </w:r>
      <w:r>
        <w:rPr>
          <w:rFonts w:hint="eastAsia" w:ascii="仿宋" w:hAnsi="仿宋" w:eastAsia="仿宋" w:cs="仿宋"/>
          <w:bCs/>
          <w:color w:val="000000"/>
          <w:sz w:val="24"/>
          <w:szCs w:val="24"/>
        </w:rPr>
        <w:t>万元</w:t>
      </w:r>
    </w:p>
    <w:p w14:paraId="5DA88468">
      <w:pPr>
        <w:keepNext w:val="0"/>
        <w:keepLines w:val="0"/>
        <w:pageBreakBefore w:val="0"/>
        <w:widowControl w:val="0"/>
        <w:kinsoku/>
        <w:wordWrap/>
        <w:overflowPunct/>
        <w:topLinePunct w:val="0"/>
        <w:autoSpaceDE/>
        <w:autoSpaceDN/>
        <w:bidi w:val="0"/>
        <w:adjustRightInd w:val="0"/>
        <w:snapToGrid/>
        <w:spacing w:line="360" w:lineRule="auto"/>
        <w:ind w:firstLine="562" w:firstLineChars="200"/>
        <w:textAlignment w:val="auto"/>
        <w:outlineLvl w:val="1"/>
        <w:rPr>
          <w:rFonts w:hint="eastAsia" w:ascii="仿宋" w:hAnsi="仿宋" w:eastAsia="仿宋" w:cs="仿宋"/>
          <w:b/>
          <w:sz w:val="24"/>
        </w:rPr>
      </w:pPr>
      <w:r>
        <w:rPr>
          <w:rFonts w:hint="eastAsia" w:ascii="仿宋" w:hAnsi="仿宋" w:eastAsia="仿宋" w:cs="仿宋"/>
          <w:b/>
          <w:sz w:val="28"/>
          <w:szCs w:val="28"/>
        </w:rPr>
        <w:t>二、技术要求</w:t>
      </w:r>
    </w:p>
    <w:p w14:paraId="417F624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具备样本导入、患者基本信息录入、临床信息录入、检测项目选择等下单功能，具备批量样本导入，并能够与本院东华HIS系统（ iMedical HIS 8.4 ）对接，获取患者基本信息、检测项目信息以及临床信息等(对接涉及的接口费用由供应商支付)。（提供对应系统功能截图，接口对接提供承诺函，并加盖投标人公章）</w:t>
      </w:r>
    </w:p>
    <w:p w14:paraId="2C9D8AC4">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实现样本全流程状态追踪管理，包括样本接收、检测分析（对接设备获取）、报告录入、报告审核、报告签发等节点，具备报告临期、超期自动提醒。（提供对应系统功能截图并加盖投标人公章）</w:t>
      </w:r>
    </w:p>
    <w:p w14:paraId="17410E7D">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具备携带者筛查、FISH、产前诊断验证、地贫、基因测序、母源污染、双胎诊断、FMR1基因检测、Panel、WES、SMN1、Y染色体微缺失、NIPT等多种检测项目的结构化结果录入与存储。（提供对应系统功能截图并加盖投标人公章）</w:t>
      </w:r>
    </w:p>
    <w:p w14:paraId="123380D8">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bookmarkStart w:id="1" w:name="OLE_LINK4"/>
      <w:r>
        <w:rPr>
          <w:rFonts w:hint="eastAsia" w:ascii="仿宋" w:hAnsi="仿宋" w:eastAsia="仿宋" w:cs="仿宋"/>
          <w:sz w:val="24"/>
          <w:szCs w:val="24"/>
          <w:lang w:val="en-US" w:eastAsia="zh-CN"/>
        </w:rPr>
        <w:t>▲4. 具备多种检测项目的报告模板配置，具备可视化模板编辑（或以word文件形式的模板,例如JAVA的poi-ti，能够自行在本机设置好word模板后上传到系统中，并且对应检测项目），具备自定义报告格式和样式。（提供对应系统功能截图并加盖投标人公章）</w:t>
      </w:r>
    </w:p>
    <w:bookmarkEnd w:id="1"/>
    <w:p w14:paraId="5F48D09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 具备报告自动生成功能，具备数据自动填充、PDF导出功能。（提供对应系统功能截图并加盖投标人公章）</w:t>
      </w:r>
    </w:p>
    <w:p w14:paraId="3A9FC6AA">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具备报告可视化编辑与多级审核流程，具备审核意见标注、审核状态追踪、审核痕迹留存。（提供对应系统功能截图并加盖投标人公章）</w:t>
      </w:r>
    </w:p>
    <w:p w14:paraId="1DBD1DC3">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 具备报告无纸化归档管理，需要对接智能病案管理系统V3.4，具备电子签名、电子签章，具备报告的全生命周期电子化管理，无需纸质存档。（提供提供承诺函并加盖投标人公章）</w:t>
      </w:r>
    </w:p>
    <w:p w14:paraId="1704AAD5">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 具备单点登录（SSO），具备与医院OA系统对接，实现统一身份认证和单点登录访问。（提供对应系统功能截图并加盖投标人公章）</w:t>
      </w:r>
    </w:p>
    <w:p w14:paraId="323AA9DE">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 具备患者端H5报告查询功能，患者可通过手机端查询本人检测报告，具备报告查看、下载、分享等功能。（提供对应系统功能截图并加盖投标人公章）</w:t>
      </w:r>
    </w:p>
    <w:p w14:paraId="3EDD4671">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 具备自助机打印报告，提供标准化的报告PDF查询接口，具备自助终端设备调用接口获取并打印报告。（提供承诺函并加盖投标人公章）</w:t>
      </w:r>
    </w:p>
    <w:p w14:paraId="157B5C35">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 具备对接艾迪康外送系统，能够获取外院样本信息、患者基础信息、检测结果等数据，具备外送样本的全流程追踪管理。（提供承诺函并加盖投标人公章）</w:t>
      </w:r>
    </w:p>
    <w:p w14:paraId="15EA1B36">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 提供报告审核界面HIS跳转集成能力，具备医生从HIS系统直接跳转至报告审核界面进行报告审核操作。(提供跳转链接，要求能直接定位到该患者的本次报告审核界面) （提供对应系统功能截图并加盖投标人公章）</w:t>
      </w:r>
    </w:p>
    <w:p w14:paraId="677CE9C8">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 具备同病人多报告展示与关联查看，可自动关联同一患者的历史报告，具备不同检测项目结果的交叉对比分析。（提供对应系统功能截图并加盖投标人公章）</w:t>
      </w:r>
    </w:p>
    <w:p w14:paraId="506E1CA9">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 具备报告全文检索、条件检索功能，具备按年份、检测项目、科室等多维度归档管理。（提供对应系统功能截图并加盖投标人公章）</w:t>
      </w:r>
    </w:p>
    <w:p w14:paraId="15AF2CEC">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 具备样本条码管理，具备扫码录入、扫码查询，具备条码规则自定义配置。（提供对应系统功能截图并加盖投标人公章）</w:t>
      </w:r>
    </w:p>
    <w:p w14:paraId="6ED1482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 具备检测项目套餐管理，可根据临床需求灵活配置检测组合套餐。（提供对应系统功能截图并加盖投标人公章）</w:t>
      </w:r>
    </w:p>
    <w:p w14:paraId="4723C30B">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★17. 具备异常结果高亮提示、危急值预警功能，具备自定义异常值规则。（提供对应系统功能截图并加盖投标人公章）</w:t>
      </w:r>
    </w:p>
    <w:p w14:paraId="1156AAAF">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 具备报告版本管理，记录报告修改历史，具备版本回溯查看。（提供对应系统功能截图并加盖投标人公章）</w:t>
      </w:r>
    </w:p>
    <w:p w14:paraId="2ACB073F">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 具备外送样本的台账管理，包括外送申请、样本交接、检测进度追踪、结果回传、报告生成等全流程管理。（提供对应系统功能截图并加盖投标人公章）</w:t>
      </w:r>
    </w:p>
    <w:p w14:paraId="7E751938">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 具备Illumina、MGI、赛陆、真迈等主流品牌测序仪的数据对接，具备下机数据自动采集与解析（接口费用包含在本次报价中）。（提供承诺函并加盖投标人公章）</w:t>
      </w:r>
    </w:p>
    <w:p w14:paraId="01FAABB0">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 具备可视化图表展示，包括但不限于年度、月度报告统计分析，可自定义统计周期。（提供对应系统功能截图并加盖投标人公章）</w:t>
      </w:r>
    </w:p>
    <w:p w14:paraId="729458EF">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 系统须采用模块化架构，各核心业务模块须可独立启停，并在系统管理界面中展示各模块运行状态。（提供对应系统功能截图并加盖投标人公章）</w:t>
      </w:r>
    </w:p>
    <w:p w14:paraId="672C5BC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 系统须支持后台任务自动调度，可查看任务执行状态、执行日志及历史记录，支持任务失败自动重试。（提供对应系统功能截图并加盖投标人公章）</w:t>
      </w:r>
    </w:p>
    <w:p w14:paraId="53499EC7">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▲24. 系统须实现不同职务差异化权限管理，具备基于角色的权限配置功能（如采用OAuth2.0认证协议与RBAC角色权限模型等）。（提供对应系统功能截图并加盖投标人公章）</w:t>
      </w:r>
    </w:p>
    <w:p w14:paraId="146EE283">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▲25. 系统须提供数据库连接池运行状态监控能力，便于运维人员实时掌握数据库负载情况。（提供对应系统功能截图并加盖投标人公章）</w:t>
      </w:r>
    </w:p>
    <w:p w14:paraId="250A7BC6">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 系统须具备请求全链路追踪能力，当用户操作响应缓慢时可快速定位是数据库查询慢还是外部接口调用慢，便于日常运维排查。（提供对应系统功能截图并加盖投标人公章）</w:t>
      </w:r>
    </w:p>
    <w:p w14:paraId="4948B8AF">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▲27. 系统须基于标准规范构建接口层，支持通过标准方式暴露接口运行状态指标，并具备标准化业务数据接口，便于后续业务扩展时与第三方系统对接。（提供对应系统功能截图并加盖投标人公章）</w:t>
      </w:r>
    </w:p>
    <w:p w14:paraId="7A7905E7">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▲28. 系统须支持接入医院现有运维监控平台，可实时查看系统内存、线程、请求量等健康状态，异常时自动告警。（提供对应系统功能截图并加盖投标人公章）</w:t>
      </w:r>
    </w:p>
    <w:p w14:paraId="04926DC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bookmarkStart w:id="2" w:name="OLE_LINK6"/>
      <w:r>
        <w:rPr>
          <w:rFonts w:hint="eastAsia" w:ascii="仿宋" w:hAnsi="仿宋" w:eastAsia="仿宋" w:cs="仿宋"/>
          <w:sz w:val="24"/>
          <w:szCs w:val="24"/>
          <w:lang w:val="en-US" w:eastAsia="zh-CN"/>
        </w:rPr>
        <w:t>▲</w:t>
      </w:r>
      <w:bookmarkEnd w:id="2"/>
      <w:r>
        <w:rPr>
          <w:rFonts w:hint="eastAsia" w:ascii="仿宋" w:hAnsi="仿宋" w:eastAsia="仿宋" w:cs="仿宋"/>
          <w:sz w:val="24"/>
          <w:szCs w:val="24"/>
          <w:lang w:val="en-US" w:eastAsia="zh-CN"/>
        </w:rPr>
        <w:t>29. 系统须采用成熟稳定的长期支持运行时环境（如Java 17 LTS等），具备自动内存管理能力，避免因内存持续占用导致系统性能下降，并支持导出运行时日志用于故障分析。（提供对应系统功能截图并加盖投标人公章）</w:t>
      </w:r>
    </w:p>
    <w:p w14:paraId="2670483A">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 系统须基于标准日志框架记录关键业务操作，覆盖样本核收、报告编辑、报告审核等环节，支持按操作人和时间范围检索。（提供对应系统功能截图并加盖投标人公章）</w:t>
      </w:r>
    </w:p>
    <w:p w14:paraId="2F540C03">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★31.系统管理与运维</w:t>
      </w:r>
    </w:p>
    <w:p w14:paraId="772446D9">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bookmarkStart w:id="3" w:name="OLE_LINK20"/>
      <w:r>
        <w:rPr>
          <w:rFonts w:hint="eastAsia" w:ascii="仿宋" w:hAnsi="仿宋" w:eastAsia="仿宋" w:cs="仿宋"/>
          <w:sz w:val="24"/>
          <w:szCs w:val="24"/>
          <w:lang w:val="en-US" w:eastAsia="zh-CN"/>
        </w:rPr>
        <w:t>数据存储应符合国家网络安全等保要求，提供系统运维和技术支撑。须提供SQL执行计划可视化分析工具，具备慢查询自动采集与索引建议。按照科室需求增加新的项目后，如有必要对系统功能进行升级，厂家应当配合医院完成系统升级。（投标人须提供承诺书并加盖公章，不提供承诺书或承诺不满足条件视为无效标）</w:t>
      </w:r>
    </w:p>
    <w:bookmarkEnd w:id="3"/>
    <w:p w14:paraId="502CC3BD">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32.安全建设</w:t>
      </w:r>
    </w:p>
    <w:p w14:paraId="260EE9B5">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bookmarkStart w:id="4" w:name="OLE_LINK14"/>
      <w:r>
        <w:rPr>
          <w:rFonts w:hint="eastAsia" w:ascii="仿宋" w:hAnsi="仿宋" w:eastAsia="仿宋" w:cs="仿宋"/>
          <w:sz w:val="24"/>
          <w:szCs w:val="24"/>
          <w:lang w:val="en-US" w:eastAsia="zh-CN"/>
        </w:rPr>
        <w:t>★</w:t>
      </w:r>
      <w:bookmarkEnd w:id="4"/>
      <w:bookmarkStart w:id="5" w:name="OLE_LINK7"/>
      <w:r>
        <w:rPr>
          <w:rFonts w:hint="eastAsia" w:ascii="仿宋" w:hAnsi="仿宋" w:eastAsia="仿宋" w:cs="仿宋"/>
          <w:sz w:val="24"/>
          <w:szCs w:val="24"/>
          <w:lang w:val="en-US" w:eastAsia="zh-CN"/>
        </w:rPr>
        <w:t>32.</w:t>
      </w:r>
      <w:bookmarkEnd w:id="5"/>
      <w:r>
        <w:rPr>
          <w:rFonts w:hint="eastAsia" w:ascii="仿宋" w:hAnsi="仿宋" w:eastAsia="仿宋" w:cs="仿宋"/>
          <w:sz w:val="24"/>
          <w:szCs w:val="24"/>
          <w:lang w:val="en-US" w:eastAsia="zh-CN"/>
        </w:rPr>
        <w:t>1供应商所供产品应符合相关法律法规要求，至少包括《中华人民共和国网络安全法》《关键信息基础设施安全保护条例》《中华人民共和国个人信息保护法》《移动互联网应用程序信息服务管理规定》《生成式人工智能服务管理暂行办法》《未成年人网络保护条例》《网络数据安全管理条例》《个人信息保护合规审计管理办法》《中华人民共和国保守国家秘密法》《中华人民共和国密码法》《网络安全等级保护条例》《医疗卫生机构网络安全管理办法》《医疗质量安全核心制度要点》《国家网络身份认证公共服务管理办法》《网络暴力信息治理规定》《互联网信息服务管理办法》《互联网用户账号信息管理规定》《人脸识别技术应用安全管理办法》《中华人民共和国数据安全法》。（投标人须提供承诺书并加盖公章，不提供承诺书或承诺不满足条件视为无效标）</w:t>
      </w:r>
    </w:p>
    <w:p w14:paraId="5477A595">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★32.2.供应商应深入了解采购人的真实需求和期望，确保需求理解的准确，避免误解和预期不一致。在项目开展过程中，应编写详细、清晰的需求文档，内容包含功能、性能、原型图等各方面要求。</w:t>
      </w:r>
      <w:bookmarkStart w:id="6" w:name="OLE_LINK12"/>
      <w:r>
        <w:rPr>
          <w:rFonts w:hint="eastAsia" w:ascii="仿宋" w:hAnsi="仿宋" w:eastAsia="仿宋" w:cs="仿宋"/>
          <w:sz w:val="24"/>
          <w:szCs w:val="24"/>
          <w:lang w:val="en-US" w:eastAsia="zh-CN"/>
        </w:rPr>
        <w:t>（投标人须提供承诺书并加盖公章，不提供承诺书或承诺不满足条件视为无效标）</w:t>
      </w:r>
      <w:bookmarkEnd w:id="6"/>
    </w:p>
    <w:p w14:paraId="194CBCD6">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32.3.供应商应充分考虑安全因素，在确保供应链安全的基础上，使用满足要求的密码算法（密码学模块须基于JCE标准密钥库实现，须同时具备国密SM2非对称加密、SM3哈希、SM4对称加密三类算法，须具备国密TLCP协议。加密密钥须具备定期轮换，轮换过程不中断业务服务），采用多层次的安全防护体系，包括网络安全防护（如防火墙、入侵检测系统、VPN 等）、数据安全防护（如数据加密、访问控制、数据备份与恢复等）、应用安全防护（如身份认证、权限管理、漏洞扫描等）等；同时，系统角色设计应覆盖厂商运维角色、院内信息化工程师运维角色、业务管理部门管理角色、终端用户使用角色、日志审计角色等。确保软件系统在运行过程中能够抵御各种安全威胁，保护医院业务数据的安全性和保密性。同时，合理设置系统参数，如关闭不必要的服务和端口、限制远程访问权限、配置满足要求的密码策略与认证方式等，减少系统的攻击面。对于以口令账号登录的系统，应对提交到服务端的密码数据应进行保护，确保同一账号连续两次提交到服务端的密码数据不一样，同时完成与OA系统的对接，实现单点登录。</w:t>
      </w:r>
      <w:bookmarkStart w:id="7" w:name="OLE_LINK11"/>
      <w:r>
        <w:rPr>
          <w:rFonts w:hint="eastAsia" w:ascii="仿宋" w:hAnsi="仿宋" w:eastAsia="仿宋" w:cs="仿宋"/>
          <w:sz w:val="24"/>
          <w:szCs w:val="24"/>
          <w:lang w:val="en-US" w:eastAsia="zh-CN"/>
        </w:rPr>
        <w:t>（投标人须提供承诺书并加盖公章，不提供承诺书或承诺不满足条件视为无效标）</w:t>
      </w:r>
      <w:bookmarkEnd w:id="7"/>
    </w:p>
    <w:p w14:paraId="476C15E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32.4.供应商应合理规划资源配置方案，基于业务场景和业务规模等，构建资源配置模型，估算操作系统、CPU、内存、存储、带宽、数据库、中间件等资源，确保相关配置的合理、持续。（投标人须提供承诺书并加盖公章，不提供承诺书或承诺不满足条件视为无效标）</w:t>
      </w:r>
    </w:p>
    <w:p w14:paraId="69CDBB8F">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32.5.供应商应对产品进行充分测试验证，按照招标要求、合同要求等内容，梳理产品功能是否覆盖用户需求，编写测试方案，并开展功能、性能、安全等内容的测试，使用频率较高的交互页面须在界面美观协调的基础上满足弹框不超过三层、同一类型业务跳转不超过五次。不同系统之间交互接口的稳定性不低于百分之九十九。与此同时，应形成完备的用户手册，应包括功能模块手册、典型业务场景手册。（投标人须提供承诺书并加盖公章，不提供承诺书或承诺不满足条件视为无效标）</w:t>
      </w:r>
    </w:p>
    <w:p w14:paraId="7532F885">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32.6.供应商应在系统上线前提交系统完备的系统部署图、核心业务交互图、系统源代码、数据库结构(包含字段注释、表注释以及表结构关系--包含逻辑关系以及物理关系)，配合院方开展安全相关的测试，在满足包括物理环境安全、通信网络安全、区域边界安全、计算环境安全、管理制度安全、管理机构安全、管理人员安全、建设管理安全、运维管理安全等安全要求后开展试运行，跟踪并及时解决试点过程中各个环节发现的问题，持续优化产品功性能。同时，面向临床科室、业务主管科室、系统运维科室等开展针对性的培训、推广。（投标人须提供承诺书并加盖公章，不提供承诺书或承诺不满足条件视为无效标）</w:t>
      </w:r>
    </w:p>
    <w:p w14:paraId="624EA054">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32.7.协助采购人开展攻防演练、等保测评、密评密改、数据分级分类、供应链检测等，并在72小时内完成中高风险的缺陷处理，至少包括安全漏洞修复、系统补丁更新。至少将系统中所有的管理员账号、数据库口令账号、系统部署图、系统吞度量、统计数据以安全的方式告知采购人，并在密码发生变更时同步给采购人。（投标人须提供承诺书并加盖公章，不提供承诺书或承诺不满足条件视为无效标）</w:t>
      </w:r>
    </w:p>
    <w:p w14:paraId="550658E9">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32.8.严格控制并采取必要措施对采购人在用系统中所有运行日志、业务数据、系统源代码及其他专有信息、内部管理和其他商业秘密及资料、其他敏感信息等进行保密，不得在未经采购人审批同意下篡改日志、拷贝数据、对外传播、用作其他商业用途、泄露给其他个人或组织等，并定期对系统日志、操作日志进行审计与分析。（投标人须提供承诺书并加盖公章，不提供承诺书或承诺不满足条件视为无效标）</w:t>
      </w:r>
    </w:p>
    <w:p w14:paraId="6D81CAC6">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32.9.日常用户咨询与技术支撑，对使用过程中出现的技术问题、业务问题进行解答和技术支持，包括现场服务、7*24小时线上或者电话服务，并在必要时提供培训。（投标人须提供承诺书并加盖公章，不提供承诺书或承诺不满足条件视为无效标）</w:t>
      </w:r>
    </w:p>
    <w:p w14:paraId="67E5A6D2">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32.10.建立完善的用户反馈机制，并集中管理和体系化分析所有用户反馈的各类问题或意见。出现问题，需要针对具体的问题编制操作手册，至少包括反馈频次超过3次的问题、近期更新的模块、新上线的业务，在必要时编制培训材料并进行培训。（投标人须提供承诺书并加盖公章，不提供承诺书或承诺不满足条件视为无效标）</w:t>
      </w:r>
    </w:p>
    <w:p w14:paraId="2F06FDD5">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1"/>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★三、商务要求</w:t>
      </w:r>
    </w:p>
    <w:p w14:paraId="28EF01F3">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1.服务期限</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 xml:space="preserve">（1）交付时间及地点 </w:t>
      </w:r>
    </w:p>
    <w:p w14:paraId="457570D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①交付时间：</w:t>
      </w:r>
      <w:bookmarkStart w:id="8" w:name="OLE_LINK24"/>
      <w:r>
        <w:rPr>
          <w:rFonts w:hint="eastAsia" w:ascii="仿宋" w:hAnsi="仿宋" w:eastAsia="仿宋" w:cs="仿宋"/>
          <w:sz w:val="24"/>
          <w:szCs w:val="24"/>
          <w:highlight w:val="none"/>
          <w:lang w:val="en-US" w:eastAsia="zh-CN"/>
        </w:rPr>
        <w:t>合同签订生效后6个月内完成交付。</w:t>
      </w:r>
      <w:bookmarkEnd w:id="8"/>
      <w:r>
        <w:rPr>
          <w:rFonts w:hint="eastAsia" w:ascii="仿宋" w:hAnsi="仿宋" w:eastAsia="仿宋" w:cs="仿宋"/>
          <w:sz w:val="24"/>
          <w:szCs w:val="24"/>
          <w:highlight w:val="none"/>
          <w:lang w:val="en-US" w:eastAsia="zh-CN"/>
        </w:rPr>
        <w:t xml:space="preserve"> </w:t>
      </w:r>
    </w:p>
    <w:p w14:paraId="7DDF029F">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②交付地点： </w:t>
      </w:r>
      <w:bookmarkStart w:id="9" w:name="OLE_LINK23"/>
      <w:r>
        <w:rPr>
          <w:rFonts w:hint="eastAsia" w:ascii="仿宋" w:hAnsi="仿宋" w:eastAsia="仿宋" w:cs="仿宋"/>
          <w:sz w:val="24"/>
          <w:szCs w:val="24"/>
          <w:highlight w:val="none"/>
          <w:lang w:val="en-US" w:eastAsia="zh-CN"/>
        </w:rPr>
        <w:t>四川省妇幼保健院</w:t>
      </w:r>
      <w:bookmarkEnd w:id="9"/>
      <w:r>
        <w:rPr>
          <w:rFonts w:hint="eastAsia" w:ascii="仿宋" w:hAnsi="仿宋" w:eastAsia="仿宋" w:cs="仿宋"/>
          <w:sz w:val="24"/>
          <w:szCs w:val="24"/>
          <w:highlight w:val="none"/>
          <w:lang w:val="en-US" w:eastAsia="zh-CN"/>
        </w:rPr>
        <w:t xml:space="preserve"> </w:t>
      </w:r>
    </w:p>
    <w:p w14:paraId="0890D19D">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（2）维保期</w:t>
      </w:r>
      <w:bookmarkStart w:id="11" w:name="_GoBack"/>
      <w:bookmarkEnd w:id="11"/>
    </w:p>
    <w:p w14:paraId="56DDDCEC">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自</w:t>
      </w:r>
      <w:r>
        <w:rPr>
          <w:rFonts w:hint="default" w:ascii="仿宋" w:hAnsi="仿宋" w:eastAsia="仿宋" w:cs="仿宋"/>
          <w:sz w:val="24"/>
          <w:szCs w:val="24"/>
          <w:highlight w:val="none"/>
          <w:lang w:val="en-US" w:eastAsia="zh-CN"/>
        </w:rPr>
        <w:t>验收合格之日起3年。</w:t>
      </w:r>
    </w:p>
    <w:p w14:paraId="4E1FE1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lang w:val="en-US" w:eastAsia="zh-CN"/>
        </w:rPr>
        <w:t>合同履行期限</w:t>
      </w:r>
    </w:p>
    <w:p w14:paraId="1DB738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ascii="仿宋" w:hAnsi="仿宋" w:eastAsia="仿宋" w:cs="仿宋"/>
          <w:sz w:val="24"/>
          <w:szCs w:val="24"/>
          <w:lang w:val="en-US" w:eastAsia="zh-CN"/>
        </w:rPr>
        <w:t>自合同签订生效之日起，至维保期届满且双方全部合同义务履行完毕之日止。</w:t>
      </w:r>
    </w:p>
    <w:p w14:paraId="7DBF5512">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2.付款方式及履约保证金</w:t>
      </w:r>
    </w:p>
    <w:p w14:paraId="4199638E">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（1）付款方式：系统交付并经采购人验收合格后，且采购人收到供应商开具的合法有效等额发票及付款凭证后60日内支付合同总金额的100%；</w:t>
      </w:r>
    </w:p>
    <w:p w14:paraId="568F26A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（2）履约保证金：成交总金额的10%，自收到采购人通知之日起，7个工作日内中标供应商缴纳至采购人指定账户。</w:t>
      </w:r>
    </w:p>
    <w:p w14:paraId="3CBD86AE">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（3）维保期结束后，由供应商提出书面申请后，采购人在60日内一次性无息退还乙方的履约保证金；在合同履行期限内（含质保期），供应商存在任何违约行为，履约保证金不予退还。</w:t>
      </w:r>
    </w:p>
    <w:p w14:paraId="57559A6E">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3.报价要求</w:t>
      </w:r>
    </w:p>
    <w:p w14:paraId="1C399BC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本次报价包含完成本项目的所有费用，采购人不再额外支付任何费用。</w:t>
      </w:r>
    </w:p>
    <w:p w14:paraId="4F2FB16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4．验收标准</w:t>
      </w:r>
    </w:p>
    <w:p w14:paraId="32513552">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（1）严格按照《财政部关于进一步加强政府采购需求和履约验收管理的指导意见》(财库〔2016〕205 号)的要求进行验收。 </w:t>
      </w:r>
    </w:p>
    <w:p w14:paraId="154CF5B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（2）以采购文件技术参数及要求、供应商的响应文件及承诺、相关国家或行业标准为准。</w:t>
      </w:r>
    </w:p>
    <w:p w14:paraId="2CDE71D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（3）验收时间：系统交付后1年内完成验收。</w:t>
      </w:r>
    </w:p>
    <w:p w14:paraId="38E8A83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5．服务要求</w:t>
      </w:r>
    </w:p>
    <w:p w14:paraId="1CA98208">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（1）合同履行期限内（含质保期），成交供应商在15分钟内电话响应，2小时内到达现场，一般故障4小时内处理完成。</w:t>
      </w:r>
    </w:p>
    <w:p w14:paraId="2C2E982B">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合同履行期限内（含质保期），如果因供应商原因造成采购人违反国家卫生行政管理部门或上级相关行政部门的规定被上级部门约谈、通报及处罚等情况发生，采购人有权对供应商进行以下处理：①要求供应商承担采购人实际损失；②同时，每发生一次，要求供应商承担成交金额的5%的违约金；情节严重的，每次供应商需承担成交金额的10%的违约金；③供应商承担损失金额及违约金都将从合同款中扣除，扣除后不足部分由供应商补足。</w:t>
      </w:r>
    </w:p>
    <w:p w14:paraId="0FF9FCBB">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供应商应负责对医院相关人员进行系统培训，确保医院人员能够熟练掌握和应用系统。质保期内，应及时响应医院提出的技术问题和需求，并提供解决方案。定期对系统进行回访和评估，收集医院的反馈意见，对系统进行优化和改进</w:t>
      </w:r>
    </w:p>
    <w:p w14:paraId="1B4796CC">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（4）本项目将按照服务考核表对供应商的服务开展定期考核，考核结果将作为服务评价、款项支付的重要依据。服务考核表如下：</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 xml:space="preserve">                         </w:t>
      </w:r>
      <w:r>
        <w:rPr>
          <w:rFonts w:hint="eastAsia" w:ascii="微软雅黑" w:hAnsi="微软雅黑" w:eastAsia="微软雅黑" w:cs="微软雅黑"/>
          <w:b w:val="0"/>
          <w:bCs w:val="0"/>
          <w:color w:val="auto"/>
          <w:sz w:val="44"/>
          <w:szCs w:val="44"/>
          <w:lang w:val="en-US" w:eastAsia="zh-Hans"/>
        </w:rPr>
        <w:t>服务</w:t>
      </w:r>
      <w:r>
        <w:rPr>
          <w:rFonts w:hint="eastAsia" w:ascii="微软雅黑" w:hAnsi="微软雅黑" w:eastAsia="微软雅黑" w:cs="微软雅黑"/>
          <w:b w:val="0"/>
          <w:bCs w:val="0"/>
          <w:color w:val="auto"/>
          <w:sz w:val="44"/>
          <w:szCs w:val="44"/>
          <w:lang w:val="en-US" w:eastAsia="zh-CN"/>
        </w:rPr>
        <w:t>考核</w:t>
      </w:r>
      <w:r>
        <w:rPr>
          <w:rFonts w:hint="eastAsia" w:ascii="微软雅黑" w:hAnsi="微软雅黑" w:eastAsia="微软雅黑" w:cs="微软雅黑"/>
          <w:b w:val="0"/>
          <w:bCs w:val="0"/>
          <w:color w:val="auto"/>
          <w:sz w:val="44"/>
          <w:szCs w:val="44"/>
          <w:lang w:val="en-US" w:eastAsia="zh-Hans"/>
        </w:rPr>
        <w:t>表</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2"/>
        <w:gridCol w:w="1014"/>
        <w:gridCol w:w="2302"/>
        <w:gridCol w:w="2761"/>
        <w:gridCol w:w="690"/>
      </w:tblGrid>
      <w:tr w14:paraId="5978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028" w:type="pct"/>
            <w:vAlign w:val="center"/>
          </w:tcPr>
          <w:p w14:paraId="1868B2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考核项</w:t>
            </w:r>
          </w:p>
        </w:tc>
        <w:tc>
          <w:tcPr>
            <w:tcW w:w="1945" w:type="pct"/>
            <w:gridSpan w:val="2"/>
            <w:vAlign w:val="center"/>
          </w:tcPr>
          <w:p w14:paraId="654840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考核子项</w:t>
            </w:r>
          </w:p>
          <w:p w14:paraId="42B066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考核说明</w:t>
            </w:r>
          </w:p>
        </w:tc>
        <w:tc>
          <w:tcPr>
            <w:tcW w:w="1620" w:type="pct"/>
            <w:vAlign w:val="center"/>
          </w:tcPr>
          <w:p w14:paraId="343934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考核说明</w:t>
            </w:r>
          </w:p>
        </w:tc>
        <w:tc>
          <w:tcPr>
            <w:tcW w:w="404" w:type="pct"/>
            <w:vAlign w:val="center"/>
          </w:tcPr>
          <w:p w14:paraId="05660B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得分</w:t>
            </w:r>
          </w:p>
        </w:tc>
      </w:tr>
      <w:tr w14:paraId="2D3D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028" w:type="pct"/>
            <w:vMerge w:val="restart"/>
          </w:tcPr>
          <w:p w14:paraId="13F892EB">
            <w:pPr>
              <w:jc w:val="center"/>
              <w:rPr>
                <w:rFonts w:hint="eastAsia" w:ascii="仿宋_GB2312" w:hAnsi="仿宋_GB2312" w:eastAsia="仿宋_GB2312" w:cs="仿宋_GB2312"/>
                <w:i w:val="0"/>
                <w:iCs w:val="0"/>
                <w:color w:val="auto"/>
                <w:kern w:val="0"/>
                <w:sz w:val="21"/>
                <w:szCs w:val="21"/>
                <w:u w:val="none"/>
                <w:lang w:val="en-US" w:eastAsia="zh-CN" w:bidi="ar"/>
              </w:rPr>
            </w:pPr>
          </w:p>
          <w:p w14:paraId="2A915A23">
            <w:pPr>
              <w:jc w:val="center"/>
              <w:rPr>
                <w:rFonts w:hint="eastAsia" w:ascii="仿宋_GB2312" w:hAnsi="仿宋_GB2312" w:eastAsia="仿宋_GB2312" w:cs="仿宋_GB2312"/>
                <w:i w:val="0"/>
                <w:iCs w:val="0"/>
                <w:color w:val="auto"/>
                <w:kern w:val="0"/>
                <w:sz w:val="21"/>
                <w:szCs w:val="21"/>
                <w:u w:val="none"/>
                <w:lang w:val="en-US" w:eastAsia="zh-CN" w:bidi="ar"/>
              </w:rPr>
            </w:pPr>
          </w:p>
          <w:p w14:paraId="0DF58683">
            <w:pPr>
              <w:jc w:val="center"/>
              <w:rPr>
                <w:rFonts w:hint="eastAsia" w:ascii="仿宋_GB2312" w:hAnsi="仿宋_GB2312" w:eastAsia="仿宋_GB2312" w:cs="仿宋_GB2312"/>
                <w:i w:val="0"/>
                <w:iCs w:val="0"/>
                <w:color w:val="auto"/>
                <w:kern w:val="0"/>
                <w:sz w:val="21"/>
                <w:szCs w:val="21"/>
                <w:u w:val="none"/>
                <w:lang w:val="en-US" w:eastAsia="zh-CN" w:bidi="ar"/>
              </w:rPr>
            </w:pPr>
          </w:p>
          <w:p w14:paraId="43AD423F">
            <w:pPr>
              <w:jc w:val="center"/>
              <w:rPr>
                <w:rFonts w:hint="eastAsia" w:ascii="仿宋_GB2312" w:hAnsi="仿宋_GB2312" w:eastAsia="仿宋_GB2312" w:cs="仿宋_GB2312"/>
                <w:i w:val="0"/>
                <w:iCs w:val="0"/>
                <w:color w:val="auto"/>
                <w:kern w:val="0"/>
                <w:sz w:val="21"/>
                <w:szCs w:val="21"/>
                <w:u w:val="none"/>
                <w:lang w:val="en-US" w:eastAsia="zh-CN" w:bidi="ar"/>
              </w:rPr>
            </w:pPr>
          </w:p>
          <w:p w14:paraId="54B2C9AF">
            <w:pPr>
              <w:jc w:val="center"/>
              <w:rPr>
                <w:rFonts w:hint="eastAsia" w:ascii="仿宋_GB2312" w:hAnsi="仿宋_GB2312" w:eastAsia="仿宋_GB2312" w:cs="仿宋_GB2312"/>
                <w:i w:val="0"/>
                <w:iCs w:val="0"/>
                <w:color w:val="auto"/>
                <w:kern w:val="0"/>
                <w:sz w:val="21"/>
                <w:szCs w:val="21"/>
                <w:u w:val="none"/>
                <w:lang w:val="en-US" w:eastAsia="zh-CN" w:bidi="ar"/>
              </w:rPr>
            </w:pPr>
          </w:p>
          <w:p w14:paraId="09CD8B09">
            <w:pPr>
              <w:jc w:val="center"/>
              <w:rPr>
                <w:rFonts w:hint="eastAsia" w:ascii="仿宋_GB2312" w:hAnsi="仿宋_GB2312" w:eastAsia="仿宋_GB2312" w:cs="仿宋_GB2312"/>
                <w:i w:val="0"/>
                <w:iCs w:val="0"/>
                <w:color w:val="auto"/>
                <w:kern w:val="0"/>
                <w:sz w:val="21"/>
                <w:szCs w:val="21"/>
                <w:u w:val="none"/>
                <w:lang w:val="en-US" w:eastAsia="zh-CN" w:bidi="ar"/>
              </w:rPr>
            </w:pPr>
          </w:p>
          <w:p w14:paraId="3646D41B">
            <w:pPr>
              <w:jc w:val="center"/>
              <w:rPr>
                <w:rFonts w:hint="eastAsia" w:ascii="仿宋_GB2312" w:hAnsi="仿宋_GB2312" w:eastAsia="仿宋_GB2312" w:cs="仿宋_GB2312"/>
                <w:i w:val="0"/>
                <w:iCs w:val="0"/>
                <w:color w:val="auto"/>
                <w:kern w:val="0"/>
                <w:sz w:val="21"/>
                <w:szCs w:val="21"/>
                <w:u w:val="none"/>
                <w:lang w:val="en-US" w:eastAsia="zh-CN" w:bidi="ar"/>
              </w:rPr>
            </w:pPr>
          </w:p>
          <w:p w14:paraId="5F184E82">
            <w:pPr>
              <w:jc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满意度</w:t>
            </w:r>
          </w:p>
        </w:tc>
        <w:tc>
          <w:tcPr>
            <w:tcW w:w="595" w:type="pct"/>
            <w:vMerge w:val="restart"/>
            <w:vAlign w:val="center"/>
          </w:tcPr>
          <w:p w14:paraId="205311C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对响应满意度及产品质量评分</w:t>
            </w:r>
          </w:p>
        </w:tc>
        <w:tc>
          <w:tcPr>
            <w:tcW w:w="1350" w:type="pct"/>
            <w:vAlign w:val="center"/>
          </w:tcPr>
          <w:p w14:paraId="1A5EAAB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故障快速响应</w:t>
            </w:r>
          </w:p>
        </w:tc>
        <w:tc>
          <w:tcPr>
            <w:tcW w:w="1620" w:type="pct"/>
            <w:vAlign w:val="center"/>
          </w:tcPr>
          <w:p w14:paraId="2400E3D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出现故障能按约定时间及时处理 ，延误一次扣 10分</w:t>
            </w:r>
          </w:p>
        </w:tc>
        <w:tc>
          <w:tcPr>
            <w:tcW w:w="404" w:type="pct"/>
            <w:vMerge w:val="restart"/>
            <w:vAlign w:val="center"/>
          </w:tcPr>
          <w:p w14:paraId="412C2C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50</w:t>
            </w:r>
          </w:p>
        </w:tc>
      </w:tr>
      <w:tr w14:paraId="7F63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28" w:type="pct"/>
            <w:vMerge w:val="continue"/>
          </w:tcPr>
          <w:p w14:paraId="4F9383D7">
            <w:pPr>
              <w:rPr>
                <w:rFonts w:hint="eastAsia" w:ascii="仿宋_GB2312" w:hAnsi="仿宋_GB2312" w:eastAsia="仿宋_GB2312" w:cs="仿宋_GB2312"/>
                <w:i w:val="0"/>
                <w:iCs w:val="0"/>
                <w:color w:val="auto"/>
                <w:kern w:val="0"/>
                <w:sz w:val="21"/>
                <w:szCs w:val="21"/>
                <w:u w:val="none"/>
                <w:lang w:val="en-US" w:eastAsia="zh-CN" w:bidi="ar"/>
              </w:rPr>
            </w:pPr>
          </w:p>
        </w:tc>
        <w:tc>
          <w:tcPr>
            <w:tcW w:w="595" w:type="pct"/>
            <w:vMerge w:val="continue"/>
            <w:vAlign w:val="center"/>
          </w:tcPr>
          <w:p w14:paraId="648A85E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p>
        </w:tc>
        <w:tc>
          <w:tcPr>
            <w:tcW w:w="1350" w:type="pct"/>
            <w:vAlign w:val="center"/>
          </w:tcPr>
          <w:p w14:paraId="40EB89A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对整改意见及时响应</w:t>
            </w:r>
          </w:p>
        </w:tc>
        <w:tc>
          <w:tcPr>
            <w:tcW w:w="1620" w:type="pct"/>
            <w:vAlign w:val="center"/>
          </w:tcPr>
          <w:p w14:paraId="2E634D4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约定整改时间，逾期一次扣5分</w:t>
            </w:r>
          </w:p>
        </w:tc>
        <w:tc>
          <w:tcPr>
            <w:tcW w:w="404" w:type="pct"/>
            <w:vMerge w:val="continue"/>
            <w:vAlign w:val="center"/>
          </w:tcPr>
          <w:p w14:paraId="2C0C1A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5A19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28" w:type="pct"/>
            <w:vMerge w:val="continue"/>
          </w:tcPr>
          <w:p w14:paraId="28E4B94B">
            <w:pPr>
              <w:rPr>
                <w:rFonts w:hint="eastAsia" w:ascii="仿宋_GB2312" w:hAnsi="仿宋_GB2312" w:eastAsia="仿宋_GB2312" w:cs="仿宋_GB2312"/>
                <w:i w:val="0"/>
                <w:iCs w:val="0"/>
                <w:color w:val="auto"/>
                <w:kern w:val="0"/>
                <w:sz w:val="21"/>
                <w:szCs w:val="21"/>
                <w:u w:val="none"/>
                <w:lang w:val="en-US" w:eastAsia="zh-CN" w:bidi="ar"/>
              </w:rPr>
            </w:pPr>
          </w:p>
        </w:tc>
        <w:tc>
          <w:tcPr>
            <w:tcW w:w="595" w:type="pct"/>
            <w:vMerge w:val="continue"/>
            <w:vAlign w:val="center"/>
          </w:tcPr>
          <w:p w14:paraId="182A6E8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p>
        </w:tc>
        <w:tc>
          <w:tcPr>
            <w:tcW w:w="1350" w:type="pct"/>
            <w:vAlign w:val="center"/>
          </w:tcPr>
          <w:p w14:paraId="25F7F81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对优化意见及时响应</w:t>
            </w:r>
          </w:p>
        </w:tc>
        <w:tc>
          <w:tcPr>
            <w:tcW w:w="1620" w:type="pct"/>
            <w:vAlign w:val="center"/>
          </w:tcPr>
          <w:p w14:paraId="2309F0C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约定处理时间，逾期一次扣5分</w:t>
            </w:r>
          </w:p>
        </w:tc>
        <w:tc>
          <w:tcPr>
            <w:tcW w:w="404" w:type="pct"/>
            <w:vMerge w:val="continue"/>
            <w:vAlign w:val="center"/>
          </w:tcPr>
          <w:p w14:paraId="186AD20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423C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028" w:type="pct"/>
            <w:vMerge w:val="continue"/>
          </w:tcPr>
          <w:p w14:paraId="3C779EA8">
            <w:pPr>
              <w:rPr>
                <w:rFonts w:hint="eastAsia" w:ascii="仿宋_GB2312" w:hAnsi="仿宋_GB2312" w:eastAsia="仿宋_GB2312" w:cs="仿宋_GB2312"/>
                <w:i w:val="0"/>
                <w:iCs w:val="0"/>
                <w:color w:val="auto"/>
                <w:kern w:val="0"/>
                <w:sz w:val="21"/>
                <w:szCs w:val="21"/>
                <w:u w:val="none"/>
                <w:lang w:val="en-US" w:eastAsia="zh-CN" w:bidi="ar"/>
              </w:rPr>
            </w:pPr>
          </w:p>
        </w:tc>
        <w:tc>
          <w:tcPr>
            <w:tcW w:w="595" w:type="pct"/>
            <w:vMerge w:val="continue"/>
          </w:tcPr>
          <w:p w14:paraId="7138B947">
            <w:pPr>
              <w:rPr>
                <w:vertAlign w:val="baseline"/>
              </w:rPr>
            </w:pPr>
          </w:p>
        </w:tc>
        <w:tc>
          <w:tcPr>
            <w:tcW w:w="1350" w:type="pct"/>
            <w:vAlign w:val="center"/>
          </w:tcPr>
          <w:p w14:paraId="1277162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产品出现严重故障，影响使用</w:t>
            </w:r>
          </w:p>
        </w:tc>
        <w:tc>
          <w:tcPr>
            <w:tcW w:w="1620" w:type="pct"/>
            <w:vAlign w:val="center"/>
          </w:tcPr>
          <w:p w14:paraId="4CCF2B1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出现一次产品质量扣5分，出现一次影响患者就诊扣20分（导致患者报告有问题等）</w:t>
            </w:r>
          </w:p>
        </w:tc>
        <w:tc>
          <w:tcPr>
            <w:tcW w:w="404" w:type="pct"/>
            <w:vMerge w:val="continue"/>
            <w:vAlign w:val="center"/>
          </w:tcPr>
          <w:p w14:paraId="1D7F669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22B8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028" w:type="pct"/>
            <w:vMerge w:val="continue"/>
          </w:tcPr>
          <w:p w14:paraId="52289FB2">
            <w:pPr>
              <w:rPr>
                <w:rFonts w:hint="eastAsia" w:ascii="仿宋_GB2312" w:hAnsi="仿宋_GB2312" w:eastAsia="仿宋_GB2312" w:cs="仿宋_GB2312"/>
                <w:i w:val="0"/>
                <w:iCs w:val="0"/>
                <w:color w:val="auto"/>
                <w:kern w:val="0"/>
                <w:sz w:val="21"/>
                <w:szCs w:val="21"/>
                <w:u w:val="none"/>
                <w:lang w:val="en-US" w:eastAsia="zh-CN" w:bidi="ar"/>
              </w:rPr>
            </w:pPr>
          </w:p>
        </w:tc>
        <w:tc>
          <w:tcPr>
            <w:tcW w:w="595" w:type="pct"/>
            <w:vMerge w:val="continue"/>
          </w:tcPr>
          <w:p w14:paraId="47A295D9">
            <w:pPr>
              <w:rPr>
                <w:vertAlign w:val="baseline"/>
              </w:rPr>
            </w:pPr>
          </w:p>
        </w:tc>
        <w:tc>
          <w:tcPr>
            <w:tcW w:w="1350" w:type="pct"/>
            <w:vAlign w:val="center"/>
          </w:tcPr>
          <w:p w14:paraId="06D4D97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产品整改不彻底，问题反复出现</w:t>
            </w:r>
          </w:p>
        </w:tc>
        <w:tc>
          <w:tcPr>
            <w:tcW w:w="1620" w:type="pct"/>
            <w:vAlign w:val="center"/>
          </w:tcPr>
          <w:p w14:paraId="5890294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整改后再次发生扣10分</w:t>
            </w:r>
          </w:p>
        </w:tc>
        <w:tc>
          <w:tcPr>
            <w:tcW w:w="404" w:type="pct"/>
            <w:vMerge w:val="continue"/>
            <w:vAlign w:val="center"/>
          </w:tcPr>
          <w:p w14:paraId="0037B08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78BC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028" w:type="pct"/>
            <w:vMerge w:val="restart"/>
            <w:vAlign w:val="center"/>
          </w:tcPr>
          <w:p w14:paraId="1E4BAE05">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服务过程考核</w:t>
            </w:r>
          </w:p>
        </w:tc>
        <w:tc>
          <w:tcPr>
            <w:tcW w:w="595" w:type="pct"/>
            <w:vMerge w:val="restart"/>
            <w:vAlign w:val="center"/>
          </w:tcPr>
          <w:p w14:paraId="09F6D844">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仿宋_GB2312" w:eastAsia="仿宋_GB2312" w:cs="仿宋_GB2312"/>
                <w:b/>
                <w:bCs/>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流程、规范性遵从得分</w:t>
            </w:r>
            <w:r>
              <w:rPr>
                <w:rFonts w:hint="eastAsia" w:ascii="仿宋_GB2312" w:hAnsi="仿宋_GB2312" w:eastAsia="仿宋_GB2312" w:cs="仿宋_GB2312"/>
                <w:i w:val="0"/>
                <w:iCs w:val="0"/>
                <w:color w:val="auto"/>
                <w:kern w:val="0"/>
                <w:sz w:val="21"/>
                <w:szCs w:val="21"/>
                <w:u w:val="none"/>
                <w:lang w:val="en-US" w:eastAsia="zh-CN" w:bidi="ar"/>
              </w:rPr>
              <w:br w:type="textWrapping"/>
            </w:r>
          </w:p>
        </w:tc>
        <w:tc>
          <w:tcPr>
            <w:tcW w:w="1350" w:type="pct"/>
            <w:vAlign w:val="center"/>
          </w:tcPr>
          <w:p w14:paraId="3808717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按照采购文件规定的交付时间及地点完成系统交付</w:t>
            </w:r>
          </w:p>
        </w:tc>
        <w:tc>
          <w:tcPr>
            <w:tcW w:w="1620" w:type="pct"/>
            <w:vAlign w:val="center"/>
          </w:tcPr>
          <w:p w14:paraId="77ED731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未按照相关规定进行交付，且逾期15天扣10分</w:t>
            </w:r>
          </w:p>
        </w:tc>
        <w:tc>
          <w:tcPr>
            <w:tcW w:w="404" w:type="pct"/>
            <w:vMerge w:val="restart"/>
            <w:vAlign w:val="center"/>
          </w:tcPr>
          <w:p w14:paraId="2EF031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50</w:t>
            </w:r>
          </w:p>
        </w:tc>
      </w:tr>
      <w:tr w14:paraId="27B0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pct"/>
            <w:vMerge w:val="continue"/>
          </w:tcPr>
          <w:p w14:paraId="111A00F0">
            <w:pPr>
              <w:rPr>
                <w:vertAlign w:val="baseline"/>
              </w:rPr>
            </w:pPr>
          </w:p>
        </w:tc>
        <w:tc>
          <w:tcPr>
            <w:tcW w:w="595" w:type="pct"/>
            <w:vMerge w:val="continue"/>
          </w:tcPr>
          <w:p w14:paraId="613DDF69">
            <w:pPr>
              <w:rPr>
                <w:vertAlign w:val="baseline"/>
              </w:rPr>
            </w:pPr>
          </w:p>
        </w:tc>
        <w:tc>
          <w:tcPr>
            <w:tcW w:w="1350" w:type="pct"/>
            <w:vAlign w:val="center"/>
          </w:tcPr>
          <w:p w14:paraId="5BA9CEE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按合同要求安排现场实施人员和后期运维人员</w:t>
            </w:r>
          </w:p>
        </w:tc>
        <w:tc>
          <w:tcPr>
            <w:tcW w:w="1620" w:type="pct"/>
            <w:vAlign w:val="center"/>
          </w:tcPr>
          <w:p w14:paraId="68082AA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按合同要求安排符合要求的现场人员 ，每少一人扣 20分</w:t>
            </w:r>
          </w:p>
        </w:tc>
        <w:tc>
          <w:tcPr>
            <w:tcW w:w="404" w:type="pct"/>
            <w:vMerge w:val="continue"/>
            <w:vAlign w:val="center"/>
          </w:tcPr>
          <w:p w14:paraId="71B4050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16AC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028" w:type="pct"/>
            <w:vMerge w:val="continue"/>
            <w:vAlign w:val="center"/>
          </w:tcPr>
          <w:p w14:paraId="3758D8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595" w:type="pct"/>
            <w:vMerge w:val="restart"/>
            <w:vAlign w:val="center"/>
          </w:tcPr>
          <w:p w14:paraId="5C0198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沟通能力得分</w:t>
            </w:r>
            <w:r>
              <w:rPr>
                <w:rFonts w:hint="eastAsia" w:ascii="仿宋_GB2312" w:hAnsi="仿宋_GB2312" w:eastAsia="仿宋_GB2312" w:cs="仿宋_GB2312"/>
                <w:i w:val="0"/>
                <w:iCs w:val="0"/>
                <w:color w:val="auto"/>
                <w:kern w:val="0"/>
                <w:sz w:val="21"/>
                <w:szCs w:val="21"/>
                <w:u w:val="none"/>
                <w:lang w:val="en-US" w:eastAsia="zh-CN" w:bidi="ar"/>
              </w:rPr>
              <w:br w:type="textWrapping"/>
            </w:r>
          </w:p>
        </w:tc>
        <w:tc>
          <w:tcPr>
            <w:tcW w:w="1350" w:type="pct"/>
            <w:vAlign w:val="center"/>
          </w:tcPr>
          <w:p w14:paraId="1E33735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积极主动沟通，高效、准确了解医院需求</w:t>
            </w:r>
          </w:p>
        </w:tc>
        <w:tc>
          <w:tcPr>
            <w:tcW w:w="1620" w:type="pct"/>
            <w:vAlign w:val="center"/>
          </w:tcPr>
          <w:p w14:paraId="74B9EB1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懒散、被动且低效沟通，一次扣5分</w:t>
            </w:r>
          </w:p>
        </w:tc>
        <w:tc>
          <w:tcPr>
            <w:tcW w:w="404" w:type="pct"/>
            <w:vMerge w:val="continue"/>
            <w:vAlign w:val="center"/>
          </w:tcPr>
          <w:p w14:paraId="777CDFD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2554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028" w:type="pct"/>
            <w:vMerge w:val="continue"/>
          </w:tcPr>
          <w:p w14:paraId="40E8CAA6">
            <w:pPr>
              <w:rPr>
                <w:vertAlign w:val="baseline"/>
              </w:rPr>
            </w:pPr>
          </w:p>
        </w:tc>
        <w:tc>
          <w:tcPr>
            <w:tcW w:w="595" w:type="pct"/>
            <w:vMerge w:val="continue"/>
          </w:tcPr>
          <w:p w14:paraId="11BA46C7">
            <w:pPr>
              <w:rPr>
                <w:vertAlign w:val="baseline"/>
              </w:rPr>
            </w:pPr>
          </w:p>
        </w:tc>
        <w:tc>
          <w:tcPr>
            <w:tcW w:w="1350" w:type="pct"/>
            <w:vAlign w:val="center"/>
          </w:tcPr>
          <w:p w14:paraId="2319431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专人专职沟通</w:t>
            </w:r>
          </w:p>
        </w:tc>
        <w:tc>
          <w:tcPr>
            <w:tcW w:w="1620" w:type="pct"/>
            <w:vAlign w:val="center"/>
          </w:tcPr>
          <w:p w14:paraId="6211ECB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项目经理或需求对接人变更一人次扣 10分</w:t>
            </w:r>
          </w:p>
        </w:tc>
        <w:tc>
          <w:tcPr>
            <w:tcW w:w="404" w:type="pct"/>
            <w:vMerge w:val="continue"/>
            <w:vAlign w:val="center"/>
          </w:tcPr>
          <w:p w14:paraId="07BA041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042F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028" w:type="pct"/>
            <w:vMerge w:val="continue"/>
          </w:tcPr>
          <w:p w14:paraId="3AAEE035">
            <w:pPr>
              <w:rPr>
                <w:vertAlign w:val="baseline"/>
              </w:rPr>
            </w:pPr>
          </w:p>
        </w:tc>
        <w:tc>
          <w:tcPr>
            <w:tcW w:w="595" w:type="pct"/>
            <w:vMerge w:val="continue"/>
          </w:tcPr>
          <w:p w14:paraId="23E5DDBD">
            <w:pPr>
              <w:rPr>
                <w:vertAlign w:val="baseline"/>
              </w:rPr>
            </w:pPr>
          </w:p>
        </w:tc>
        <w:tc>
          <w:tcPr>
            <w:tcW w:w="1350" w:type="pct"/>
            <w:vAlign w:val="center"/>
          </w:tcPr>
          <w:p w14:paraId="713E3A2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现场有人沟通</w:t>
            </w:r>
          </w:p>
        </w:tc>
        <w:tc>
          <w:tcPr>
            <w:tcW w:w="1620" w:type="pct"/>
            <w:vAlign w:val="center"/>
          </w:tcPr>
          <w:p w14:paraId="4929B68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要求现场沟通，厂家要求线上沟通一次扣 5分</w:t>
            </w:r>
          </w:p>
        </w:tc>
        <w:tc>
          <w:tcPr>
            <w:tcW w:w="404" w:type="pct"/>
            <w:vMerge w:val="continue"/>
            <w:vAlign w:val="center"/>
          </w:tcPr>
          <w:p w14:paraId="14C571C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7624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974" w:type="pct"/>
            <w:gridSpan w:val="3"/>
          </w:tcPr>
          <w:p w14:paraId="7273779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p>
          <w:p w14:paraId="64189D4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考核人：信息化部</w:t>
            </w:r>
          </w:p>
        </w:tc>
        <w:tc>
          <w:tcPr>
            <w:tcW w:w="2025" w:type="pct"/>
            <w:gridSpan w:val="2"/>
            <w:vAlign w:val="center"/>
          </w:tcPr>
          <w:p w14:paraId="674627D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考核时间：</w:t>
            </w:r>
          </w:p>
        </w:tc>
      </w:tr>
    </w:tbl>
    <w:p w14:paraId="555ABAD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b/>
          <w:bCs/>
          <w:kern w:val="2"/>
          <w:sz w:val="24"/>
          <w:szCs w:val="24"/>
          <w:highlight w:val="none"/>
          <w:lang w:val="en-US" w:eastAsia="zh-CN" w:bidi="ar-SA"/>
        </w:rPr>
        <w:t>考核说明：</w:t>
      </w:r>
      <w:r>
        <w:rPr>
          <w:rFonts w:hint="eastAsia" w:ascii="仿宋" w:hAnsi="仿宋" w:eastAsia="仿宋" w:cs="仿宋"/>
          <w:kern w:val="2"/>
          <w:sz w:val="24"/>
          <w:szCs w:val="24"/>
          <w:highlight w:val="none"/>
          <w:lang w:val="en-US" w:eastAsia="zh-CN" w:bidi="ar-SA"/>
        </w:rPr>
        <w:t>针对信息服务项目进行考核，根据考核结果为依据，考核评分在90分及以上为优秀，全额支付当期应付款项；考核评分在80分≤得分＜90分为一般，每降低1分则扣减当期应付款项的0.5%（以合同约定为准），以此类推；考核评分＜80分视为重大违约，甲方有权单方终止合同，并无需支付当期服务费。</w:t>
      </w:r>
    </w:p>
    <w:p w14:paraId="35E113C6">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 知识产权</w:t>
      </w:r>
    </w:p>
    <w:p w14:paraId="6959189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52726296">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（2）本项目相关的知识产权及源代码（如有）归采购人所有。</w:t>
      </w:r>
    </w:p>
    <w:p w14:paraId="3D0C8196">
      <w:pPr>
        <w:pStyle w:val="2"/>
        <w:rPr>
          <w:rFonts w:hint="eastAsia" w:ascii="仿宋" w:hAnsi="仿宋" w:eastAsia="仿宋" w:cs="仿宋"/>
          <w:highlight w:val="none"/>
          <w:lang w:val="en-US" w:eastAsia="zh-CN"/>
        </w:rPr>
      </w:pPr>
    </w:p>
    <w:p w14:paraId="4D357B52">
      <w:pPr>
        <w:pStyle w:val="5"/>
        <w:keepNext w:val="0"/>
        <w:keepLines w:val="0"/>
        <w:pageBreakBefore w:val="0"/>
        <w:numPr>
          <w:ilvl w:val="0"/>
          <w:numId w:val="0"/>
        </w:numPr>
        <w:kinsoku/>
        <w:wordWrap/>
        <w:overflowPunct/>
        <w:topLinePunct w:val="0"/>
        <w:autoSpaceDE/>
        <w:autoSpaceDN/>
        <w:bidi w:val="0"/>
        <w:spacing w:line="400" w:lineRule="exact"/>
        <w:rPr>
          <w:rFonts w:hint="eastAsia" w:ascii="仿宋" w:hAnsi="仿宋" w:eastAsia="仿宋" w:cs="仿宋"/>
          <w:b w:val="0"/>
          <w:bCs/>
          <w:i w:val="0"/>
          <w:caps w:val="0"/>
          <w:color w:val="000000"/>
          <w:spacing w:val="0"/>
          <w:sz w:val="28"/>
          <w:szCs w:val="28"/>
          <w:highlight w:val="none"/>
          <w:shd w:val="clear" w:fill="FFFFFF"/>
          <w:lang w:val="en-US" w:eastAsia="zh-CN"/>
        </w:rPr>
      </w:pPr>
    </w:p>
    <w:p w14:paraId="69B6AAD5">
      <w:pPr>
        <w:rPr>
          <w:rFonts w:hint="eastAsia" w:ascii="仿宋" w:hAnsi="仿宋" w:eastAsia="仿宋" w:cs="仿宋"/>
          <w:b w:val="0"/>
          <w:bCs/>
          <w:i w:val="0"/>
          <w:caps w:val="0"/>
          <w:color w:val="000000"/>
          <w:spacing w:val="0"/>
          <w:sz w:val="28"/>
          <w:szCs w:val="28"/>
          <w:highlight w:val="none"/>
          <w:shd w:val="clear" w:fill="FFFFFF"/>
          <w:lang w:val="en-US" w:eastAsia="zh-CN"/>
        </w:rPr>
      </w:pPr>
      <w:r>
        <w:rPr>
          <w:rFonts w:hint="eastAsia" w:ascii="仿宋" w:hAnsi="仿宋" w:eastAsia="仿宋" w:cs="仿宋"/>
          <w:b w:val="0"/>
          <w:bCs/>
          <w:i w:val="0"/>
          <w:caps w:val="0"/>
          <w:color w:val="000000"/>
          <w:spacing w:val="0"/>
          <w:sz w:val="28"/>
          <w:szCs w:val="28"/>
          <w:highlight w:val="none"/>
          <w:shd w:val="clear" w:fill="FFFFFF"/>
          <w:lang w:val="en-US" w:eastAsia="zh-CN"/>
        </w:rPr>
        <w:br w:type="page"/>
      </w:r>
    </w:p>
    <w:p w14:paraId="4E78ABAA">
      <w:pPr>
        <w:pStyle w:val="5"/>
        <w:keepNext w:val="0"/>
        <w:keepLines w:val="0"/>
        <w:pageBreakBefore w:val="0"/>
        <w:numPr>
          <w:ilvl w:val="0"/>
          <w:numId w:val="0"/>
        </w:numPr>
        <w:kinsoku/>
        <w:wordWrap/>
        <w:overflowPunct/>
        <w:topLinePunct w:val="0"/>
        <w:autoSpaceDE/>
        <w:autoSpaceDN/>
        <w:bidi w:val="0"/>
        <w:spacing w:line="400" w:lineRule="exact"/>
        <w:outlineLvl w:val="0"/>
        <w:rPr>
          <w:rFonts w:hint="eastAsia" w:ascii="仿宋" w:hAnsi="仿宋" w:eastAsia="仿宋" w:cs="仿宋"/>
          <w:b w:val="0"/>
          <w:bCs/>
          <w:i w:val="0"/>
          <w:caps w:val="0"/>
          <w:color w:val="000000"/>
          <w:spacing w:val="0"/>
          <w:sz w:val="28"/>
          <w:szCs w:val="28"/>
          <w:highlight w:val="none"/>
          <w:shd w:val="clear" w:fill="FFFFFF"/>
        </w:rPr>
      </w:pPr>
      <w:r>
        <w:rPr>
          <w:rFonts w:hint="eastAsia" w:ascii="仿宋" w:hAnsi="仿宋" w:eastAsia="仿宋" w:cs="仿宋"/>
          <w:b w:val="0"/>
          <w:bCs/>
          <w:i w:val="0"/>
          <w:caps w:val="0"/>
          <w:color w:val="000000"/>
          <w:spacing w:val="0"/>
          <w:sz w:val="28"/>
          <w:szCs w:val="28"/>
          <w:highlight w:val="none"/>
          <w:shd w:val="clear" w:fill="FFFFFF"/>
          <w:lang w:val="en-US" w:eastAsia="zh-CN"/>
        </w:rPr>
        <w:t>附件2：</w:t>
      </w:r>
      <w:r>
        <w:rPr>
          <w:rFonts w:hint="eastAsia" w:ascii="仿宋" w:hAnsi="仿宋" w:eastAsia="仿宋" w:cs="仿宋"/>
          <w:b w:val="0"/>
          <w:bCs/>
          <w:i w:val="0"/>
          <w:caps w:val="0"/>
          <w:color w:val="000000"/>
          <w:spacing w:val="0"/>
          <w:sz w:val="28"/>
          <w:szCs w:val="28"/>
          <w:highlight w:val="none"/>
          <w:shd w:val="clear" w:fill="FFFFFF"/>
        </w:rPr>
        <w:t>评审办法</w:t>
      </w:r>
    </w:p>
    <w:p w14:paraId="6E9E5F23">
      <w:pPr>
        <w:pStyle w:val="5"/>
        <w:keepNext w:val="0"/>
        <w:keepLines w:val="0"/>
        <w:pageBreakBefore w:val="0"/>
        <w:numPr>
          <w:ilvl w:val="0"/>
          <w:numId w:val="0"/>
        </w:numPr>
        <w:kinsoku/>
        <w:wordWrap/>
        <w:overflowPunct/>
        <w:topLinePunct w:val="0"/>
        <w:autoSpaceDE/>
        <w:autoSpaceDN/>
        <w:bidi w:val="0"/>
        <w:spacing w:line="400" w:lineRule="exact"/>
        <w:rPr>
          <w:rFonts w:hint="eastAsia" w:ascii="仿宋" w:hAnsi="仿宋" w:eastAsia="仿宋" w:cs="仿宋"/>
          <w:b w:val="0"/>
          <w:bCs/>
          <w:i w:val="0"/>
          <w:caps w:val="0"/>
          <w:color w:val="000000"/>
          <w:spacing w:val="0"/>
          <w:sz w:val="28"/>
          <w:szCs w:val="28"/>
          <w:highlight w:val="none"/>
          <w:shd w:val="clear" w:fill="FFFFFF"/>
        </w:rPr>
      </w:pP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321"/>
        <w:gridCol w:w="943"/>
        <w:gridCol w:w="4317"/>
        <w:gridCol w:w="1111"/>
      </w:tblGrid>
      <w:tr w14:paraId="0275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85" w:type="pct"/>
            <w:shd w:val="clear" w:color="auto" w:fill="auto"/>
            <w:vAlign w:val="center"/>
          </w:tcPr>
          <w:p w14:paraId="501A3C14">
            <w:pPr>
              <w:wordWrap w:val="0"/>
              <w:overflowPunct w:val="0"/>
              <w:topLinePunct/>
              <w:spacing w:line="360" w:lineRule="auto"/>
              <w:jc w:val="center"/>
              <w:textAlignment w:val="center"/>
              <w:rPr>
                <w:rFonts w:hint="eastAsia" w:ascii="仿宋" w:hAnsi="仿宋" w:eastAsia="仿宋" w:cs="仿宋"/>
                <w:b/>
                <w:bCs w:val="0"/>
                <w:color w:val="000000"/>
                <w:sz w:val="24"/>
                <w:szCs w:val="24"/>
                <w:highlight w:val="none"/>
              </w:rPr>
            </w:pPr>
            <w:r>
              <w:rPr>
                <w:rFonts w:hint="eastAsia" w:ascii="仿宋" w:hAnsi="仿宋" w:eastAsia="仿宋" w:cs="仿宋"/>
                <w:b/>
                <w:bCs w:val="0"/>
                <w:sz w:val="24"/>
                <w:szCs w:val="24"/>
              </w:rPr>
              <w:t>序号</w:t>
            </w:r>
          </w:p>
        </w:tc>
        <w:tc>
          <w:tcPr>
            <w:tcW w:w="775" w:type="pct"/>
            <w:shd w:val="clear" w:color="auto" w:fill="auto"/>
            <w:vAlign w:val="center"/>
          </w:tcPr>
          <w:p w14:paraId="197F997E">
            <w:pPr>
              <w:wordWrap w:val="0"/>
              <w:overflowPunct w:val="0"/>
              <w:topLinePunct/>
              <w:spacing w:line="360" w:lineRule="auto"/>
              <w:jc w:val="center"/>
              <w:textAlignment w:val="center"/>
              <w:rPr>
                <w:rFonts w:hint="eastAsia" w:ascii="仿宋" w:hAnsi="仿宋" w:eastAsia="仿宋" w:cs="仿宋"/>
                <w:b/>
                <w:bCs w:val="0"/>
                <w:color w:val="000000"/>
                <w:sz w:val="24"/>
                <w:szCs w:val="24"/>
                <w:highlight w:val="none"/>
              </w:rPr>
            </w:pPr>
            <w:r>
              <w:rPr>
                <w:rFonts w:hint="eastAsia" w:ascii="仿宋" w:hAnsi="仿宋" w:eastAsia="仿宋" w:cs="仿宋"/>
                <w:b/>
                <w:bCs w:val="0"/>
                <w:sz w:val="24"/>
                <w:szCs w:val="24"/>
              </w:rPr>
              <w:t>评分因素</w:t>
            </w:r>
          </w:p>
        </w:tc>
        <w:tc>
          <w:tcPr>
            <w:tcW w:w="553" w:type="pct"/>
            <w:shd w:val="clear" w:color="auto" w:fill="auto"/>
            <w:vAlign w:val="center"/>
          </w:tcPr>
          <w:p w14:paraId="4F304286">
            <w:pPr>
              <w:wordWrap w:val="0"/>
              <w:overflowPunct w:val="0"/>
              <w:topLinePunct/>
              <w:spacing w:line="360" w:lineRule="auto"/>
              <w:jc w:val="center"/>
              <w:textAlignment w:val="center"/>
              <w:rPr>
                <w:rFonts w:hint="eastAsia" w:ascii="仿宋" w:hAnsi="仿宋" w:eastAsia="仿宋" w:cs="仿宋"/>
                <w:b/>
                <w:bCs w:val="0"/>
                <w:color w:val="000000"/>
                <w:sz w:val="24"/>
                <w:szCs w:val="24"/>
                <w:highlight w:val="none"/>
              </w:rPr>
            </w:pPr>
            <w:r>
              <w:rPr>
                <w:rFonts w:hint="eastAsia" w:ascii="仿宋" w:hAnsi="仿宋" w:eastAsia="仿宋" w:cs="仿宋"/>
                <w:b/>
                <w:bCs w:val="0"/>
                <w:sz w:val="24"/>
                <w:szCs w:val="24"/>
              </w:rPr>
              <w:t>分值</w:t>
            </w:r>
          </w:p>
        </w:tc>
        <w:tc>
          <w:tcPr>
            <w:tcW w:w="2533" w:type="pct"/>
            <w:shd w:val="clear" w:color="auto" w:fill="auto"/>
            <w:vAlign w:val="center"/>
          </w:tcPr>
          <w:p w14:paraId="09750106">
            <w:pPr>
              <w:wordWrap w:val="0"/>
              <w:overflowPunct w:val="0"/>
              <w:topLinePunct/>
              <w:spacing w:line="360" w:lineRule="auto"/>
              <w:jc w:val="center"/>
              <w:textAlignment w:val="center"/>
              <w:rPr>
                <w:rFonts w:hint="eastAsia" w:ascii="仿宋" w:hAnsi="仿宋" w:eastAsia="仿宋" w:cs="仿宋"/>
                <w:b/>
                <w:bCs w:val="0"/>
                <w:sz w:val="24"/>
                <w:szCs w:val="24"/>
                <w:highlight w:val="none"/>
              </w:rPr>
            </w:pPr>
            <w:r>
              <w:rPr>
                <w:rFonts w:hint="eastAsia" w:ascii="仿宋" w:hAnsi="仿宋" w:eastAsia="仿宋" w:cs="仿宋"/>
                <w:b/>
                <w:bCs w:val="0"/>
                <w:sz w:val="24"/>
                <w:szCs w:val="24"/>
              </w:rPr>
              <w:t>评分标准</w:t>
            </w:r>
          </w:p>
        </w:tc>
        <w:tc>
          <w:tcPr>
            <w:tcW w:w="652" w:type="pct"/>
            <w:shd w:val="clear" w:color="auto" w:fill="auto"/>
            <w:vAlign w:val="center"/>
          </w:tcPr>
          <w:p w14:paraId="68B4FDB2">
            <w:pPr>
              <w:wordWrap w:val="0"/>
              <w:overflowPunct w:val="0"/>
              <w:topLinePunct/>
              <w:spacing w:line="440" w:lineRule="exact"/>
              <w:jc w:val="center"/>
              <w:textAlignment w:val="center"/>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rPr>
              <w:t>说明</w:t>
            </w:r>
          </w:p>
        </w:tc>
      </w:tr>
      <w:tr w14:paraId="7BFF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5" w:type="pct"/>
            <w:shd w:val="clear" w:color="auto" w:fill="auto"/>
            <w:vAlign w:val="center"/>
          </w:tcPr>
          <w:p w14:paraId="73372080">
            <w:pPr>
              <w:spacing w:line="360" w:lineRule="auto"/>
              <w:ind w:firstLine="28" w:firstLineChars="0"/>
              <w:jc w:val="center"/>
              <w:rPr>
                <w:rFonts w:hint="eastAsia" w:ascii="仿宋" w:hAnsi="仿宋" w:eastAsia="仿宋" w:cs="仿宋"/>
                <w:b/>
                <w:sz w:val="24"/>
                <w:szCs w:val="24"/>
                <w:highlight w:val="none"/>
              </w:rPr>
            </w:pPr>
            <w:r>
              <w:rPr>
                <w:rFonts w:hint="eastAsia" w:ascii="仿宋" w:hAnsi="仿宋" w:eastAsia="仿宋" w:cs="仿宋"/>
                <w:sz w:val="24"/>
                <w:szCs w:val="24"/>
              </w:rPr>
              <w:t>1</w:t>
            </w:r>
          </w:p>
        </w:tc>
        <w:tc>
          <w:tcPr>
            <w:tcW w:w="775" w:type="pct"/>
            <w:shd w:val="clear" w:color="auto" w:fill="auto"/>
            <w:vAlign w:val="center"/>
          </w:tcPr>
          <w:p w14:paraId="24E6BFF2">
            <w:pPr>
              <w:spacing w:line="360" w:lineRule="auto"/>
              <w:jc w:val="center"/>
              <w:rPr>
                <w:rFonts w:hint="eastAsia" w:ascii="仿宋" w:hAnsi="仿宋" w:eastAsia="仿宋" w:cs="仿宋"/>
                <w:b/>
                <w:sz w:val="24"/>
                <w:szCs w:val="24"/>
                <w:highlight w:val="none"/>
              </w:rPr>
            </w:pPr>
            <w:r>
              <w:rPr>
                <w:rFonts w:hint="eastAsia" w:ascii="仿宋" w:hAnsi="仿宋" w:eastAsia="仿宋" w:cs="仿宋"/>
                <w:bCs/>
                <w:sz w:val="24"/>
                <w:szCs w:val="24"/>
                <w:lang w:val="en-US" w:eastAsia="zh-CN"/>
              </w:rPr>
              <w:t>报价</w:t>
            </w:r>
          </w:p>
        </w:tc>
        <w:tc>
          <w:tcPr>
            <w:tcW w:w="553" w:type="pct"/>
            <w:shd w:val="clear" w:color="auto" w:fill="auto"/>
            <w:vAlign w:val="center"/>
          </w:tcPr>
          <w:p w14:paraId="435E719E">
            <w:pPr>
              <w:spacing w:line="360" w:lineRule="auto"/>
              <w:jc w:val="center"/>
              <w:rPr>
                <w:rFonts w:hint="eastAsia" w:ascii="仿宋" w:hAnsi="仿宋" w:eastAsia="仿宋" w:cs="仿宋"/>
                <w:b/>
                <w:sz w:val="24"/>
                <w:szCs w:val="24"/>
                <w:highlight w:val="none"/>
              </w:rPr>
            </w:pPr>
            <w:r>
              <w:rPr>
                <w:rFonts w:hint="eastAsia" w:ascii="仿宋" w:hAnsi="仿宋" w:eastAsia="仿宋" w:cs="仿宋"/>
                <w:i w:val="0"/>
                <w:caps w:val="0"/>
                <w:color w:val="000000"/>
                <w:spacing w:val="0"/>
                <w:sz w:val="24"/>
                <w:szCs w:val="24"/>
                <w:shd w:val="clear" w:color="auto" w:fill="FFFFFF"/>
              </w:rPr>
              <w:t>25分</w:t>
            </w:r>
          </w:p>
        </w:tc>
        <w:tc>
          <w:tcPr>
            <w:tcW w:w="2533" w:type="pct"/>
            <w:shd w:val="clear" w:color="auto" w:fill="auto"/>
            <w:vAlign w:val="center"/>
          </w:tcPr>
          <w:p w14:paraId="5185937F">
            <w:pPr>
              <w:spacing w:line="360" w:lineRule="auto"/>
              <w:rPr>
                <w:rFonts w:hint="eastAsia" w:ascii="仿宋" w:hAnsi="仿宋" w:eastAsia="仿宋" w:cs="仿宋"/>
                <w:b/>
                <w:sz w:val="24"/>
                <w:szCs w:val="24"/>
                <w:highlight w:val="none"/>
              </w:rPr>
            </w:pPr>
            <w:r>
              <w:rPr>
                <w:rFonts w:hint="eastAsia" w:ascii="仿宋" w:hAnsi="仿宋" w:eastAsia="仿宋" w:cs="仿宋"/>
                <w:bCs/>
                <w:sz w:val="24"/>
                <w:szCs w:val="24"/>
              </w:rPr>
              <w:t>满足招标文件要求且以投标价最低的为评标基准价，其价格分为25分。其他</w:t>
            </w:r>
            <w:r>
              <w:rPr>
                <w:rFonts w:hint="eastAsia" w:ascii="仿宋" w:hAnsi="仿宋" w:eastAsia="仿宋" w:cs="仿宋"/>
                <w:bCs/>
                <w:sz w:val="24"/>
                <w:szCs w:val="24"/>
                <w:lang w:val="en-US" w:eastAsia="zh-CN"/>
              </w:rPr>
              <w:t>投标人</w:t>
            </w:r>
            <w:r>
              <w:rPr>
                <w:rFonts w:hint="eastAsia" w:ascii="仿宋" w:hAnsi="仿宋" w:eastAsia="仿宋" w:cs="仿宋"/>
                <w:bCs/>
                <w:sz w:val="24"/>
                <w:szCs w:val="24"/>
              </w:rPr>
              <w:t>价格分统一按照以下公式计算：价格分=(评标基准价／投标报价)×25</w:t>
            </w:r>
          </w:p>
        </w:tc>
        <w:tc>
          <w:tcPr>
            <w:tcW w:w="652" w:type="pct"/>
            <w:shd w:val="clear" w:color="auto" w:fill="auto"/>
            <w:vAlign w:val="center"/>
          </w:tcPr>
          <w:p w14:paraId="0C783E6A">
            <w:pPr>
              <w:wordWrap w:val="0"/>
              <w:overflowPunct w:val="0"/>
              <w:topLinePunct/>
              <w:spacing w:line="440" w:lineRule="exact"/>
              <w:jc w:val="center"/>
              <w:textAlignment w:val="center"/>
              <w:rPr>
                <w:rFonts w:hint="eastAsia" w:ascii="仿宋" w:hAnsi="仿宋" w:eastAsia="仿宋" w:cs="仿宋"/>
                <w:b/>
                <w:bCs/>
                <w:sz w:val="24"/>
                <w:szCs w:val="24"/>
                <w:highlight w:val="none"/>
              </w:rPr>
            </w:pPr>
            <w:r>
              <w:rPr>
                <w:rFonts w:hint="eastAsia" w:ascii="仿宋" w:hAnsi="仿宋" w:eastAsia="仿宋" w:cs="仿宋"/>
                <w:bCs/>
                <w:sz w:val="24"/>
                <w:szCs w:val="24"/>
                <w:lang w:val="en-US" w:eastAsia="zh-CN"/>
              </w:rPr>
              <w:t>客观分</w:t>
            </w:r>
          </w:p>
        </w:tc>
      </w:tr>
      <w:tr w14:paraId="1FAB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5" w:type="pct"/>
            <w:shd w:val="clear" w:color="auto" w:fill="auto"/>
            <w:vAlign w:val="center"/>
          </w:tcPr>
          <w:p w14:paraId="05E41895">
            <w:pPr>
              <w:spacing w:line="360" w:lineRule="auto"/>
              <w:ind w:firstLine="28" w:firstLineChars="0"/>
              <w:jc w:val="center"/>
              <w:rPr>
                <w:rFonts w:hint="eastAsia" w:ascii="仿宋" w:hAnsi="仿宋" w:eastAsia="仿宋" w:cs="仿宋"/>
                <w:b/>
                <w:sz w:val="24"/>
                <w:szCs w:val="24"/>
                <w:highlight w:val="none"/>
              </w:rPr>
            </w:pPr>
            <w:r>
              <w:rPr>
                <w:rFonts w:hint="eastAsia" w:ascii="仿宋" w:hAnsi="仿宋" w:eastAsia="仿宋" w:cs="仿宋"/>
                <w:sz w:val="24"/>
                <w:szCs w:val="24"/>
              </w:rPr>
              <w:t>2</w:t>
            </w:r>
          </w:p>
        </w:tc>
        <w:tc>
          <w:tcPr>
            <w:tcW w:w="775" w:type="pct"/>
            <w:shd w:val="clear" w:color="auto" w:fill="auto"/>
            <w:vAlign w:val="center"/>
          </w:tcPr>
          <w:p w14:paraId="1A8FCBE5">
            <w:pPr>
              <w:spacing w:line="360" w:lineRule="auto"/>
              <w:jc w:val="center"/>
              <w:rPr>
                <w:rFonts w:hint="eastAsia" w:ascii="仿宋" w:hAnsi="仿宋" w:eastAsia="仿宋" w:cs="仿宋"/>
                <w:b/>
                <w:sz w:val="24"/>
                <w:szCs w:val="24"/>
                <w:highlight w:val="none"/>
              </w:rPr>
            </w:pPr>
            <w:r>
              <w:rPr>
                <w:rFonts w:hint="eastAsia" w:ascii="仿宋" w:hAnsi="仿宋" w:eastAsia="仿宋" w:cs="仿宋"/>
                <w:sz w:val="24"/>
                <w:szCs w:val="24"/>
                <w:lang w:val="en-US" w:eastAsia="zh-CN"/>
              </w:rPr>
              <w:t>技术要求</w:t>
            </w:r>
          </w:p>
        </w:tc>
        <w:tc>
          <w:tcPr>
            <w:tcW w:w="553" w:type="pct"/>
            <w:shd w:val="clear" w:color="auto" w:fill="auto"/>
            <w:vAlign w:val="center"/>
          </w:tcPr>
          <w:p w14:paraId="198DD9C6">
            <w:pPr>
              <w:spacing w:line="360" w:lineRule="auto"/>
              <w:jc w:val="center"/>
              <w:rPr>
                <w:rFonts w:hint="eastAsia" w:ascii="仿宋" w:hAnsi="仿宋" w:eastAsia="仿宋" w:cs="仿宋"/>
                <w:b/>
                <w:sz w:val="24"/>
                <w:szCs w:val="24"/>
                <w:highlight w:val="none"/>
              </w:rPr>
            </w:pPr>
            <w:r>
              <w:rPr>
                <w:rFonts w:hint="eastAsia" w:ascii="仿宋" w:hAnsi="仿宋" w:eastAsia="仿宋" w:cs="仿宋"/>
                <w:i w:val="0"/>
                <w:caps w:val="0"/>
                <w:color w:val="000000"/>
                <w:spacing w:val="0"/>
                <w:sz w:val="24"/>
                <w:szCs w:val="24"/>
                <w:shd w:val="clear" w:color="auto" w:fill="FFFFFF"/>
              </w:rPr>
              <w:t>36分</w:t>
            </w:r>
          </w:p>
        </w:tc>
        <w:tc>
          <w:tcPr>
            <w:tcW w:w="2533" w:type="pct"/>
            <w:shd w:val="clear" w:color="auto" w:fill="auto"/>
            <w:vAlign w:val="center"/>
          </w:tcPr>
          <w:p w14:paraId="6CD553C4">
            <w:pPr>
              <w:spacing w:line="360" w:lineRule="auto"/>
              <w:rPr>
                <w:rFonts w:hint="eastAsia" w:ascii="仿宋" w:hAnsi="仿宋" w:eastAsia="仿宋" w:cs="仿宋"/>
                <w:b/>
                <w:sz w:val="24"/>
                <w:szCs w:val="24"/>
                <w:highlight w:val="none"/>
              </w:rPr>
            </w:pPr>
            <w:r>
              <w:rPr>
                <w:rFonts w:hint="eastAsia" w:ascii="仿宋" w:hAnsi="仿宋" w:eastAsia="仿宋" w:cs="仿宋"/>
                <w:sz w:val="24"/>
                <w:szCs w:val="24"/>
              </w:rPr>
              <w:t>投标人按技术参数要求中的编号逐条应答，完全符合采购文件技术参数及服务要求没有负偏离的得</w:t>
            </w:r>
            <w:r>
              <w:rPr>
                <w:rFonts w:hint="eastAsia" w:ascii="仿宋" w:hAnsi="仿宋" w:eastAsia="仿宋" w:cs="仿宋"/>
                <w:sz w:val="24"/>
                <w:szCs w:val="24"/>
                <w:lang w:val="en-US" w:eastAsia="zh-CN"/>
              </w:rPr>
              <w:t>36</w:t>
            </w:r>
            <w:r>
              <w:rPr>
                <w:rFonts w:hint="eastAsia" w:ascii="仿宋" w:hAnsi="仿宋" w:eastAsia="仿宋" w:cs="仿宋"/>
                <w:sz w:val="24"/>
                <w:szCs w:val="24"/>
              </w:rPr>
              <w:t>分；带“★”的条款为实质性参数，不允许负偏离，凡有一项不满足的作无效响应处理。“▲”的条款为重要参数，重点参数条款响应得分=（投标人满足</w:t>
            </w:r>
            <w:r>
              <w:rPr>
                <w:rFonts w:hint="eastAsia" w:ascii="仿宋" w:hAnsi="仿宋" w:eastAsia="仿宋" w:cs="仿宋"/>
                <w:sz w:val="24"/>
                <w:szCs w:val="24"/>
                <w:lang w:val="en-US" w:eastAsia="zh-CN"/>
              </w:rPr>
              <w:t>重要</w:t>
            </w:r>
            <w:r>
              <w:rPr>
                <w:rFonts w:hint="eastAsia" w:ascii="仿宋" w:hAnsi="仿宋" w:eastAsia="仿宋" w:cs="仿宋"/>
                <w:sz w:val="24"/>
                <w:szCs w:val="24"/>
              </w:rPr>
              <w:t>参数条款的数量÷</w:t>
            </w:r>
            <w:r>
              <w:rPr>
                <w:rFonts w:hint="eastAsia" w:ascii="仿宋" w:hAnsi="仿宋" w:eastAsia="仿宋" w:cs="仿宋"/>
                <w:sz w:val="24"/>
                <w:szCs w:val="24"/>
                <w:lang w:val="en-US" w:eastAsia="zh-CN"/>
              </w:rPr>
              <w:t>采购</w:t>
            </w:r>
            <w:r>
              <w:rPr>
                <w:rFonts w:hint="eastAsia" w:ascii="仿宋" w:hAnsi="仿宋" w:eastAsia="仿宋" w:cs="仿宋"/>
                <w:sz w:val="24"/>
                <w:szCs w:val="24"/>
              </w:rPr>
              <w:t>文件中</w:t>
            </w:r>
            <w:r>
              <w:rPr>
                <w:rFonts w:hint="eastAsia" w:ascii="仿宋" w:hAnsi="仿宋" w:eastAsia="仿宋" w:cs="仿宋"/>
                <w:sz w:val="24"/>
                <w:szCs w:val="24"/>
                <w:lang w:val="en-US" w:eastAsia="zh-CN"/>
              </w:rPr>
              <w:t>重要</w:t>
            </w:r>
            <w:r>
              <w:rPr>
                <w:rFonts w:hint="eastAsia" w:ascii="仿宋" w:hAnsi="仿宋" w:eastAsia="仿宋" w:cs="仿宋"/>
                <w:sz w:val="24"/>
                <w:szCs w:val="24"/>
              </w:rPr>
              <w:t>参数条款的总数量）*</w:t>
            </w:r>
            <w:r>
              <w:rPr>
                <w:rFonts w:hint="eastAsia" w:ascii="仿宋" w:hAnsi="仿宋" w:eastAsia="仿宋" w:cs="仿宋"/>
                <w:i w:val="0"/>
                <w:caps w:val="0"/>
                <w:color w:val="000000"/>
                <w:spacing w:val="0"/>
                <w:sz w:val="24"/>
                <w:szCs w:val="24"/>
                <w:shd w:val="clear" w:color="auto" w:fill="FFFFFF"/>
              </w:rPr>
              <w:t>36</w:t>
            </w:r>
            <w:r>
              <w:rPr>
                <w:rFonts w:hint="eastAsia" w:ascii="仿宋" w:hAnsi="仿宋" w:eastAsia="仿宋" w:cs="仿宋"/>
                <w:sz w:val="24"/>
                <w:szCs w:val="24"/>
              </w:rPr>
              <w:t>分</w:t>
            </w:r>
            <w:r>
              <w:rPr>
                <w:rFonts w:hint="eastAsia" w:ascii="仿宋" w:hAnsi="仿宋" w:eastAsia="仿宋" w:cs="仿宋"/>
                <w:sz w:val="24"/>
                <w:szCs w:val="24"/>
              </w:rPr>
              <w:br w:type="textWrapping"/>
            </w:r>
            <w:r>
              <w:rPr>
                <w:rFonts w:hint="eastAsia" w:ascii="仿宋" w:hAnsi="仿宋" w:eastAsia="仿宋" w:cs="仿宋"/>
                <w:b/>
                <w:bCs/>
                <w:sz w:val="24"/>
                <w:szCs w:val="24"/>
              </w:rPr>
              <w:t>注：</w:t>
            </w:r>
            <w:r>
              <w:rPr>
                <w:rFonts w:hint="eastAsia" w:ascii="仿宋" w:hAnsi="仿宋" w:eastAsia="仿宋" w:cs="仿宋"/>
                <w:b/>
                <w:bCs/>
                <w:sz w:val="24"/>
                <w:szCs w:val="24"/>
                <w:lang w:val="en-US" w:eastAsia="zh-CN"/>
              </w:rPr>
              <w:t>采购文件</w:t>
            </w:r>
            <w:r>
              <w:rPr>
                <w:rFonts w:hint="eastAsia" w:ascii="仿宋" w:hAnsi="仿宋" w:eastAsia="仿宋" w:cs="仿宋"/>
                <w:b/>
                <w:bCs/>
                <w:sz w:val="24"/>
                <w:szCs w:val="24"/>
              </w:rPr>
              <w:t>要求提供技术证明文件的投标人需如实响应并按要求提供证明文件，否则对应技术参数条款将视为不满足。</w:t>
            </w:r>
          </w:p>
        </w:tc>
        <w:tc>
          <w:tcPr>
            <w:tcW w:w="652" w:type="pct"/>
            <w:shd w:val="clear" w:color="auto" w:fill="auto"/>
            <w:vAlign w:val="center"/>
          </w:tcPr>
          <w:p w14:paraId="4EFB7459">
            <w:pPr>
              <w:wordWrap w:val="0"/>
              <w:overflowPunct w:val="0"/>
              <w:topLinePunct/>
              <w:spacing w:line="440" w:lineRule="exact"/>
              <w:jc w:val="center"/>
              <w:textAlignment w:val="center"/>
              <w:rPr>
                <w:rFonts w:hint="eastAsia" w:ascii="仿宋" w:hAnsi="仿宋" w:eastAsia="仿宋" w:cs="仿宋"/>
                <w:b/>
                <w:bCs/>
                <w:sz w:val="24"/>
                <w:szCs w:val="24"/>
                <w:highlight w:val="none"/>
              </w:rPr>
            </w:pPr>
            <w:r>
              <w:rPr>
                <w:rFonts w:hint="eastAsia" w:ascii="仿宋" w:hAnsi="仿宋" w:eastAsia="仿宋" w:cs="仿宋"/>
                <w:bCs/>
                <w:sz w:val="24"/>
                <w:szCs w:val="24"/>
                <w:lang w:val="en-US" w:eastAsia="zh-CN"/>
              </w:rPr>
              <w:t>客观分</w:t>
            </w:r>
          </w:p>
        </w:tc>
      </w:tr>
      <w:tr w14:paraId="2289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5" w:type="pct"/>
            <w:shd w:val="clear" w:color="auto" w:fill="auto"/>
            <w:vAlign w:val="center"/>
          </w:tcPr>
          <w:p w14:paraId="0ADFECA0">
            <w:pPr>
              <w:spacing w:line="360" w:lineRule="auto"/>
              <w:ind w:firstLine="28" w:firstLineChars="0"/>
              <w:jc w:val="center"/>
              <w:rPr>
                <w:rFonts w:hint="eastAsia" w:ascii="仿宋" w:hAnsi="仿宋" w:eastAsia="仿宋" w:cs="仿宋"/>
                <w:b/>
                <w:sz w:val="24"/>
                <w:szCs w:val="24"/>
                <w:highlight w:val="none"/>
              </w:rPr>
            </w:pPr>
            <w:r>
              <w:rPr>
                <w:rFonts w:hint="eastAsia" w:ascii="仿宋" w:hAnsi="仿宋" w:eastAsia="仿宋" w:cs="仿宋"/>
                <w:sz w:val="24"/>
                <w:szCs w:val="24"/>
              </w:rPr>
              <w:t>3</w:t>
            </w:r>
          </w:p>
        </w:tc>
        <w:tc>
          <w:tcPr>
            <w:tcW w:w="775" w:type="pct"/>
            <w:shd w:val="clear" w:color="auto" w:fill="auto"/>
            <w:vAlign w:val="center"/>
          </w:tcPr>
          <w:p w14:paraId="4B856E8C">
            <w:pPr>
              <w:spacing w:line="360" w:lineRule="auto"/>
              <w:jc w:val="center"/>
              <w:rPr>
                <w:rFonts w:hint="eastAsia" w:ascii="仿宋" w:hAnsi="仿宋" w:eastAsia="仿宋" w:cs="仿宋"/>
                <w:b/>
                <w:sz w:val="24"/>
                <w:szCs w:val="24"/>
                <w:highlight w:val="none"/>
              </w:rPr>
            </w:pPr>
            <w:r>
              <w:rPr>
                <w:rFonts w:hint="eastAsia" w:ascii="仿宋" w:hAnsi="仿宋" w:eastAsia="仿宋" w:cs="仿宋"/>
                <w:sz w:val="24"/>
                <w:szCs w:val="24"/>
                <w:lang w:val="en-US" w:eastAsia="zh-CN"/>
              </w:rPr>
              <w:t>售后服务</w:t>
            </w:r>
          </w:p>
        </w:tc>
        <w:tc>
          <w:tcPr>
            <w:tcW w:w="553" w:type="pct"/>
            <w:shd w:val="clear" w:color="auto" w:fill="auto"/>
            <w:vAlign w:val="center"/>
          </w:tcPr>
          <w:p w14:paraId="58EEC215">
            <w:pPr>
              <w:spacing w:line="360" w:lineRule="auto"/>
              <w:jc w:val="center"/>
              <w:rPr>
                <w:rFonts w:hint="eastAsia" w:ascii="仿宋" w:hAnsi="仿宋" w:eastAsia="仿宋" w:cs="仿宋"/>
                <w:b/>
                <w:sz w:val="24"/>
                <w:szCs w:val="24"/>
                <w:highlight w:val="none"/>
              </w:rPr>
            </w:pPr>
            <w:r>
              <w:rPr>
                <w:rFonts w:hint="eastAsia" w:ascii="仿宋" w:hAnsi="仿宋" w:eastAsia="仿宋" w:cs="仿宋"/>
                <w:i w:val="0"/>
                <w:caps w:val="0"/>
                <w:color w:val="000000"/>
                <w:spacing w:val="0"/>
                <w:sz w:val="24"/>
                <w:szCs w:val="24"/>
                <w:shd w:val="clear" w:color="auto" w:fill="FFFFFF"/>
              </w:rPr>
              <w:t>10分</w:t>
            </w:r>
          </w:p>
        </w:tc>
        <w:tc>
          <w:tcPr>
            <w:tcW w:w="2533" w:type="pct"/>
            <w:shd w:val="clear" w:color="auto" w:fill="auto"/>
            <w:vAlign w:val="center"/>
          </w:tcPr>
          <w:p w14:paraId="4203027B">
            <w:pPr>
              <w:spacing w:line="360" w:lineRule="auto"/>
              <w:rPr>
                <w:rFonts w:hint="eastAsia" w:ascii="仿宋" w:hAnsi="仿宋" w:eastAsia="仿宋" w:cs="仿宋"/>
                <w:b/>
                <w:sz w:val="24"/>
                <w:szCs w:val="24"/>
                <w:highlight w:val="none"/>
              </w:rPr>
            </w:pPr>
            <w:r>
              <w:rPr>
                <w:rFonts w:hint="eastAsia" w:ascii="仿宋" w:hAnsi="仿宋" w:eastAsia="仿宋" w:cs="仿宋"/>
                <w:sz w:val="24"/>
                <w:szCs w:val="24"/>
              </w:rPr>
              <w:t>根据</w:t>
            </w:r>
            <w:r>
              <w:rPr>
                <w:rFonts w:hint="eastAsia" w:ascii="仿宋" w:hAnsi="仿宋" w:eastAsia="仿宋" w:cs="仿宋"/>
                <w:sz w:val="24"/>
                <w:szCs w:val="24"/>
                <w:lang w:val="en-US" w:eastAsia="zh-CN"/>
              </w:rPr>
              <w:t>投标人</w:t>
            </w:r>
            <w:r>
              <w:rPr>
                <w:rFonts w:hint="eastAsia" w:ascii="仿宋" w:hAnsi="仿宋" w:eastAsia="仿宋" w:cs="仿宋"/>
                <w:sz w:val="24"/>
                <w:szCs w:val="24"/>
              </w:rPr>
              <w:t>针对本项目制定的项目实施方案进行评审，项目实施方案包含：①整体设计方案；②项目团队组成及职能分工；③进度计划保障措施；④应急预案；⑤服务质量保证措施。上述5项内容齐全且无缺陷（缺陷是指：内容涉及的规范或标准错误、内容表述错误、内容与本项目无关、内容不利于项目实施的任意一种情形）得10分，每缺少一项内容扣2分，扣完为止；单项内容每存在一处缺陷扣1分，单项内容分扣完为止。</w:t>
            </w:r>
          </w:p>
        </w:tc>
        <w:tc>
          <w:tcPr>
            <w:tcW w:w="652" w:type="pct"/>
            <w:shd w:val="clear" w:color="auto" w:fill="auto"/>
            <w:vAlign w:val="center"/>
          </w:tcPr>
          <w:p w14:paraId="0882F1F8">
            <w:pPr>
              <w:wordWrap w:val="0"/>
              <w:overflowPunct w:val="0"/>
              <w:topLinePunct/>
              <w:spacing w:line="440" w:lineRule="exact"/>
              <w:jc w:val="center"/>
              <w:textAlignment w:val="center"/>
              <w:rPr>
                <w:rFonts w:hint="eastAsia" w:ascii="仿宋" w:hAnsi="仿宋" w:eastAsia="仿宋" w:cs="仿宋"/>
                <w:b/>
                <w:bCs/>
                <w:sz w:val="24"/>
                <w:szCs w:val="24"/>
                <w:highlight w:val="none"/>
              </w:rPr>
            </w:pPr>
            <w:bookmarkStart w:id="10" w:name="OLE_LINK8"/>
            <w:r>
              <w:rPr>
                <w:rFonts w:hint="eastAsia" w:ascii="仿宋" w:hAnsi="仿宋" w:eastAsia="仿宋" w:cs="仿宋"/>
                <w:bCs/>
                <w:sz w:val="24"/>
                <w:szCs w:val="24"/>
                <w:lang w:val="en-US" w:eastAsia="zh-CN"/>
              </w:rPr>
              <w:t>主观分</w:t>
            </w:r>
            <w:bookmarkEnd w:id="10"/>
          </w:p>
        </w:tc>
      </w:tr>
      <w:tr w14:paraId="5995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5" w:type="pct"/>
            <w:shd w:val="clear" w:color="auto" w:fill="auto"/>
            <w:vAlign w:val="center"/>
          </w:tcPr>
          <w:p w14:paraId="0ABF0C40">
            <w:pPr>
              <w:spacing w:line="360" w:lineRule="auto"/>
              <w:ind w:firstLine="28" w:firstLineChars="0"/>
              <w:jc w:val="center"/>
              <w:rPr>
                <w:rFonts w:hint="eastAsia" w:ascii="仿宋" w:hAnsi="仿宋" w:eastAsia="仿宋" w:cs="仿宋"/>
                <w:b/>
                <w:sz w:val="24"/>
                <w:szCs w:val="24"/>
                <w:highlight w:val="none"/>
              </w:rPr>
            </w:pPr>
            <w:r>
              <w:rPr>
                <w:rFonts w:hint="eastAsia" w:ascii="仿宋" w:hAnsi="仿宋" w:eastAsia="仿宋" w:cs="仿宋"/>
                <w:sz w:val="24"/>
                <w:szCs w:val="24"/>
              </w:rPr>
              <w:t>4</w:t>
            </w:r>
          </w:p>
        </w:tc>
        <w:tc>
          <w:tcPr>
            <w:tcW w:w="775" w:type="pct"/>
            <w:shd w:val="clear" w:color="auto" w:fill="auto"/>
            <w:vAlign w:val="center"/>
          </w:tcPr>
          <w:p w14:paraId="5E45BB68">
            <w:pPr>
              <w:spacing w:line="360" w:lineRule="auto"/>
              <w:jc w:val="center"/>
              <w:rPr>
                <w:rFonts w:hint="eastAsia" w:ascii="仿宋" w:hAnsi="仿宋" w:eastAsia="仿宋" w:cs="仿宋"/>
                <w:b/>
                <w:sz w:val="24"/>
                <w:szCs w:val="24"/>
                <w:highlight w:val="none"/>
              </w:rPr>
            </w:pPr>
            <w:r>
              <w:rPr>
                <w:rFonts w:hint="eastAsia" w:ascii="仿宋" w:hAnsi="仿宋" w:eastAsia="仿宋" w:cs="仿宋"/>
                <w:sz w:val="24"/>
                <w:szCs w:val="24"/>
                <w:lang w:val="en-US" w:eastAsia="zh-CN"/>
              </w:rPr>
              <w:t>现场产品演示</w:t>
            </w:r>
          </w:p>
        </w:tc>
        <w:tc>
          <w:tcPr>
            <w:tcW w:w="553" w:type="pct"/>
            <w:shd w:val="clear" w:color="auto" w:fill="auto"/>
            <w:vAlign w:val="center"/>
          </w:tcPr>
          <w:p w14:paraId="34335B8D">
            <w:pPr>
              <w:spacing w:line="360" w:lineRule="auto"/>
              <w:jc w:val="center"/>
              <w:rPr>
                <w:rFonts w:hint="eastAsia" w:ascii="仿宋" w:hAnsi="仿宋" w:eastAsia="仿宋" w:cs="仿宋"/>
                <w:b/>
                <w:sz w:val="24"/>
                <w:szCs w:val="24"/>
                <w:highlight w:val="none"/>
              </w:rPr>
            </w:pPr>
            <w:r>
              <w:rPr>
                <w:rFonts w:hint="eastAsia" w:ascii="仿宋" w:hAnsi="仿宋" w:eastAsia="仿宋" w:cs="仿宋"/>
                <w:i w:val="0"/>
                <w:caps w:val="0"/>
                <w:color w:val="000000"/>
                <w:spacing w:val="0"/>
                <w:sz w:val="24"/>
                <w:szCs w:val="24"/>
                <w:shd w:val="clear" w:color="auto" w:fill="FFFFFF"/>
              </w:rPr>
              <w:t>29分</w:t>
            </w:r>
          </w:p>
        </w:tc>
        <w:tc>
          <w:tcPr>
            <w:tcW w:w="2533" w:type="pct"/>
            <w:shd w:val="clear" w:color="auto" w:fill="auto"/>
            <w:vAlign w:val="center"/>
          </w:tcPr>
          <w:p w14:paraId="2ED8190E">
            <w:pPr>
              <w:spacing w:line="360" w:lineRule="auto"/>
              <w:rPr>
                <w:rFonts w:hint="eastAsia" w:ascii="仿宋" w:hAnsi="仿宋" w:eastAsia="仿宋" w:cs="仿宋"/>
                <w:sz w:val="24"/>
                <w:szCs w:val="24"/>
              </w:rPr>
            </w:pPr>
            <w:r>
              <w:rPr>
                <w:rFonts w:hint="eastAsia" w:ascii="仿宋" w:hAnsi="仿宋" w:eastAsia="仿宋" w:cs="仿宋"/>
                <w:sz w:val="24"/>
                <w:szCs w:val="24"/>
              </w:rPr>
              <w:t>提供现场产品演示，根据产品功能覆盖、业务匹配度、演示流畅度、讲解专业度及亮点功能等维度综合评定：</w:t>
            </w:r>
          </w:p>
          <w:p w14:paraId="11BA8084">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1.样本全流程闭环管理</w:t>
            </w:r>
          </w:p>
          <w:p w14:paraId="4EE83D2D">
            <w:pPr>
              <w:spacing w:line="360" w:lineRule="auto"/>
              <w:rPr>
                <w:rFonts w:hint="eastAsia" w:ascii="仿宋" w:hAnsi="仿宋" w:eastAsia="仿宋" w:cs="仿宋"/>
                <w:sz w:val="24"/>
                <w:szCs w:val="24"/>
              </w:rPr>
            </w:pPr>
            <w:r>
              <w:rPr>
                <w:rFonts w:hint="eastAsia" w:ascii="仿宋" w:hAnsi="仿宋" w:eastAsia="仿宋" w:cs="仿宋"/>
                <w:sz w:val="24"/>
                <w:szCs w:val="24"/>
              </w:rPr>
              <w:t>现场完成以下4个环节操作演示：①现场录入患者基本信息与检测项目信息；②批量样本导入；③扫码完成样本接收，系统自动变更状态；④检测分析、报告录入节点状态自动流转。每完整演示1个环节得2分，共8分，每缺1项或需人工干预该项不得分。</w:t>
            </w:r>
          </w:p>
          <w:p w14:paraId="19149A7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2.报告版本追溯与操作审计追踪</w:t>
            </w:r>
          </w:p>
          <w:p w14:paraId="0B6C64C8">
            <w:pPr>
              <w:spacing w:line="360" w:lineRule="auto"/>
              <w:rPr>
                <w:rFonts w:hint="eastAsia" w:ascii="仿宋" w:hAnsi="仿宋" w:eastAsia="仿宋" w:cs="仿宋"/>
                <w:sz w:val="24"/>
                <w:szCs w:val="24"/>
              </w:rPr>
            </w:pPr>
            <w:r>
              <w:rPr>
                <w:rFonts w:hint="eastAsia" w:ascii="仿宋" w:hAnsi="仿宋" w:eastAsia="仿宋" w:cs="仿宋"/>
                <w:sz w:val="24"/>
                <w:szCs w:val="24"/>
              </w:rPr>
              <w:t>现场选取一份已签发报告进行编辑操作，演示：①修改报告内容（如修改检测结果字段）后，系统自动生成新版本，原版本完整保留且不可篡改；②查看该报告版本历史列表，展示版本回溯与新旧版本对比功能；③查看本次修改对应的操作日志，明确展示字段级变更记录（须可见修改字段的名称、修改前原值、修改后新值）；④按操作人、时间范围、操作类型三维度组合检索操作日志并展示结果。每项得2分，共</w:t>
            </w:r>
            <w:r>
              <w:rPr>
                <w:rFonts w:hint="eastAsia" w:ascii="仿宋" w:hAnsi="仿宋" w:eastAsia="仿宋" w:cs="仿宋"/>
                <w:sz w:val="24"/>
                <w:szCs w:val="24"/>
                <w:lang w:val="en-US" w:eastAsia="zh-CN"/>
              </w:rPr>
              <w:t>8</w:t>
            </w:r>
            <w:r>
              <w:rPr>
                <w:rFonts w:hint="eastAsia" w:ascii="仿宋" w:hAnsi="仿宋" w:eastAsia="仿宋" w:cs="仿宋"/>
                <w:sz w:val="24"/>
                <w:szCs w:val="24"/>
              </w:rPr>
              <w:t>分，每缺1项或无法展示字段级原值对比该项不得分。</w:t>
            </w:r>
          </w:p>
          <w:p w14:paraId="494C76ED">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3.报告智能生成、审核与无纸化签发</w:t>
            </w:r>
          </w:p>
          <w:p w14:paraId="2DE3FA47">
            <w:pPr>
              <w:spacing w:line="360" w:lineRule="auto"/>
              <w:rPr>
                <w:rFonts w:hint="eastAsia" w:ascii="仿宋" w:hAnsi="仿宋" w:eastAsia="仿宋" w:cs="仿宋"/>
                <w:sz w:val="24"/>
                <w:szCs w:val="24"/>
              </w:rPr>
            </w:pPr>
            <w:r>
              <w:rPr>
                <w:rFonts w:hint="eastAsia" w:ascii="仿宋" w:hAnsi="仿宋" w:eastAsia="仿宋" w:cs="仿宋"/>
                <w:sz w:val="24"/>
                <w:szCs w:val="24"/>
              </w:rPr>
              <w:t>选择已完成检测的样本，演示：①系统自动填充检测结果至报告模板（无需手动录入）；②报告编辑录入；③完整展示初审→复审→签发多级审核流程；④审核意见标注与审核痕迹留存；⑤电子签名/电子签章生效（若未对接过CA签名，可以展示贴图的手写签名）。每项得1分，共5分，每缺1项或操作失败该项不得分。</w:t>
            </w:r>
          </w:p>
          <w:p w14:paraId="7901EA76">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4.产前诊断业务全流程贯通</w:t>
            </w:r>
          </w:p>
          <w:p w14:paraId="2EC653BF">
            <w:pPr>
              <w:spacing w:line="360" w:lineRule="auto"/>
              <w:rPr>
                <w:rFonts w:hint="eastAsia" w:ascii="仿宋" w:hAnsi="仿宋" w:eastAsia="仿宋" w:cs="仿宋"/>
                <w:sz w:val="24"/>
                <w:szCs w:val="24"/>
              </w:rPr>
            </w:pPr>
            <w:r>
              <w:rPr>
                <w:rFonts w:hint="eastAsia" w:ascii="仿宋" w:hAnsi="仿宋" w:eastAsia="仿宋" w:cs="仿宋"/>
                <w:sz w:val="24"/>
                <w:szCs w:val="24"/>
              </w:rPr>
              <w:t>演示：①从HIS系统直接跳转至指定患者报告审核界面（提供跳转链接）；②同患者历史报告自动关联与不同检测项目结果交叉对比；③报告全文检索与多维度归档展示；④患者端H5报告查询（手机端模拟查看、下载）。每项得2分，共8分，每缺1项或跳转/查询失败该项不得分。</w:t>
            </w:r>
          </w:p>
          <w:p w14:paraId="3BFF5DDB">
            <w:pPr>
              <w:spacing w:line="360" w:lineRule="auto"/>
              <w:rPr>
                <w:rFonts w:hint="eastAsia" w:ascii="仿宋" w:hAnsi="仿宋" w:eastAsia="仿宋" w:cs="仿宋"/>
                <w:b/>
                <w:sz w:val="24"/>
                <w:szCs w:val="24"/>
                <w:highlight w:val="none"/>
              </w:rPr>
            </w:pPr>
            <w:r>
              <w:rPr>
                <w:rFonts w:hint="eastAsia" w:ascii="仿宋" w:hAnsi="仿宋" w:eastAsia="仿宋" w:cs="仿宋"/>
                <w:b/>
                <w:bCs/>
                <w:sz w:val="24"/>
                <w:szCs w:val="24"/>
                <w:lang w:val="en-US" w:eastAsia="zh-CN"/>
              </w:rPr>
              <w:t>注：</w:t>
            </w:r>
            <w:r>
              <w:rPr>
                <w:rFonts w:hint="eastAsia" w:ascii="仿宋" w:hAnsi="仿宋" w:eastAsia="仿宋" w:cs="仿宋"/>
                <w:b/>
                <w:bCs/>
                <w:sz w:val="24"/>
                <w:szCs w:val="24"/>
              </w:rPr>
              <w:t>未提供产品演示及说明的不得分。</w:t>
            </w:r>
          </w:p>
        </w:tc>
        <w:tc>
          <w:tcPr>
            <w:tcW w:w="652" w:type="pct"/>
            <w:shd w:val="clear" w:color="auto" w:fill="auto"/>
            <w:vAlign w:val="center"/>
          </w:tcPr>
          <w:p w14:paraId="3D574F9A">
            <w:pPr>
              <w:wordWrap w:val="0"/>
              <w:overflowPunct w:val="0"/>
              <w:topLinePunct/>
              <w:spacing w:line="440" w:lineRule="exact"/>
              <w:jc w:val="center"/>
              <w:textAlignment w:val="center"/>
              <w:rPr>
                <w:rFonts w:hint="eastAsia" w:ascii="仿宋" w:hAnsi="仿宋" w:eastAsia="仿宋" w:cs="仿宋"/>
                <w:b/>
                <w:bCs/>
                <w:sz w:val="24"/>
                <w:szCs w:val="24"/>
                <w:highlight w:val="none"/>
              </w:rPr>
            </w:pPr>
            <w:r>
              <w:rPr>
                <w:rFonts w:hint="eastAsia" w:ascii="仿宋" w:hAnsi="仿宋" w:eastAsia="仿宋" w:cs="仿宋"/>
                <w:bCs/>
                <w:sz w:val="24"/>
                <w:szCs w:val="24"/>
                <w:lang w:val="en-US" w:eastAsia="zh-CN"/>
              </w:rPr>
              <w:t>主观分</w:t>
            </w:r>
          </w:p>
        </w:tc>
      </w:tr>
    </w:tbl>
    <w:p w14:paraId="54FD0994">
      <w:pPr>
        <w:pStyle w:val="5"/>
        <w:keepNext w:val="0"/>
        <w:keepLines w:val="0"/>
        <w:pageBreakBefore w:val="0"/>
        <w:numPr>
          <w:ilvl w:val="0"/>
          <w:numId w:val="0"/>
        </w:numPr>
        <w:kinsoku/>
        <w:wordWrap/>
        <w:overflowPunct/>
        <w:topLinePunct w:val="0"/>
        <w:autoSpaceDE/>
        <w:autoSpaceDN/>
        <w:bidi w:val="0"/>
        <w:spacing w:line="400" w:lineRule="exact"/>
        <w:rPr>
          <w:rFonts w:hint="eastAsia" w:ascii="仿宋" w:hAnsi="仿宋" w:eastAsia="仿宋" w:cs="仿宋"/>
          <w:b w:val="0"/>
          <w:bCs/>
          <w:i w:val="0"/>
          <w:caps w:val="0"/>
          <w:color w:val="000000"/>
          <w:spacing w:val="0"/>
          <w:sz w:val="24"/>
          <w:szCs w:val="24"/>
          <w:highlight w:val="none"/>
          <w:shd w:val="clear" w:fill="FFFFFF"/>
        </w:rPr>
      </w:pPr>
    </w:p>
    <w:p w14:paraId="02AE16BE">
      <w:pPr>
        <w:pStyle w:val="5"/>
        <w:keepNext w:val="0"/>
        <w:keepLines w:val="0"/>
        <w:pageBreakBefore w:val="0"/>
        <w:numPr>
          <w:ilvl w:val="0"/>
          <w:numId w:val="0"/>
        </w:numPr>
        <w:kinsoku/>
        <w:wordWrap/>
        <w:overflowPunct/>
        <w:topLinePunct w:val="0"/>
        <w:autoSpaceDE/>
        <w:autoSpaceDN/>
        <w:bidi w:val="0"/>
        <w:spacing w:line="400" w:lineRule="exact"/>
        <w:ind w:leftChars="200"/>
        <w:rPr>
          <w:rFonts w:hint="eastAsia" w:ascii="仿宋" w:hAnsi="仿宋" w:eastAsia="仿宋" w:cs="仿宋"/>
          <w:b/>
          <w:i w:val="0"/>
          <w:caps w:val="0"/>
          <w:color w:val="000000"/>
          <w:spacing w:val="0"/>
          <w:sz w:val="28"/>
          <w:szCs w:val="28"/>
          <w:highlight w:val="none"/>
          <w:shd w:val="clear" w:fill="FFFFFF"/>
          <w:lang w:val="en-US" w:eastAsia="zh-CN"/>
        </w:rPr>
      </w:pPr>
    </w:p>
    <w:p w14:paraId="4DEEC5A7">
      <w:pPr>
        <w:adjustRightInd w:val="0"/>
        <w:snapToGrid w:val="0"/>
        <w:spacing w:line="580" w:lineRule="exact"/>
        <w:ind w:firstLine="400" w:firstLineChars="200"/>
        <w:rPr>
          <w:rFonts w:hint="eastAsia" w:ascii="仿宋" w:hAnsi="仿宋" w:eastAsia="仿宋" w:cs="仿宋"/>
          <w:sz w:val="20"/>
          <w:highlight w:val="none"/>
        </w:rPr>
        <w:sectPr>
          <w:footerReference r:id="rId3" w:type="default"/>
          <w:pgSz w:w="11906" w:h="16838"/>
          <w:pgMar w:top="1440" w:right="1800" w:bottom="1440" w:left="1800" w:header="851" w:footer="992" w:gutter="0"/>
          <w:cols w:space="425" w:num="1"/>
          <w:docGrid w:type="lines" w:linePitch="312" w:charSpace="0"/>
        </w:sectPr>
      </w:pPr>
    </w:p>
    <w:p w14:paraId="1C1609C4">
      <w:pPr>
        <w:adjustRightInd w:val="0"/>
        <w:snapToGrid w:val="0"/>
        <w:spacing w:line="580" w:lineRule="exact"/>
        <w:outlineLvl w:val="0"/>
        <w:rPr>
          <w:rFonts w:hint="eastAsia" w:ascii="仿宋" w:hAnsi="仿宋" w:eastAsia="仿宋" w:cs="仿宋"/>
          <w:sz w:val="28"/>
          <w:szCs w:val="32"/>
          <w:highlight w:val="none"/>
        </w:rPr>
      </w:pPr>
      <w:r>
        <w:rPr>
          <w:rFonts w:hint="eastAsia" w:ascii="仿宋" w:hAnsi="仿宋" w:eastAsia="仿宋" w:cs="仿宋"/>
          <w:sz w:val="28"/>
          <w:szCs w:val="32"/>
          <w:highlight w:val="none"/>
        </w:rPr>
        <w:t>附件</w:t>
      </w:r>
      <w:r>
        <w:rPr>
          <w:rFonts w:hint="eastAsia" w:ascii="仿宋" w:hAnsi="仿宋" w:eastAsia="仿宋" w:cs="仿宋"/>
          <w:sz w:val="28"/>
          <w:szCs w:val="32"/>
          <w:highlight w:val="none"/>
          <w:lang w:val="en-US" w:eastAsia="zh-CN"/>
        </w:rPr>
        <w:t>3</w:t>
      </w:r>
      <w:r>
        <w:rPr>
          <w:rFonts w:hint="eastAsia" w:ascii="仿宋" w:hAnsi="仿宋" w:eastAsia="仿宋" w:cs="仿宋"/>
          <w:sz w:val="28"/>
          <w:szCs w:val="32"/>
          <w:highlight w:val="none"/>
        </w:rPr>
        <w:t>：</w:t>
      </w:r>
      <w:r>
        <w:rPr>
          <w:rFonts w:hint="eastAsia" w:ascii="仿宋" w:hAnsi="仿宋" w:eastAsia="仿宋" w:cs="仿宋"/>
          <w:sz w:val="28"/>
          <w:szCs w:val="32"/>
          <w:highlight w:val="none"/>
          <w:lang w:val="en-US" w:eastAsia="zh-CN"/>
        </w:rPr>
        <w:t>资格证明</w:t>
      </w:r>
      <w:r>
        <w:rPr>
          <w:rFonts w:hint="eastAsia" w:ascii="仿宋" w:hAnsi="仿宋" w:eastAsia="仿宋" w:cs="仿宋"/>
          <w:sz w:val="28"/>
          <w:szCs w:val="32"/>
          <w:highlight w:val="none"/>
        </w:rPr>
        <w:t>文件装订顺序</w:t>
      </w:r>
    </w:p>
    <w:p w14:paraId="6E931A01">
      <w:pPr>
        <w:jc w:val="center"/>
        <w:outlineLvl w:val="9"/>
        <w:rPr>
          <w:rFonts w:hint="eastAsia" w:ascii="仿宋" w:hAnsi="仿宋" w:eastAsia="仿宋" w:cs="仿宋"/>
          <w:bCs/>
          <w:kern w:val="0"/>
          <w:sz w:val="40"/>
          <w:szCs w:val="44"/>
          <w:highlight w:val="none"/>
          <w:shd w:val="clear" w:color="auto" w:fill="FFFFFF"/>
        </w:rPr>
      </w:pPr>
      <w:r>
        <w:rPr>
          <w:rFonts w:hint="eastAsia" w:ascii="仿宋" w:hAnsi="仿宋" w:eastAsia="仿宋" w:cs="仿宋"/>
          <w:bCs/>
          <w:kern w:val="0"/>
          <w:sz w:val="40"/>
          <w:szCs w:val="44"/>
          <w:highlight w:val="none"/>
          <w:shd w:val="clear" w:color="auto" w:fill="FFFFFF"/>
          <w:lang w:val="en-US" w:eastAsia="zh-CN"/>
        </w:rPr>
        <w:t>资格证明</w:t>
      </w:r>
      <w:r>
        <w:rPr>
          <w:rFonts w:hint="eastAsia" w:ascii="仿宋" w:hAnsi="仿宋" w:eastAsia="仿宋" w:cs="仿宋"/>
          <w:bCs/>
          <w:kern w:val="0"/>
          <w:sz w:val="40"/>
          <w:szCs w:val="44"/>
          <w:highlight w:val="none"/>
          <w:shd w:val="clear" w:color="auto" w:fill="FFFFFF"/>
        </w:rPr>
        <w:t>文件装订顺序</w:t>
      </w:r>
    </w:p>
    <w:p w14:paraId="43F3EA1E">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1.封面（注明包号、项目名称、公司名称、联系人、联系电话、加盖公司印章）。</w:t>
      </w:r>
    </w:p>
    <w:p w14:paraId="54A3D220">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2.目录。</w:t>
      </w:r>
    </w:p>
    <w:p w14:paraId="32450795">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3.在中国境内注册并具有法人资格的合法企业</w:t>
      </w:r>
      <w:r>
        <w:rPr>
          <w:rFonts w:hint="eastAsia" w:ascii="仿宋" w:hAnsi="仿宋" w:eastAsia="仿宋" w:cs="仿宋"/>
          <w:b/>
          <w:bCs w:val="0"/>
          <w:kern w:val="0"/>
          <w:sz w:val="24"/>
          <w:szCs w:val="24"/>
          <w:highlight w:val="none"/>
          <w:shd w:val="clear" w:color="auto" w:fill="FFFFFF"/>
          <w:lang w:val="en-US" w:eastAsia="zh-CN"/>
        </w:rPr>
        <w:t>（提供承诺函原件，加盖公章）</w:t>
      </w:r>
      <w:r>
        <w:rPr>
          <w:rFonts w:hint="eastAsia" w:ascii="仿宋" w:hAnsi="仿宋" w:eastAsia="仿宋" w:cs="仿宋"/>
          <w:bCs/>
          <w:kern w:val="0"/>
          <w:sz w:val="24"/>
          <w:szCs w:val="24"/>
          <w:highlight w:val="none"/>
          <w:shd w:val="clear" w:color="auto" w:fill="FFFFFF"/>
          <w:lang w:val="en-US" w:eastAsia="zh-CN"/>
        </w:rPr>
        <w:t>；</w:t>
      </w:r>
    </w:p>
    <w:p w14:paraId="1C4AD4B9">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
          <w:bCs w:val="0"/>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4.有效的营业执照、税务登记证、组织机构代码证或三证合一营业执照（副本）；</w:t>
      </w:r>
      <w:r>
        <w:rPr>
          <w:rFonts w:hint="eastAsia" w:ascii="仿宋" w:hAnsi="仿宋" w:eastAsia="仿宋" w:cs="仿宋"/>
          <w:b/>
          <w:bCs w:val="0"/>
          <w:kern w:val="0"/>
          <w:sz w:val="24"/>
          <w:szCs w:val="24"/>
          <w:highlight w:val="none"/>
          <w:shd w:val="clear" w:color="auto" w:fill="FFFFFF"/>
          <w:lang w:val="en-US" w:eastAsia="zh-CN"/>
        </w:rPr>
        <w:t>（提供证明材料并加盖公章）</w:t>
      </w:r>
    </w:p>
    <w:p w14:paraId="031D91DD">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5.授权参加本次采购活动的供应商代表证明(供应商代表为“授权代表”时，提供授权委托书及身份证复印件；供应商代表为“法定代表人（单位负责人）”时，提供法定代表人（单位负责人）身份证复印件)；</w:t>
      </w:r>
      <w:r>
        <w:rPr>
          <w:rFonts w:hint="eastAsia" w:ascii="仿宋" w:hAnsi="仿宋" w:eastAsia="仿宋" w:cs="仿宋"/>
          <w:b/>
          <w:bCs w:val="0"/>
          <w:kern w:val="0"/>
          <w:sz w:val="24"/>
          <w:szCs w:val="24"/>
          <w:highlight w:val="none"/>
          <w:shd w:val="clear" w:color="auto" w:fill="FFFFFF"/>
          <w:lang w:val="en-US" w:eastAsia="zh-CN"/>
        </w:rPr>
        <w:t>（提供证明材料并加盖公章）</w:t>
      </w:r>
      <w:r>
        <w:rPr>
          <w:rFonts w:hint="eastAsia" w:ascii="仿宋" w:hAnsi="仿宋" w:eastAsia="仿宋" w:cs="仿宋"/>
          <w:bCs/>
          <w:kern w:val="0"/>
          <w:sz w:val="24"/>
          <w:szCs w:val="24"/>
          <w:highlight w:val="none"/>
          <w:shd w:val="clear" w:color="auto" w:fill="FFFFFF"/>
          <w:lang w:val="en-US" w:eastAsia="zh-CN"/>
        </w:rPr>
        <w:t>；</w:t>
      </w:r>
    </w:p>
    <w:p w14:paraId="48FE4533">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6.通过“中国政府采购网”网站（www.ccgp.gov.cn）查询投标人在递交响应文件截止时间前一个月内的政府采购严重违法失信行为信息记录结果网页截图，“信用中国”网站（www.creditchina.gov.cn）查询信用信息，信用中国需下载完整版信用信息报告（开标前一个月内）。拒绝违法失信行为记录名单中的供应商报名参加本项目的采购活动</w:t>
      </w:r>
      <w:r>
        <w:rPr>
          <w:rFonts w:hint="eastAsia" w:ascii="仿宋" w:hAnsi="仿宋" w:eastAsia="仿宋" w:cs="仿宋"/>
          <w:b/>
          <w:bCs w:val="0"/>
          <w:kern w:val="0"/>
          <w:sz w:val="24"/>
          <w:szCs w:val="24"/>
          <w:highlight w:val="none"/>
          <w:shd w:val="clear" w:color="auto" w:fill="FFFFFF"/>
          <w:lang w:val="en-US" w:eastAsia="zh-CN"/>
        </w:rPr>
        <w:t>（提供证明材料并加盖公章）</w:t>
      </w:r>
      <w:r>
        <w:rPr>
          <w:rFonts w:hint="eastAsia" w:ascii="仿宋" w:hAnsi="仿宋" w:eastAsia="仿宋" w:cs="仿宋"/>
          <w:bCs/>
          <w:kern w:val="0"/>
          <w:sz w:val="24"/>
          <w:szCs w:val="24"/>
          <w:highlight w:val="none"/>
          <w:shd w:val="clear" w:color="auto" w:fill="FFFFFF"/>
          <w:lang w:val="en-US" w:eastAsia="zh-CN"/>
        </w:rPr>
        <w:t>；</w:t>
      </w:r>
    </w:p>
    <w:p w14:paraId="0D0FD5E3">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7.反商业贿赂承诺书</w:t>
      </w:r>
      <w:r>
        <w:rPr>
          <w:rFonts w:hint="eastAsia" w:ascii="仿宋" w:hAnsi="仿宋" w:eastAsia="仿宋" w:cs="仿宋"/>
          <w:b/>
          <w:bCs w:val="0"/>
          <w:kern w:val="0"/>
          <w:sz w:val="24"/>
          <w:szCs w:val="24"/>
          <w:highlight w:val="none"/>
          <w:shd w:val="clear" w:color="auto" w:fill="FFFFFF"/>
          <w:lang w:val="en-US" w:eastAsia="zh-CN"/>
        </w:rPr>
        <w:t>（见附件，需加盖公章）</w:t>
      </w:r>
      <w:r>
        <w:rPr>
          <w:rFonts w:hint="eastAsia" w:ascii="仿宋" w:hAnsi="仿宋" w:eastAsia="仿宋" w:cs="仿宋"/>
          <w:bCs/>
          <w:kern w:val="0"/>
          <w:sz w:val="24"/>
          <w:szCs w:val="24"/>
          <w:highlight w:val="none"/>
          <w:shd w:val="clear" w:color="auto" w:fill="FFFFFF"/>
          <w:lang w:val="en-US" w:eastAsia="zh-CN"/>
        </w:rPr>
        <w:t>；</w:t>
      </w:r>
    </w:p>
    <w:p w14:paraId="14CFF1F7">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8.无围标、串标行为承诺书</w:t>
      </w:r>
      <w:r>
        <w:rPr>
          <w:rFonts w:hint="eastAsia" w:ascii="仿宋" w:hAnsi="仿宋" w:eastAsia="仿宋" w:cs="仿宋"/>
          <w:b/>
          <w:bCs w:val="0"/>
          <w:kern w:val="0"/>
          <w:sz w:val="24"/>
          <w:szCs w:val="24"/>
          <w:highlight w:val="none"/>
          <w:shd w:val="clear" w:color="auto" w:fill="FFFFFF"/>
          <w:lang w:val="en-US" w:eastAsia="zh-CN"/>
        </w:rPr>
        <w:t>（见附件，需加盖公章）</w:t>
      </w:r>
      <w:r>
        <w:rPr>
          <w:rFonts w:hint="eastAsia" w:ascii="仿宋" w:hAnsi="仿宋" w:eastAsia="仿宋" w:cs="仿宋"/>
          <w:bCs/>
          <w:kern w:val="0"/>
          <w:sz w:val="24"/>
          <w:szCs w:val="24"/>
          <w:highlight w:val="none"/>
          <w:shd w:val="clear" w:color="auto" w:fill="FFFFFF"/>
          <w:lang w:val="en-US" w:eastAsia="zh-CN"/>
        </w:rPr>
        <w:t>；</w:t>
      </w:r>
    </w:p>
    <w:p w14:paraId="3D42488C">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9.供应商遵守招标采购纪律承诺书</w:t>
      </w:r>
      <w:r>
        <w:rPr>
          <w:rFonts w:hint="eastAsia" w:ascii="仿宋" w:hAnsi="仿宋" w:eastAsia="仿宋" w:cs="仿宋"/>
          <w:b/>
          <w:bCs w:val="0"/>
          <w:kern w:val="0"/>
          <w:sz w:val="24"/>
          <w:szCs w:val="24"/>
          <w:highlight w:val="none"/>
          <w:shd w:val="clear" w:color="auto" w:fill="FFFFFF"/>
          <w:lang w:val="en-US" w:eastAsia="zh-CN"/>
        </w:rPr>
        <w:t>（见附件，需加盖公章）</w:t>
      </w:r>
      <w:r>
        <w:rPr>
          <w:rFonts w:hint="eastAsia" w:ascii="仿宋" w:hAnsi="仿宋" w:eastAsia="仿宋" w:cs="仿宋"/>
          <w:bCs/>
          <w:kern w:val="0"/>
          <w:sz w:val="24"/>
          <w:szCs w:val="24"/>
          <w:highlight w:val="none"/>
          <w:shd w:val="clear" w:color="auto" w:fill="FFFFFF"/>
          <w:lang w:val="en-US" w:eastAsia="zh-CN"/>
        </w:rPr>
        <w:t>；</w:t>
      </w:r>
    </w:p>
    <w:p w14:paraId="7EF23FFE">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10.良好的商业信誉和健全的财务会计制度的承诺函</w:t>
      </w:r>
      <w:r>
        <w:rPr>
          <w:rFonts w:hint="eastAsia" w:ascii="仿宋" w:hAnsi="仿宋" w:eastAsia="仿宋" w:cs="仿宋"/>
          <w:b/>
          <w:bCs w:val="0"/>
          <w:kern w:val="0"/>
          <w:sz w:val="24"/>
          <w:szCs w:val="24"/>
          <w:highlight w:val="none"/>
          <w:shd w:val="clear" w:color="auto" w:fill="FFFFFF"/>
          <w:lang w:val="en-US" w:eastAsia="zh-CN"/>
        </w:rPr>
        <w:t>（见附件，需加盖公章）</w:t>
      </w:r>
      <w:r>
        <w:rPr>
          <w:rFonts w:hint="eastAsia" w:ascii="仿宋" w:hAnsi="仿宋" w:eastAsia="仿宋" w:cs="仿宋"/>
          <w:bCs/>
          <w:kern w:val="0"/>
          <w:sz w:val="24"/>
          <w:szCs w:val="24"/>
          <w:highlight w:val="none"/>
          <w:shd w:val="clear" w:color="auto" w:fill="FFFFFF"/>
          <w:lang w:val="en-US" w:eastAsia="zh-CN"/>
        </w:rPr>
        <w:t>；</w:t>
      </w:r>
    </w:p>
    <w:p w14:paraId="0AEC7ACE">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11.履行合同所必需的设备和专业技术能力的承诺函</w:t>
      </w:r>
      <w:r>
        <w:rPr>
          <w:rFonts w:hint="eastAsia" w:ascii="仿宋" w:hAnsi="仿宋" w:eastAsia="仿宋" w:cs="仿宋"/>
          <w:b/>
          <w:bCs w:val="0"/>
          <w:kern w:val="0"/>
          <w:sz w:val="24"/>
          <w:szCs w:val="24"/>
          <w:highlight w:val="none"/>
          <w:shd w:val="clear" w:color="auto" w:fill="FFFFFF"/>
          <w:lang w:val="en-US" w:eastAsia="zh-CN"/>
        </w:rPr>
        <w:t>（见附件，需加盖公章）</w:t>
      </w:r>
      <w:r>
        <w:rPr>
          <w:rFonts w:hint="eastAsia" w:ascii="仿宋" w:hAnsi="仿宋" w:eastAsia="仿宋" w:cs="仿宋"/>
          <w:bCs/>
          <w:kern w:val="0"/>
          <w:sz w:val="24"/>
          <w:szCs w:val="24"/>
          <w:highlight w:val="none"/>
          <w:shd w:val="clear" w:color="auto" w:fill="FFFFFF"/>
          <w:lang w:val="en-US" w:eastAsia="zh-CN"/>
        </w:rPr>
        <w:t>。</w:t>
      </w:r>
    </w:p>
    <w:p w14:paraId="681E8ED8">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12.提供参加本次采购活动前三年内，在经营活动中没有重大违法记录的承诺函；</w:t>
      </w:r>
      <w:r>
        <w:rPr>
          <w:rFonts w:hint="eastAsia" w:ascii="仿宋" w:hAnsi="仿宋" w:eastAsia="仿宋" w:cs="仿宋"/>
          <w:b/>
          <w:bCs w:val="0"/>
          <w:kern w:val="0"/>
          <w:sz w:val="24"/>
          <w:szCs w:val="24"/>
          <w:highlight w:val="none"/>
          <w:shd w:val="clear" w:color="auto" w:fill="FFFFFF"/>
          <w:lang w:val="en-US" w:eastAsia="zh-CN"/>
        </w:rPr>
        <w:t>（原件，需加盖公章，格式自拟）</w:t>
      </w:r>
      <w:r>
        <w:rPr>
          <w:rFonts w:hint="eastAsia" w:ascii="仿宋" w:hAnsi="仿宋" w:eastAsia="仿宋" w:cs="仿宋"/>
          <w:bCs/>
          <w:kern w:val="0"/>
          <w:sz w:val="24"/>
          <w:szCs w:val="24"/>
          <w:highlight w:val="none"/>
          <w:shd w:val="clear" w:color="auto" w:fill="FFFFFF"/>
          <w:lang w:val="en-US" w:eastAsia="zh-CN"/>
        </w:rPr>
        <w:t>（公司成立不足三年的从成立之日起算）;</w:t>
      </w:r>
    </w:p>
    <w:p w14:paraId="6D5F827D">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 xml:space="preserve">13.有依法缴纳税收和社会保障资金的良好记录的证明材料, </w:t>
      </w:r>
      <w:r>
        <w:rPr>
          <w:rFonts w:hint="eastAsia" w:ascii="仿宋" w:hAnsi="仿宋" w:eastAsia="仿宋" w:cs="仿宋"/>
          <w:b/>
          <w:bCs w:val="0"/>
          <w:kern w:val="0"/>
          <w:sz w:val="24"/>
          <w:szCs w:val="24"/>
          <w:highlight w:val="none"/>
          <w:shd w:val="clear" w:color="auto" w:fill="FFFFFF"/>
          <w:lang w:val="en-US" w:eastAsia="zh-CN"/>
        </w:rPr>
        <w:t>提供证明材料或者承诺函，需加盖公章，格式自拟</w:t>
      </w:r>
      <w:r>
        <w:rPr>
          <w:rFonts w:hint="eastAsia" w:ascii="仿宋" w:hAnsi="仿宋" w:eastAsia="仿宋" w:cs="仿宋"/>
          <w:bCs/>
          <w:kern w:val="0"/>
          <w:sz w:val="24"/>
          <w:szCs w:val="24"/>
          <w:highlight w:val="none"/>
          <w:shd w:val="clear" w:color="auto" w:fill="FFFFFF"/>
          <w:lang w:val="en-US" w:eastAsia="zh-CN"/>
        </w:rPr>
        <w:t>；</w:t>
      </w:r>
    </w:p>
    <w:p w14:paraId="39EB2914">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bCs/>
          <w:kern w:val="0"/>
          <w:sz w:val="24"/>
          <w:szCs w:val="24"/>
          <w:highlight w:val="none"/>
          <w:shd w:val="clear" w:color="auto" w:fill="FFFFFF"/>
          <w:lang w:val="en-US" w:eastAsia="zh-CN"/>
        </w:rPr>
      </w:pPr>
      <w:r>
        <w:rPr>
          <w:rFonts w:hint="eastAsia" w:ascii="仿宋" w:hAnsi="仿宋" w:eastAsia="仿宋" w:cs="仿宋"/>
          <w:bCs/>
          <w:kern w:val="0"/>
          <w:sz w:val="24"/>
          <w:szCs w:val="24"/>
          <w:highlight w:val="none"/>
          <w:shd w:val="clear" w:color="auto" w:fill="FFFFFF"/>
          <w:lang w:val="en-US" w:eastAsia="zh-CN"/>
        </w:rPr>
        <w:t>14.供应商负责人为同一人或者存在控股、管理关系的不同单位，均视为同一参会供应商，不得重复参加采购。</w:t>
      </w:r>
      <w:r>
        <w:rPr>
          <w:rFonts w:hint="eastAsia" w:ascii="仿宋" w:hAnsi="仿宋" w:eastAsia="仿宋" w:cs="仿宋"/>
          <w:b/>
          <w:bCs w:val="0"/>
          <w:kern w:val="0"/>
          <w:sz w:val="24"/>
          <w:szCs w:val="24"/>
          <w:highlight w:val="none"/>
          <w:shd w:val="clear" w:color="auto" w:fill="FFFFFF"/>
          <w:lang w:val="en-US" w:eastAsia="zh-CN"/>
        </w:rPr>
        <w:t>（提供承诺函并加盖公章）</w:t>
      </w:r>
    </w:p>
    <w:p w14:paraId="11FD03F3">
      <w:pPr>
        <w:keepNext w:val="0"/>
        <w:keepLines w:val="0"/>
        <w:pageBreakBefore w:val="0"/>
        <w:widowControl/>
        <w:kinsoku/>
        <w:wordWrap/>
        <w:overflowPunct/>
        <w:topLinePunct w:val="0"/>
        <w:autoSpaceDE/>
        <w:autoSpaceDN/>
        <w:bidi w:val="0"/>
        <w:adjustRightInd w:val="0"/>
        <w:snapToGrid w:val="0"/>
        <w:spacing w:line="400" w:lineRule="exact"/>
        <w:ind w:firstLine="800" w:firstLineChars="200"/>
        <w:textAlignment w:val="auto"/>
        <w:rPr>
          <w:rFonts w:hint="eastAsia" w:ascii="仿宋" w:hAnsi="仿宋" w:eastAsia="仿宋" w:cs="仿宋"/>
          <w:bCs/>
          <w:kern w:val="0"/>
          <w:sz w:val="40"/>
          <w:szCs w:val="44"/>
          <w:highlight w:val="none"/>
          <w:shd w:val="clear" w:color="auto" w:fill="FFFFFF"/>
        </w:rPr>
      </w:pPr>
      <w:r>
        <w:rPr>
          <w:rFonts w:hint="eastAsia" w:ascii="仿宋" w:hAnsi="仿宋" w:eastAsia="仿宋" w:cs="仿宋"/>
          <w:bCs/>
          <w:kern w:val="0"/>
          <w:sz w:val="40"/>
          <w:szCs w:val="44"/>
          <w:highlight w:val="none"/>
          <w:shd w:val="clear" w:color="auto" w:fill="FFFFFF"/>
        </w:rPr>
        <w:br w:type="page"/>
      </w:r>
    </w:p>
    <w:p w14:paraId="2996052F">
      <w:pPr>
        <w:widowControl/>
        <w:adjustRightInd w:val="0"/>
        <w:snapToGrid w:val="0"/>
        <w:spacing w:line="580" w:lineRule="exact"/>
        <w:jc w:val="left"/>
        <w:outlineLvl w:val="0"/>
        <w:rPr>
          <w:rFonts w:hint="eastAsia" w:ascii="仿宋" w:hAnsi="仿宋" w:eastAsia="仿宋" w:cs="仿宋"/>
          <w:bCs/>
          <w:kern w:val="0"/>
          <w:sz w:val="40"/>
          <w:szCs w:val="44"/>
          <w:highlight w:val="none"/>
          <w:shd w:val="clear" w:color="auto" w:fill="FFFFFF"/>
        </w:rPr>
      </w:pPr>
      <w:r>
        <w:rPr>
          <w:rFonts w:hint="eastAsia" w:ascii="仿宋" w:hAnsi="仿宋" w:eastAsia="仿宋" w:cs="仿宋"/>
          <w:sz w:val="28"/>
          <w:szCs w:val="32"/>
          <w:highlight w:val="none"/>
        </w:rPr>
        <w:t>附件</w:t>
      </w:r>
      <w:r>
        <w:rPr>
          <w:rFonts w:hint="eastAsia" w:ascii="仿宋" w:hAnsi="仿宋" w:eastAsia="仿宋" w:cs="仿宋"/>
          <w:sz w:val="28"/>
          <w:szCs w:val="32"/>
          <w:highlight w:val="none"/>
          <w:lang w:val="en-US" w:eastAsia="zh-CN"/>
        </w:rPr>
        <w:t>4：采购响应文件装订顺序</w:t>
      </w:r>
    </w:p>
    <w:p w14:paraId="27B180F9">
      <w:pPr>
        <w:widowControl/>
        <w:adjustRightInd w:val="0"/>
        <w:snapToGrid w:val="0"/>
        <w:spacing w:line="580" w:lineRule="exact"/>
        <w:jc w:val="center"/>
        <w:outlineLvl w:val="9"/>
        <w:rPr>
          <w:rFonts w:hint="eastAsia" w:ascii="仿宋" w:hAnsi="仿宋" w:eastAsia="仿宋" w:cs="仿宋"/>
          <w:bCs/>
          <w:kern w:val="0"/>
          <w:sz w:val="40"/>
          <w:szCs w:val="44"/>
          <w:highlight w:val="none"/>
          <w:shd w:val="clear" w:color="auto" w:fill="FFFFFF"/>
        </w:rPr>
      </w:pPr>
      <w:r>
        <w:rPr>
          <w:rFonts w:hint="eastAsia" w:ascii="仿宋" w:hAnsi="仿宋" w:eastAsia="仿宋" w:cs="仿宋"/>
          <w:bCs/>
          <w:kern w:val="0"/>
          <w:sz w:val="40"/>
          <w:szCs w:val="44"/>
          <w:highlight w:val="none"/>
          <w:shd w:val="clear" w:color="auto" w:fill="FFFFFF"/>
        </w:rPr>
        <w:t>采购</w:t>
      </w:r>
      <w:r>
        <w:rPr>
          <w:rFonts w:hint="eastAsia" w:ascii="仿宋" w:hAnsi="仿宋" w:eastAsia="仿宋" w:cs="仿宋"/>
          <w:bCs/>
          <w:kern w:val="0"/>
          <w:sz w:val="40"/>
          <w:szCs w:val="44"/>
          <w:highlight w:val="none"/>
          <w:shd w:val="clear" w:color="auto" w:fill="FFFFFF"/>
          <w:lang w:val="en-US" w:eastAsia="zh-CN"/>
        </w:rPr>
        <w:t>响应</w:t>
      </w:r>
      <w:r>
        <w:rPr>
          <w:rFonts w:hint="eastAsia" w:ascii="仿宋" w:hAnsi="仿宋" w:eastAsia="仿宋" w:cs="仿宋"/>
          <w:bCs/>
          <w:kern w:val="0"/>
          <w:sz w:val="40"/>
          <w:szCs w:val="44"/>
          <w:highlight w:val="none"/>
          <w:shd w:val="clear" w:color="auto" w:fill="FFFFFF"/>
        </w:rPr>
        <w:t>文件装订顺序</w:t>
      </w:r>
    </w:p>
    <w:p w14:paraId="5A4EFB56">
      <w:pPr>
        <w:pStyle w:val="5"/>
        <w:rPr>
          <w:rFonts w:hint="eastAsia" w:ascii="仿宋" w:hAnsi="仿宋" w:eastAsia="仿宋" w:cs="仿宋"/>
          <w:highlight w:val="none"/>
        </w:rPr>
      </w:pPr>
    </w:p>
    <w:p w14:paraId="23849530">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rPr>
      </w:pPr>
      <w:r>
        <w:rPr>
          <w:rFonts w:hint="eastAsia" w:ascii="仿宋" w:hAnsi="仿宋" w:eastAsia="仿宋" w:cs="仿宋"/>
          <w:spacing w:val="8"/>
          <w:kern w:val="0"/>
          <w:sz w:val="28"/>
          <w:szCs w:val="32"/>
          <w:highlight w:val="none"/>
          <w:shd w:val="clear" w:color="auto" w:fill="FFFFFF"/>
        </w:rPr>
        <w:t>1.封面（注明包号、</w:t>
      </w:r>
      <w:r>
        <w:rPr>
          <w:rFonts w:hint="eastAsia" w:ascii="仿宋" w:hAnsi="仿宋" w:eastAsia="仿宋" w:cs="仿宋"/>
          <w:spacing w:val="8"/>
          <w:kern w:val="0"/>
          <w:sz w:val="28"/>
          <w:szCs w:val="32"/>
          <w:highlight w:val="none"/>
          <w:shd w:val="clear" w:color="auto" w:fill="FFFFFF"/>
          <w:lang w:val="en-US" w:eastAsia="zh-CN"/>
        </w:rPr>
        <w:t>项目名称</w:t>
      </w:r>
      <w:r>
        <w:rPr>
          <w:rFonts w:hint="eastAsia" w:ascii="仿宋" w:hAnsi="仿宋" w:eastAsia="仿宋" w:cs="仿宋"/>
          <w:spacing w:val="8"/>
          <w:kern w:val="0"/>
          <w:sz w:val="28"/>
          <w:szCs w:val="32"/>
          <w:highlight w:val="none"/>
          <w:shd w:val="clear" w:color="auto" w:fill="FFFFFF"/>
        </w:rPr>
        <w:t>、公司名称、联系人、联系电话、加盖公司印章）。</w:t>
      </w:r>
    </w:p>
    <w:p w14:paraId="4A00B9CC">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rPr>
      </w:pPr>
      <w:r>
        <w:rPr>
          <w:rFonts w:hint="eastAsia" w:ascii="仿宋" w:hAnsi="仿宋" w:eastAsia="仿宋" w:cs="仿宋"/>
          <w:spacing w:val="8"/>
          <w:kern w:val="0"/>
          <w:sz w:val="28"/>
          <w:szCs w:val="32"/>
          <w:highlight w:val="none"/>
          <w:shd w:val="clear" w:color="auto" w:fill="FFFFFF"/>
        </w:rPr>
        <w:t>2.目录。</w:t>
      </w:r>
    </w:p>
    <w:p w14:paraId="3A85184D">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rPr>
      </w:pPr>
      <w:r>
        <w:rPr>
          <w:rFonts w:hint="eastAsia" w:ascii="仿宋" w:hAnsi="仿宋" w:eastAsia="仿宋" w:cs="仿宋"/>
          <w:spacing w:val="8"/>
          <w:kern w:val="0"/>
          <w:sz w:val="28"/>
          <w:szCs w:val="32"/>
          <w:highlight w:val="none"/>
          <w:shd w:val="clear" w:color="auto" w:fill="FFFFFF"/>
        </w:rPr>
        <w:t>3.报价一览表（格式见附件</w:t>
      </w:r>
      <w:r>
        <w:rPr>
          <w:rFonts w:hint="eastAsia" w:ascii="仿宋" w:hAnsi="仿宋" w:eastAsia="仿宋" w:cs="仿宋"/>
          <w:spacing w:val="8"/>
          <w:kern w:val="0"/>
          <w:sz w:val="28"/>
          <w:szCs w:val="32"/>
          <w:highlight w:val="none"/>
          <w:shd w:val="clear" w:color="auto" w:fill="FFFFFF"/>
          <w:lang w:val="en-US" w:eastAsia="zh-CN"/>
        </w:rPr>
        <w:t>5-1</w:t>
      </w:r>
      <w:r>
        <w:rPr>
          <w:rFonts w:hint="eastAsia" w:ascii="仿宋" w:hAnsi="仿宋" w:eastAsia="仿宋" w:cs="仿宋"/>
          <w:spacing w:val="8"/>
          <w:kern w:val="0"/>
          <w:sz w:val="28"/>
          <w:szCs w:val="32"/>
          <w:highlight w:val="none"/>
          <w:shd w:val="clear" w:color="auto" w:fill="FFFFFF"/>
        </w:rPr>
        <w:t>）。</w:t>
      </w:r>
    </w:p>
    <w:p w14:paraId="1781CE28">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lang w:eastAsia="zh-CN"/>
        </w:rPr>
      </w:pPr>
      <w:r>
        <w:rPr>
          <w:rFonts w:hint="eastAsia" w:ascii="仿宋" w:hAnsi="仿宋" w:eastAsia="仿宋" w:cs="仿宋"/>
          <w:spacing w:val="8"/>
          <w:kern w:val="0"/>
          <w:sz w:val="28"/>
          <w:szCs w:val="32"/>
          <w:highlight w:val="none"/>
          <w:shd w:val="clear" w:color="auto" w:fill="FFFFFF"/>
        </w:rPr>
        <w:t>4.技术</w:t>
      </w:r>
      <w:r>
        <w:rPr>
          <w:rFonts w:hint="eastAsia" w:ascii="仿宋" w:hAnsi="仿宋" w:eastAsia="仿宋" w:cs="仿宋"/>
          <w:spacing w:val="8"/>
          <w:kern w:val="0"/>
          <w:sz w:val="28"/>
          <w:szCs w:val="32"/>
          <w:highlight w:val="none"/>
          <w:shd w:val="clear" w:color="auto" w:fill="FFFFFF"/>
          <w:lang w:eastAsia="zh-CN"/>
        </w:rPr>
        <w:t>、</w:t>
      </w:r>
      <w:r>
        <w:rPr>
          <w:rFonts w:hint="eastAsia" w:ascii="仿宋" w:hAnsi="仿宋" w:eastAsia="仿宋" w:cs="仿宋"/>
          <w:spacing w:val="8"/>
          <w:kern w:val="0"/>
          <w:sz w:val="28"/>
          <w:szCs w:val="32"/>
          <w:highlight w:val="none"/>
          <w:shd w:val="clear" w:color="auto" w:fill="FFFFFF"/>
        </w:rPr>
        <w:t>商务要求偏离表（格式见附件</w:t>
      </w:r>
      <w:r>
        <w:rPr>
          <w:rFonts w:hint="eastAsia" w:ascii="仿宋" w:hAnsi="仿宋" w:eastAsia="仿宋" w:cs="仿宋"/>
          <w:spacing w:val="8"/>
          <w:kern w:val="0"/>
          <w:sz w:val="28"/>
          <w:szCs w:val="32"/>
          <w:highlight w:val="none"/>
          <w:shd w:val="clear" w:color="auto" w:fill="FFFFFF"/>
          <w:lang w:val="en-US" w:eastAsia="zh-CN"/>
        </w:rPr>
        <w:t>5</w:t>
      </w:r>
      <w:r>
        <w:rPr>
          <w:rFonts w:hint="eastAsia" w:ascii="仿宋" w:hAnsi="仿宋" w:eastAsia="仿宋" w:cs="仿宋"/>
          <w:spacing w:val="8"/>
          <w:kern w:val="0"/>
          <w:sz w:val="28"/>
          <w:szCs w:val="32"/>
          <w:highlight w:val="none"/>
          <w:shd w:val="clear" w:color="auto" w:fill="FFFFFF"/>
        </w:rPr>
        <w:t>-</w:t>
      </w:r>
      <w:r>
        <w:rPr>
          <w:rFonts w:hint="eastAsia" w:ascii="仿宋" w:hAnsi="仿宋" w:eastAsia="仿宋" w:cs="仿宋"/>
          <w:spacing w:val="8"/>
          <w:kern w:val="0"/>
          <w:sz w:val="28"/>
          <w:szCs w:val="32"/>
          <w:highlight w:val="none"/>
          <w:shd w:val="clear" w:color="auto" w:fill="FFFFFF"/>
          <w:lang w:val="en-US" w:eastAsia="zh-CN"/>
        </w:rPr>
        <w:t>2</w:t>
      </w:r>
      <w:r>
        <w:rPr>
          <w:rFonts w:hint="eastAsia" w:ascii="仿宋" w:hAnsi="仿宋" w:eastAsia="仿宋" w:cs="仿宋"/>
          <w:spacing w:val="8"/>
          <w:kern w:val="0"/>
          <w:sz w:val="28"/>
          <w:szCs w:val="32"/>
          <w:highlight w:val="none"/>
          <w:shd w:val="clear" w:color="auto" w:fill="FFFFFF"/>
        </w:rPr>
        <w:t>）</w:t>
      </w:r>
      <w:r>
        <w:rPr>
          <w:rFonts w:hint="eastAsia" w:ascii="仿宋" w:hAnsi="仿宋" w:eastAsia="仿宋" w:cs="仿宋"/>
          <w:spacing w:val="8"/>
          <w:kern w:val="0"/>
          <w:sz w:val="28"/>
          <w:szCs w:val="32"/>
          <w:highlight w:val="none"/>
          <w:shd w:val="clear" w:color="auto" w:fill="FFFFFF"/>
          <w:lang w:eastAsia="zh-CN"/>
        </w:rPr>
        <w:t>。</w:t>
      </w:r>
    </w:p>
    <w:p w14:paraId="0F18997C">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lang w:val="en-US" w:eastAsia="zh-CN"/>
        </w:rPr>
      </w:pPr>
      <w:r>
        <w:rPr>
          <w:rFonts w:hint="eastAsia" w:ascii="仿宋" w:hAnsi="仿宋" w:eastAsia="仿宋" w:cs="仿宋"/>
          <w:spacing w:val="8"/>
          <w:kern w:val="0"/>
          <w:sz w:val="28"/>
          <w:szCs w:val="32"/>
          <w:highlight w:val="none"/>
          <w:shd w:val="clear" w:color="auto" w:fill="FFFFFF"/>
          <w:lang w:val="en-US" w:eastAsia="zh-CN"/>
        </w:rPr>
        <w:t>5.</w:t>
      </w:r>
      <w:r>
        <w:rPr>
          <w:rFonts w:hint="eastAsia" w:ascii="仿宋" w:hAnsi="仿宋" w:eastAsia="仿宋" w:cs="仿宋"/>
          <w:spacing w:val="8"/>
          <w:kern w:val="0"/>
          <w:sz w:val="28"/>
          <w:szCs w:val="32"/>
          <w:highlight w:val="none"/>
          <w:shd w:val="clear" w:color="auto" w:fill="FFFFFF"/>
        </w:rPr>
        <w:t>售后服务承诺</w:t>
      </w:r>
      <w:r>
        <w:rPr>
          <w:rFonts w:hint="eastAsia" w:ascii="仿宋" w:hAnsi="仿宋" w:eastAsia="仿宋" w:cs="仿宋"/>
          <w:spacing w:val="8"/>
          <w:kern w:val="0"/>
          <w:sz w:val="28"/>
          <w:szCs w:val="32"/>
          <w:highlight w:val="none"/>
          <w:shd w:val="clear" w:color="auto" w:fill="FFFFFF"/>
          <w:lang w:val="en-US" w:eastAsia="zh-CN"/>
        </w:rPr>
        <w:t>。</w:t>
      </w:r>
    </w:p>
    <w:p w14:paraId="2F8E679D">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lang w:eastAsia="zh-CN"/>
        </w:rPr>
      </w:pPr>
      <w:r>
        <w:rPr>
          <w:rFonts w:hint="eastAsia" w:ascii="仿宋" w:hAnsi="仿宋" w:eastAsia="仿宋" w:cs="仿宋"/>
          <w:spacing w:val="8"/>
          <w:kern w:val="0"/>
          <w:sz w:val="28"/>
          <w:szCs w:val="32"/>
          <w:highlight w:val="none"/>
          <w:shd w:val="clear" w:color="auto" w:fill="FFFFFF"/>
          <w:lang w:val="en-US" w:eastAsia="zh-CN"/>
        </w:rPr>
        <w:t>6.行业相关</w:t>
      </w:r>
      <w:r>
        <w:rPr>
          <w:rFonts w:hint="eastAsia" w:ascii="仿宋" w:hAnsi="仿宋" w:eastAsia="仿宋" w:cs="仿宋"/>
          <w:spacing w:val="8"/>
          <w:kern w:val="0"/>
          <w:sz w:val="28"/>
          <w:szCs w:val="32"/>
          <w:highlight w:val="none"/>
          <w:shd w:val="clear" w:color="auto" w:fill="FFFFFF"/>
        </w:rPr>
        <w:t>规范或标准</w:t>
      </w:r>
      <w:r>
        <w:rPr>
          <w:rFonts w:hint="eastAsia" w:ascii="仿宋" w:hAnsi="仿宋" w:eastAsia="仿宋" w:cs="仿宋"/>
          <w:spacing w:val="8"/>
          <w:kern w:val="0"/>
          <w:sz w:val="28"/>
          <w:szCs w:val="32"/>
          <w:highlight w:val="none"/>
          <w:shd w:val="clear" w:color="auto" w:fill="FFFFFF"/>
          <w:lang w:eastAsia="zh-CN"/>
        </w:rPr>
        <w:t>（</w:t>
      </w:r>
      <w:r>
        <w:rPr>
          <w:rFonts w:hint="eastAsia" w:ascii="仿宋" w:hAnsi="仿宋" w:eastAsia="仿宋" w:cs="仿宋"/>
          <w:spacing w:val="8"/>
          <w:kern w:val="0"/>
          <w:sz w:val="28"/>
          <w:szCs w:val="32"/>
          <w:highlight w:val="none"/>
          <w:shd w:val="clear" w:color="auto" w:fill="FFFFFF"/>
          <w:lang w:val="en-US" w:eastAsia="zh-CN"/>
        </w:rPr>
        <w:t>如有</w:t>
      </w:r>
      <w:r>
        <w:rPr>
          <w:rFonts w:hint="eastAsia" w:ascii="仿宋" w:hAnsi="仿宋" w:eastAsia="仿宋" w:cs="仿宋"/>
          <w:spacing w:val="8"/>
          <w:kern w:val="0"/>
          <w:sz w:val="28"/>
          <w:szCs w:val="32"/>
          <w:highlight w:val="none"/>
          <w:shd w:val="clear" w:color="auto" w:fill="FFFFFF"/>
          <w:lang w:eastAsia="zh-CN"/>
        </w:rPr>
        <w:t>）。</w:t>
      </w:r>
    </w:p>
    <w:p w14:paraId="2E5660D9">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lang w:val="en-US" w:eastAsia="zh-CN"/>
        </w:rPr>
      </w:pPr>
      <w:r>
        <w:rPr>
          <w:rFonts w:hint="eastAsia" w:ascii="仿宋" w:hAnsi="仿宋" w:eastAsia="仿宋" w:cs="仿宋"/>
          <w:spacing w:val="8"/>
          <w:kern w:val="0"/>
          <w:sz w:val="28"/>
          <w:szCs w:val="32"/>
          <w:highlight w:val="none"/>
          <w:shd w:val="clear" w:color="auto" w:fill="FFFFFF"/>
          <w:lang w:val="en-US" w:eastAsia="zh-CN"/>
        </w:rPr>
        <w:t>7.供应商认为需要提供的其它资料</w:t>
      </w:r>
      <w:r>
        <w:rPr>
          <w:rFonts w:hint="eastAsia" w:ascii="仿宋" w:hAnsi="仿宋" w:eastAsia="仿宋" w:cs="仿宋"/>
          <w:spacing w:val="8"/>
          <w:kern w:val="0"/>
          <w:sz w:val="28"/>
          <w:szCs w:val="32"/>
          <w:highlight w:val="none"/>
          <w:shd w:val="clear" w:color="auto" w:fill="FFFFFF"/>
          <w:lang w:eastAsia="zh-CN"/>
        </w:rPr>
        <w:t>。</w:t>
      </w:r>
    </w:p>
    <w:p w14:paraId="6EDAB91A">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仿宋" w:hAnsi="仿宋" w:eastAsia="仿宋" w:cs="仿宋"/>
          <w:spacing w:val="8"/>
          <w:kern w:val="0"/>
          <w:sz w:val="28"/>
          <w:szCs w:val="32"/>
          <w:highlight w:val="none"/>
          <w:shd w:val="clear" w:color="auto" w:fill="FFFFFF"/>
          <w:lang w:eastAsia="zh-CN"/>
        </w:rPr>
      </w:pPr>
      <w:r>
        <w:rPr>
          <w:rFonts w:hint="eastAsia" w:ascii="仿宋" w:hAnsi="仿宋" w:eastAsia="仿宋" w:cs="仿宋"/>
          <w:spacing w:val="8"/>
          <w:kern w:val="0"/>
          <w:sz w:val="28"/>
          <w:szCs w:val="32"/>
          <w:highlight w:val="none"/>
          <w:shd w:val="clear" w:color="auto" w:fill="FFFFFF"/>
          <w:lang w:val="en-US" w:eastAsia="zh-CN"/>
        </w:rPr>
        <w:t>8.</w:t>
      </w:r>
      <w:r>
        <w:rPr>
          <w:rFonts w:hint="eastAsia" w:ascii="仿宋" w:hAnsi="仿宋" w:eastAsia="仿宋" w:cs="仿宋"/>
          <w:spacing w:val="8"/>
          <w:kern w:val="0"/>
          <w:sz w:val="28"/>
          <w:szCs w:val="32"/>
          <w:highlight w:val="none"/>
          <w:shd w:val="clear" w:color="auto" w:fill="FFFFFF"/>
        </w:rPr>
        <w:t>封底</w:t>
      </w:r>
      <w:r>
        <w:rPr>
          <w:rFonts w:hint="eastAsia" w:ascii="仿宋" w:hAnsi="仿宋" w:eastAsia="仿宋" w:cs="仿宋"/>
          <w:spacing w:val="8"/>
          <w:kern w:val="0"/>
          <w:sz w:val="28"/>
          <w:szCs w:val="32"/>
          <w:highlight w:val="none"/>
          <w:shd w:val="clear" w:color="auto" w:fill="FFFFFF"/>
          <w:lang w:eastAsia="zh-CN"/>
        </w:rPr>
        <w:t>。</w:t>
      </w:r>
    </w:p>
    <w:p w14:paraId="5C8D2F49">
      <w:pPr>
        <w:keepNext w:val="0"/>
        <w:keepLines w:val="0"/>
        <w:pageBreakBefore w:val="0"/>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kern w:val="0"/>
          <w:sz w:val="28"/>
          <w:szCs w:val="32"/>
          <w:highlight w:val="none"/>
          <w:shd w:val="clear" w:color="auto" w:fill="FFFFFF"/>
        </w:rPr>
      </w:pPr>
      <w:r>
        <w:rPr>
          <w:rFonts w:hint="eastAsia" w:ascii="仿宋" w:hAnsi="仿宋" w:eastAsia="仿宋" w:cs="仿宋"/>
          <w:b/>
          <w:bCs/>
          <w:kern w:val="0"/>
          <w:sz w:val="28"/>
          <w:szCs w:val="32"/>
          <w:highlight w:val="none"/>
          <w:shd w:val="clear" w:color="auto" w:fill="FFFFFF"/>
        </w:rPr>
        <w:t>注：请务必按以上顺序装订资料，如有非中文资料，请同时提供中文翻译件。</w:t>
      </w:r>
    </w:p>
    <w:p w14:paraId="25C23A55">
      <w:pPr>
        <w:pStyle w:val="5"/>
        <w:keepNext w:val="0"/>
        <w:keepLines w:val="0"/>
        <w:pageBreakBefore w:val="0"/>
        <w:kinsoku/>
        <w:wordWrap/>
        <w:overflowPunct/>
        <w:topLinePunct w:val="0"/>
        <w:autoSpaceDE/>
        <w:autoSpaceDN/>
        <w:bidi w:val="0"/>
        <w:spacing w:line="400" w:lineRule="exact"/>
        <w:textAlignment w:val="auto"/>
        <w:rPr>
          <w:rFonts w:hint="eastAsia" w:ascii="仿宋" w:hAnsi="仿宋" w:eastAsia="仿宋" w:cs="仿宋"/>
          <w:b/>
          <w:bCs/>
          <w:kern w:val="0"/>
          <w:sz w:val="28"/>
          <w:szCs w:val="32"/>
          <w:highlight w:val="none"/>
          <w:shd w:val="clear" w:color="auto" w:fill="FFFFFF"/>
        </w:rPr>
      </w:pPr>
    </w:p>
    <w:p w14:paraId="0AFA168D">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仿宋"/>
          <w:sz w:val="28"/>
          <w:szCs w:val="32"/>
          <w:highlight w:val="none"/>
        </w:rPr>
      </w:pPr>
    </w:p>
    <w:p w14:paraId="1108DD2E">
      <w:pPr>
        <w:adjustRightInd w:val="0"/>
        <w:snapToGrid w:val="0"/>
        <w:spacing w:line="580" w:lineRule="exact"/>
        <w:rPr>
          <w:rFonts w:hint="eastAsia" w:ascii="仿宋" w:hAnsi="仿宋" w:eastAsia="仿宋" w:cs="仿宋"/>
          <w:sz w:val="28"/>
          <w:szCs w:val="32"/>
          <w:highlight w:val="none"/>
        </w:rPr>
      </w:pPr>
    </w:p>
    <w:p w14:paraId="243FE7D6">
      <w:pPr>
        <w:rPr>
          <w:rFonts w:hint="eastAsia" w:ascii="仿宋" w:hAnsi="仿宋" w:eastAsia="仿宋" w:cs="仿宋"/>
          <w:sz w:val="28"/>
          <w:szCs w:val="32"/>
          <w:highlight w:val="none"/>
        </w:rPr>
      </w:pPr>
      <w:r>
        <w:rPr>
          <w:rFonts w:hint="eastAsia" w:ascii="仿宋" w:hAnsi="仿宋" w:eastAsia="仿宋" w:cs="仿宋"/>
          <w:sz w:val="28"/>
          <w:szCs w:val="32"/>
          <w:highlight w:val="none"/>
        </w:rPr>
        <w:br w:type="page"/>
      </w:r>
    </w:p>
    <w:p w14:paraId="73E4C1CE">
      <w:pPr>
        <w:adjustRightInd w:val="0"/>
        <w:snapToGrid w:val="0"/>
        <w:spacing w:line="580" w:lineRule="exact"/>
        <w:outlineLvl w:val="0"/>
        <w:rPr>
          <w:rFonts w:hint="eastAsia" w:ascii="仿宋" w:hAnsi="仿宋" w:eastAsia="仿宋" w:cs="仿宋"/>
          <w:sz w:val="28"/>
          <w:szCs w:val="32"/>
          <w:highlight w:val="none"/>
          <w:lang w:val="en-US" w:eastAsia="zh-CN"/>
        </w:rPr>
      </w:pPr>
      <w:r>
        <w:rPr>
          <w:rFonts w:hint="eastAsia" w:ascii="仿宋" w:hAnsi="仿宋" w:eastAsia="仿宋" w:cs="仿宋"/>
          <w:sz w:val="28"/>
          <w:szCs w:val="32"/>
          <w:highlight w:val="none"/>
        </w:rPr>
        <w:t>附件</w:t>
      </w:r>
      <w:r>
        <w:rPr>
          <w:rFonts w:hint="eastAsia" w:ascii="仿宋" w:hAnsi="仿宋" w:eastAsia="仿宋" w:cs="仿宋"/>
          <w:sz w:val="28"/>
          <w:szCs w:val="32"/>
          <w:highlight w:val="none"/>
          <w:lang w:val="en-US" w:eastAsia="zh-CN"/>
        </w:rPr>
        <w:t>5</w:t>
      </w:r>
      <w:r>
        <w:rPr>
          <w:rFonts w:hint="eastAsia" w:ascii="仿宋" w:hAnsi="仿宋" w:eastAsia="仿宋" w:cs="仿宋"/>
          <w:sz w:val="28"/>
          <w:szCs w:val="32"/>
          <w:highlight w:val="none"/>
        </w:rPr>
        <w:t>：主要表格</w:t>
      </w:r>
      <w:r>
        <w:rPr>
          <w:rFonts w:hint="eastAsia" w:ascii="仿宋" w:hAnsi="仿宋" w:eastAsia="仿宋" w:cs="仿宋"/>
          <w:sz w:val="28"/>
          <w:szCs w:val="32"/>
          <w:highlight w:val="none"/>
          <w:lang w:val="en-US" w:eastAsia="zh-CN"/>
        </w:rPr>
        <w:t>格式</w:t>
      </w:r>
    </w:p>
    <w:p w14:paraId="50DC021F">
      <w:pPr>
        <w:widowControl/>
        <w:shd w:val="clear" w:color="auto" w:fill="FFFFFF"/>
        <w:wordWrap w:val="0"/>
        <w:spacing w:line="400" w:lineRule="atLeast"/>
        <w:jc w:val="left"/>
        <w:outlineLvl w:val="1"/>
        <w:rPr>
          <w:rFonts w:hint="eastAsia" w:ascii="仿宋" w:hAnsi="仿宋" w:eastAsia="仿宋" w:cs="仿宋"/>
          <w:color w:val="auto"/>
          <w:kern w:val="0"/>
          <w:sz w:val="30"/>
          <w:szCs w:val="30"/>
          <w:highlight w:val="none"/>
          <w:u w:val="single"/>
          <w:lang w:val="en-US" w:eastAsia="zh-CN"/>
        </w:rPr>
      </w:pPr>
      <w:r>
        <w:rPr>
          <w:rFonts w:hint="eastAsia" w:ascii="仿宋" w:hAnsi="仿宋" w:eastAsia="仿宋" w:cs="仿宋"/>
          <w:b/>
          <w:bCs/>
          <w:color w:val="auto"/>
          <w:kern w:val="0"/>
          <w:sz w:val="24"/>
          <w:szCs w:val="24"/>
          <w:highlight w:val="none"/>
        </w:rPr>
        <w:t>附件</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-1：</w:t>
      </w:r>
    </w:p>
    <w:p w14:paraId="472BD5A2">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outlineLvl w:val="1"/>
        <w:rPr>
          <w:rFonts w:hint="eastAsia" w:ascii="仿宋" w:hAnsi="仿宋" w:eastAsia="仿宋" w:cs="仿宋"/>
          <w:sz w:val="44"/>
          <w:szCs w:val="44"/>
          <w:highlight w:val="none"/>
        </w:rPr>
      </w:pPr>
      <w:r>
        <w:rPr>
          <w:rFonts w:hint="eastAsia" w:ascii="仿宋" w:hAnsi="仿宋" w:eastAsia="仿宋" w:cs="仿宋"/>
          <w:color w:val="auto"/>
          <w:kern w:val="0"/>
          <w:sz w:val="30"/>
          <w:szCs w:val="30"/>
          <w:highlight w:val="none"/>
          <w:u w:val="single"/>
          <w:lang w:val="en-US" w:eastAsia="zh-CN"/>
        </w:rPr>
        <w:t>项目名称</w:t>
      </w:r>
      <w:r>
        <w:rPr>
          <w:rFonts w:hint="eastAsia" w:ascii="仿宋" w:hAnsi="仿宋" w:eastAsia="仿宋" w:cs="仿宋"/>
          <w:color w:val="auto"/>
          <w:kern w:val="0"/>
          <w:sz w:val="30"/>
          <w:szCs w:val="30"/>
          <w:highlight w:val="none"/>
          <w:lang w:val="en-US" w:eastAsia="zh-CN"/>
        </w:rPr>
        <w:t>采购项目报价一览表</w:t>
      </w:r>
    </w:p>
    <w:tbl>
      <w:tblPr>
        <w:tblStyle w:val="12"/>
        <w:tblW w:w="9855" w:type="dxa"/>
        <w:jc w:val="center"/>
        <w:tblLayout w:type="fixed"/>
        <w:tblCellMar>
          <w:top w:w="0" w:type="dxa"/>
          <w:left w:w="0" w:type="dxa"/>
          <w:bottom w:w="0" w:type="dxa"/>
          <w:right w:w="0" w:type="dxa"/>
        </w:tblCellMar>
      </w:tblPr>
      <w:tblGrid>
        <w:gridCol w:w="423"/>
        <w:gridCol w:w="2886"/>
        <w:gridCol w:w="1310"/>
        <w:gridCol w:w="1741"/>
        <w:gridCol w:w="1279"/>
        <w:gridCol w:w="2216"/>
      </w:tblGrid>
      <w:tr w14:paraId="07598ADC">
        <w:tblPrEx>
          <w:tblCellMar>
            <w:top w:w="0" w:type="dxa"/>
            <w:left w:w="0" w:type="dxa"/>
            <w:bottom w:w="0" w:type="dxa"/>
            <w:right w:w="0" w:type="dxa"/>
          </w:tblCellMar>
        </w:tblPrEx>
        <w:trPr>
          <w:trHeight w:val="771" w:hRule="atLeast"/>
          <w:jc w:val="center"/>
        </w:trPr>
        <w:tc>
          <w:tcPr>
            <w:tcW w:w="4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FE26C">
            <w:pPr>
              <w:widowControl/>
              <w:jc w:val="center"/>
              <w:textAlignment w:val="center"/>
              <w:rPr>
                <w:rFonts w:hint="eastAsia" w:ascii="仿宋" w:hAnsi="仿宋" w:eastAsia="仿宋" w:cs="仿宋"/>
                <w:b/>
                <w:bCs/>
                <w:sz w:val="24"/>
                <w:highlight w:val="none"/>
              </w:rPr>
            </w:pPr>
            <w:r>
              <w:rPr>
                <w:rFonts w:hint="eastAsia" w:ascii="仿宋" w:hAnsi="仿宋" w:eastAsia="仿宋" w:cs="仿宋"/>
                <w:b/>
                <w:bCs/>
                <w:color w:val="000000"/>
                <w:kern w:val="0"/>
                <w:sz w:val="24"/>
                <w:highlight w:val="none"/>
                <w:lang w:bidi="ar"/>
              </w:rPr>
              <w:t>序号</w:t>
            </w:r>
          </w:p>
        </w:tc>
        <w:tc>
          <w:tcPr>
            <w:tcW w:w="28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76F82">
            <w:pPr>
              <w:widowControl/>
              <w:jc w:val="center"/>
              <w:textAlignment w:val="center"/>
              <w:rPr>
                <w:rFonts w:hint="eastAsia" w:ascii="仿宋" w:hAnsi="仿宋" w:eastAsia="仿宋" w:cs="仿宋"/>
                <w:b/>
                <w:bCs/>
                <w:sz w:val="24"/>
                <w:highlight w:val="none"/>
                <w:lang w:val="en-US" w:eastAsia="zh-CN"/>
              </w:rPr>
            </w:pPr>
            <w:r>
              <w:rPr>
                <w:rFonts w:hint="eastAsia" w:ascii="仿宋" w:hAnsi="仿宋" w:eastAsia="仿宋" w:cs="仿宋"/>
                <w:b/>
                <w:bCs/>
                <w:color w:val="000000"/>
                <w:kern w:val="0"/>
                <w:sz w:val="24"/>
                <w:highlight w:val="none"/>
                <w:lang w:val="en-US" w:eastAsia="zh-CN" w:bidi="ar"/>
              </w:rPr>
              <w:t>标的名称</w:t>
            </w:r>
          </w:p>
        </w:tc>
        <w:tc>
          <w:tcPr>
            <w:tcW w:w="1310"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48CA8AFF">
            <w:pPr>
              <w:widowControl/>
              <w:adjustRightInd w:val="0"/>
              <w:snapToGrid w:val="0"/>
              <w:spacing w:after="0" w:line="360" w:lineRule="auto"/>
              <w:jc w:val="center"/>
              <w:rPr>
                <w:rFonts w:hint="default" w:ascii="仿宋" w:hAnsi="仿宋" w:eastAsia="仿宋" w:cs="仿宋"/>
                <w:b/>
                <w:color w:val="000000" w:themeColor="text1"/>
                <w:szCs w:val="21"/>
                <w:highlight w:val="none"/>
                <w:lang w:val="en-US" w:eastAsia="zh-CN"/>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数量</w:t>
            </w:r>
          </w:p>
        </w:tc>
        <w:tc>
          <w:tcPr>
            <w:tcW w:w="1741"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16BD3D3B">
            <w:pPr>
              <w:widowControl/>
              <w:adjustRightInd w:val="0"/>
              <w:snapToGrid w:val="0"/>
              <w:spacing w:after="0" w:line="360" w:lineRule="auto"/>
              <w:jc w:val="center"/>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最高限价</w:t>
            </w:r>
          </w:p>
          <w:p w14:paraId="72C19BE6">
            <w:pPr>
              <w:widowControl/>
              <w:adjustRightInd w:val="0"/>
              <w:snapToGrid w:val="0"/>
              <w:spacing w:after="0" w:line="360" w:lineRule="auto"/>
              <w:jc w:val="center"/>
              <w:rPr>
                <w:rFonts w:hint="eastAsia" w:ascii="仿宋" w:hAnsi="仿宋" w:eastAsia="仿宋" w:cs="仿宋"/>
                <w:b/>
                <w:bCs/>
                <w:color w:val="000000"/>
                <w:kern w:val="0"/>
                <w:sz w:val="24"/>
                <w:highlight w:val="none"/>
                <w:lang w:val="en-US" w:eastAsia="zh-CN" w:bidi="ar"/>
              </w:rPr>
            </w:pPr>
            <w:r>
              <w:rPr>
                <w:rFonts w:hint="eastAsia" w:ascii="仿宋" w:hAnsi="仿宋" w:eastAsia="仿宋" w:cs="仿宋"/>
                <w:b/>
                <w:color w:val="000000" w:themeColor="text1"/>
                <w:szCs w:val="21"/>
                <w:highlight w:val="none"/>
                <w14:textFill>
                  <w14:solidFill>
                    <w14:schemeClr w14:val="tx1"/>
                  </w14:solidFill>
                </w14:textFill>
              </w:rPr>
              <w:t>（</w:t>
            </w:r>
            <w:r>
              <w:rPr>
                <w:rFonts w:hint="eastAsia" w:ascii="仿宋" w:hAnsi="仿宋" w:eastAsia="仿宋" w:cs="仿宋"/>
                <w:b/>
                <w:color w:val="000000" w:themeColor="text1"/>
                <w:szCs w:val="21"/>
                <w:highlight w:val="none"/>
                <w:lang w:val="en-US" w:eastAsia="zh-CN"/>
                <w14:textFill>
                  <w14:solidFill>
                    <w14:schemeClr w14:val="tx1"/>
                  </w14:solidFill>
                </w14:textFill>
              </w:rPr>
              <w:t>万</w:t>
            </w:r>
            <w:r>
              <w:rPr>
                <w:rFonts w:hint="eastAsia" w:ascii="仿宋" w:hAnsi="仿宋" w:eastAsia="仿宋" w:cs="仿宋"/>
                <w:b/>
                <w:color w:val="000000" w:themeColor="text1"/>
                <w:szCs w:val="21"/>
                <w:highlight w:val="none"/>
                <w14:textFill>
                  <w14:solidFill>
                    <w14:schemeClr w14:val="tx1"/>
                  </w14:solidFill>
                </w14:textFill>
              </w:rPr>
              <w:t>元）</w:t>
            </w:r>
          </w:p>
        </w:tc>
        <w:tc>
          <w:tcPr>
            <w:tcW w:w="1279"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68CD1195">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000000"/>
                <w:kern w:val="0"/>
                <w:sz w:val="24"/>
                <w:highlight w:val="none"/>
                <w:lang w:val="en-US" w:eastAsia="zh-CN" w:bidi="ar"/>
              </w:rPr>
            </w:pPr>
            <w:r>
              <w:rPr>
                <w:rFonts w:hint="eastAsia" w:ascii="仿宋" w:hAnsi="仿宋" w:eastAsia="仿宋" w:cs="仿宋"/>
                <w:color w:val="000000"/>
                <w:sz w:val="24"/>
                <w:szCs w:val="24"/>
                <w:highlight w:val="none"/>
                <w:vertAlign w:val="baseline"/>
                <w:lang w:val="en-US" w:eastAsia="zh-CN"/>
              </w:rPr>
              <w:t>计量单位</w:t>
            </w:r>
          </w:p>
        </w:tc>
        <w:tc>
          <w:tcPr>
            <w:tcW w:w="221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EF74974">
            <w:pPr>
              <w:widowControl/>
              <w:jc w:val="center"/>
              <w:textAlignment w:val="center"/>
              <w:rPr>
                <w:rFonts w:hint="eastAsia" w:ascii="仿宋" w:hAnsi="仿宋" w:eastAsia="仿宋" w:cs="仿宋"/>
                <w:b/>
                <w:bCs/>
                <w:kern w:val="0"/>
                <w:sz w:val="24"/>
                <w:highlight w:val="none"/>
                <w:lang w:bidi="ar"/>
              </w:rPr>
            </w:pPr>
            <w:r>
              <w:rPr>
                <w:rFonts w:hint="eastAsia" w:ascii="仿宋" w:hAnsi="仿宋" w:eastAsia="仿宋" w:cs="仿宋"/>
                <w:b/>
                <w:bCs/>
                <w:kern w:val="0"/>
                <w:sz w:val="24"/>
                <w:highlight w:val="none"/>
                <w:lang w:val="en-US" w:eastAsia="zh-CN" w:bidi="ar"/>
              </w:rPr>
              <w:t>报价</w:t>
            </w:r>
            <w:r>
              <w:rPr>
                <w:rFonts w:hint="eastAsia" w:ascii="仿宋" w:hAnsi="仿宋" w:eastAsia="仿宋" w:cs="仿宋"/>
                <w:b/>
                <w:bCs/>
                <w:kern w:val="0"/>
                <w:sz w:val="24"/>
                <w:highlight w:val="none"/>
                <w:lang w:bidi="ar"/>
              </w:rPr>
              <w:t>（</w:t>
            </w:r>
            <w:r>
              <w:rPr>
                <w:rFonts w:hint="eastAsia" w:ascii="仿宋" w:hAnsi="仿宋" w:eastAsia="仿宋" w:cs="仿宋"/>
                <w:b/>
                <w:bCs/>
                <w:kern w:val="0"/>
                <w:sz w:val="24"/>
                <w:highlight w:val="none"/>
                <w:lang w:val="en-US" w:eastAsia="zh-CN" w:bidi="ar"/>
              </w:rPr>
              <w:t>万</w:t>
            </w:r>
            <w:r>
              <w:rPr>
                <w:rFonts w:hint="eastAsia" w:ascii="仿宋" w:hAnsi="仿宋" w:eastAsia="仿宋" w:cs="仿宋"/>
                <w:b/>
                <w:bCs/>
                <w:kern w:val="0"/>
                <w:sz w:val="24"/>
                <w:highlight w:val="none"/>
                <w:lang w:bidi="ar"/>
              </w:rPr>
              <w:t>元）</w:t>
            </w:r>
          </w:p>
        </w:tc>
      </w:tr>
      <w:tr w14:paraId="4DA208EA">
        <w:tblPrEx>
          <w:tblCellMar>
            <w:top w:w="0" w:type="dxa"/>
            <w:left w:w="0" w:type="dxa"/>
            <w:bottom w:w="0" w:type="dxa"/>
            <w:right w:w="0" w:type="dxa"/>
          </w:tblCellMar>
        </w:tblPrEx>
        <w:trPr>
          <w:trHeight w:val="964" w:hRule="atLeast"/>
          <w:jc w:val="center"/>
        </w:trPr>
        <w:tc>
          <w:tcPr>
            <w:tcW w:w="4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6C0DF">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000000"/>
                <w:kern w:val="0"/>
                <w:sz w:val="24"/>
                <w:highlight w:val="none"/>
                <w:lang w:bidi="ar"/>
              </w:rPr>
            </w:pPr>
            <w:r>
              <w:rPr>
                <w:rFonts w:hint="eastAsia" w:ascii="仿宋" w:hAnsi="仿宋" w:eastAsia="仿宋" w:cs="仿宋"/>
                <w:color w:val="000000"/>
                <w:sz w:val="24"/>
                <w:szCs w:val="24"/>
                <w:highlight w:val="none"/>
                <w:vertAlign w:val="baseline"/>
                <w:lang w:val="en-US" w:eastAsia="zh-CN"/>
              </w:rPr>
              <w:t>1</w:t>
            </w:r>
          </w:p>
        </w:tc>
        <w:tc>
          <w:tcPr>
            <w:tcW w:w="28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5EE65">
            <w:pPr>
              <w:widowControl/>
              <w:adjustRightInd w:val="0"/>
              <w:snapToGrid w:val="0"/>
              <w:spacing w:line="300" w:lineRule="exact"/>
              <w:contextualSpacing/>
              <w:jc w:val="center"/>
              <w:rPr>
                <w:rFonts w:hint="eastAsia" w:ascii="仿宋" w:hAnsi="仿宋" w:eastAsia="仿宋" w:cs="仿宋"/>
                <w:b/>
                <w:bCs/>
                <w:color w:val="000000"/>
                <w:kern w:val="0"/>
                <w:sz w:val="24"/>
                <w:highlight w:val="none"/>
                <w:lang w:bidi="ar"/>
              </w:rPr>
            </w:pPr>
            <w:r>
              <w:rPr>
                <w:rFonts w:hint="eastAsia" w:ascii="仿宋" w:hAnsi="仿宋" w:eastAsia="仿宋" w:cs="仿宋"/>
                <w:b w:val="0"/>
                <w:bCs w:val="0"/>
                <w:color w:val="000000"/>
                <w:kern w:val="0"/>
                <w:sz w:val="24"/>
                <w:highlight w:val="none"/>
                <w:lang w:val="en-US" w:eastAsia="zh-CN" w:bidi="ar"/>
              </w:rPr>
              <w:t>医学遗传实验室信息系统</w:t>
            </w:r>
          </w:p>
        </w:tc>
        <w:tc>
          <w:tcPr>
            <w:tcW w:w="1310"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390664BE">
            <w:pPr>
              <w:widowControl/>
              <w:adjustRightInd w:val="0"/>
              <w:snapToGrid w:val="0"/>
              <w:spacing w:after="0" w:line="360" w:lineRule="auto"/>
              <w:jc w:val="center"/>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w:t>
            </w:r>
          </w:p>
        </w:tc>
        <w:tc>
          <w:tcPr>
            <w:tcW w:w="1741"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6903D2D3">
            <w:pPr>
              <w:widowControl/>
              <w:adjustRightInd w:val="0"/>
              <w:snapToGrid w:val="0"/>
              <w:spacing w:after="0" w:line="360" w:lineRule="auto"/>
              <w:jc w:val="center"/>
              <w:rPr>
                <w:rFonts w:hint="default" w:ascii="仿宋" w:hAnsi="仿宋" w:eastAsia="仿宋" w:cs="仿宋"/>
                <w:b/>
                <w:bCs/>
                <w:color w:val="000000"/>
                <w:kern w:val="0"/>
                <w:sz w:val="24"/>
                <w:highlight w:val="none"/>
                <w:lang w:val="en-US" w:eastAsia="zh-CN" w:bidi="ar"/>
              </w:rPr>
            </w:pPr>
            <w:r>
              <w:rPr>
                <w:rFonts w:hint="eastAsia" w:ascii="仿宋" w:hAnsi="仿宋" w:eastAsia="仿宋" w:cs="仿宋"/>
                <w:b w:val="0"/>
                <w:bCs w:val="0"/>
                <w:color w:val="000000" w:themeColor="text1"/>
                <w:kern w:val="2"/>
                <w:sz w:val="21"/>
                <w:szCs w:val="21"/>
                <w:highlight w:val="none"/>
                <w:lang w:val="en-US" w:eastAsia="zh-CN" w:bidi="ar"/>
                <w14:textFill>
                  <w14:solidFill>
                    <w14:schemeClr w14:val="tx1"/>
                  </w14:solidFill>
                </w14:textFill>
              </w:rPr>
              <w:t>49</w:t>
            </w:r>
          </w:p>
        </w:tc>
        <w:tc>
          <w:tcPr>
            <w:tcW w:w="1279"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16F01FED">
            <w:pPr>
              <w:widowControl/>
              <w:adjustRightInd w:val="0"/>
              <w:snapToGrid w:val="0"/>
              <w:spacing w:line="300" w:lineRule="exact"/>
              <w:contextualSpacing/>
              <w:jc w:val="center"/>
              <w:rPr>
                <w:rFonts w:hint="eastAsia" w:ascii="仿宋" w:hAnsi="仿宋" w:eastAsia="仿宋" w:cs="仿宋"/>
                <w:b w:val="0"/>
                <w:bCs w:val="0"/>
                <w:color w:val="000000"/>
                <w:kern w:val="0"/>
                <w:sz w:val="24"/>
                <w:highlight w:val="none"/>
                <w:lang w:val="en-US" w:eastAsia="zh-CN" w:bidi="ar"/>
              </w:rPr>
            </w:pPr>
            <w:r>
              <w:rPr>
                <w:rFonts w:hint="eastAsia" w:ascii="仿宋" w:hAnsi="仿宋" w:eastAsia="仿宋" w:cs="仿宋"/>
                <w:b w:val="0"/>
                <w:bCs w:val="0"/>
                <w:kern w:val="0"/>
                <w:sz w:val="22"/>
              </w:rPr>
              <w:t>套</w:t>
            </w:r>
          </w:p>
        </w:tc>
        <w:tc>
          <w:tcPr>
            <w:tcW w:w="221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9B32B0E">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kern w:val="0"/>
                <w:sz w:val="24"/>
                <w:highlight w:val="none"/>
                <w:lang w:bidi="ar"/>
              </w:rPr>
            </w:pPr>
          </w:p>
        </w:tc>
      </w:tr>
    </w:tbl>
    <w:p w14:paraId="21A81EA1">
      <w:pPr>
        <w:widowControl/>
        <w:shd w:val="clear" w:color="auto" w:fill="FFFFFF"/>
        <w:wordWrap w:val="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651FDFAD">
      <w:pPr>
        <w:keepNext w:val="0"/>
        <w:keepLines w:val="0"/>
        <w:pageBreakBefore w:val="0"/>
        <w:widowControl/>
        <w:shd w:val="clear" w:color="auto" w:fill="FFFFFF"/>
        <w:kinsoku/>
        <w:wordWrap w:val="0"/>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1.报价应是最终用户验收合格后的总价，包括设备运输、保险、代理、安装调试、培训、税费、系统集成费用和采购文件规定的其它费用。</w:t>
      </w:r>
    </w:p>
    <w:p w14:paraId="19EF0150">
      <w:pPr>
        <w:keepNext w:val="0"/>
        <w:keepLines w:val="0"/>
        <w:pageBreakBefore w:val="0"/>
        <w:widowControl/>
        <w:shd w:val="clear" w:color="auto" w:fill="FFFFFF"/>
        <w:kinsoku/>
        <w:wordWrap w:val="0"/>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2.“报价表”为多页的，每页均需由法定代表人或授权代表签字并盖</w:t>
      </w:r>
      <w:r>
        <w:rPr>
          <w:rFonts w:hint="eastAsia" w:ascii="仿宋" w:hAnsi="仿宋" w:eastAsia="仿宋" w:cs="仿宋"/>
          <w:color w:val="auto"/>
          <w:kern w:val="0"/>
          <w:sz w:val="24"/>
          <w:szCs w:val="24"/>
          <w:highlight w:val="none"/>
          <w:lang w:eastAsia="zh-CN"/>
        </w:rPr>
        <w:t>供应商</w:t>
      </w:r>
      <w:r>
        <w:rPr>
          <w:rFonts w:hint="eastAsia" w:ascii="仿宋" w:hAnsi="仿宋" w:eastAsia="仿宋" w:cs="仿宋"/>
          <w:color w:val="auto"/>
          <w:kern w:val="0"/>
          <w:sz w:val="24"/>
          <w:szCs w:val="24"/>
          <w:highlight w:val="none"/>
        </w:rPr>
        <w:t>印章。</w:t>
      </w:r>
    </w:p>
    <w:p w14:paraId="68EFFF9B">
      <w:pPr>
        <w:keepNext w:val="0"/>
        <w:keepLines w:val="0"/>
        <w:pageBreakBefore w:val="0"/>
        <w:widowControl/>
        <w:shd w:val="clear" w:color="auto" w:fill="FFFFFF"/>
        <w:kinsoku/>
        <w:wordWrap w:val="0"/>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3.单价报价超过单价最高限价的为无效报价，供应商响应文件将作无效响应处理。</w:t>
      </w:r>
    </w:p>
    <w:p w14:paraId="24459F75">
      <w:pPr>
        <w:widowControl/>
        <w:shd w:val="clear" w:color="auto" w:fill="FFFFFF"/>
        <w:wordWrap w:val="0"/>
        <w:jc w:val="left"/>
        <w:rPr>
          <w:rFonts w:hint="eastAsia" w:ascii="仿宋" w:hAnsi="仿宋" w:eastAsia="仿宋" w:cs="仿宋"/>
          <w:color w:val="auto"/>
          <w:kern w:val="0"/>
          <w:sz w:val="24"/>
          <w:szCs w:val="24"/>
          <w:highlight w:val="none"/>
        </w:rPr>
      </w:pPr>
    </w:p>
    <w:p w14:paraId="091500B5">
      <w:pPr>
        <w:widowControl/>
        <w:shd w:val="clear" w:color="auto" w:fill="FFFFFF"/>
        <w:wordWrap w:val="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供应商名称：（盖章）</w:t>
      </w:r>
    </w:p>
    <w:p w14:paraId="6A53BCA4">
      <w:pPr>
        <w:widowControl/>
        <w:shd w:val="clear" w:color="auto" w:fill="FFFFFF"/>
        <w:wordWrap w:val="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法定代表人或授权代表（签字）：</w:t>
      </w:r>
    </w:p>
    <w:p w14:paraId="22361920">
      <w:pPr>
        <w:widowControl/>
        <w:shd w:val="clear" w:color="auto" w:fill="FFFFFF"/>
        <w:wordWrap w:val="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日期：</w:t>
      </w:r>
    </w:p>
    <w:p w14:paraId="31E20DAA">
      <w:pPr>
        <w:rPr>
          <w:rFonts w:hint="eastAsia" w:ascii="仿宋" w:hAnsi="仿宋" w:eastAsia="仿宋" w:cs="仿宋"/>
          <w:b/>
          <w:bCs/>
          <w:kern w:val="0"/>
          <w:sz w:val="28"/>
          <w:szCs w:val="32"/>
          <w:highlight w:val="none"/>
          <w:shd w:val="clear" w:color="auto" w:fill="FFFFFF"/>
        </w:rPr>
      </w:pPr>
      <w:r>
        <w:rPr>
          <w:rFonts w:hint="eastAsia" w:ascii="仿宋" w:hAnsi="仿宋" w:eastAsia="仿宋" w:cs="仿宋"/>
          <w:b/>
          <w:bCs/>
          <w:kern w:val="0"/>
          <w:sz w:val="28"/>
          <w:szCs w:val="32"/>
          <w:highlight w:val="none"/>
          <w:shd w:val="clear" w:color="auto" w:fill="FFFFFF"/>
        </w:rPr>
        <w:br w:type="page"/>
      </w:r>
    </w:p>
    <w:p w14:paraId="729C8BCA">
      <w:pPr>
        <w:rPr>
          <w:rFonts w:hint="eastAsia" w:ascii="仿宋" w:hAnsi="仿宋" w:eastAsia="仿宋" w:cs="仿宋"/>
          <w:b/>
          <w:bCs/>
          <w:color w:val="auto"/>
          <w:kern w:val="0"/>
          <w:sz w:val="24"/>
          <w:szCs w:val="24"/>
          <w:highlight w:val="none"/>
        </w:rPr>
      </w:pPr>
    </w:p>
    <w:p w14:paraId="1B94AD0E">
      <w:pPr>
        <w:widowControl/>
        <w:shd w:val="clear" w:color="auto" w:fill="FFFFFF"/>
        <w:wordWrap w:val="0"/>
        <w:spacing w:line="400" w:lineRule="atLeast"/>
        <w:jc w:val="left"/>
        <w:rPr>
          <w:rFonts w:hint="eastAsia" w:ascii="仿宋" w:hAnsi="仿宋" w:eastAsia="仿宋" w:cs="仿宋"/>
          <w:color w:val="auto"/>
          <w:kern w:val="0"/>
          <w:sz w:val="18"/>
          <w:szCs w:val="18"/>
          <w:highlight w:val="none"/>
        </w:rPr>
      </w:pPr>
      <w:r>
        <w:rPr>
          <w:rFonts w:hint="eastAsia" w:ascii="仿宋" w:hAnsi="仿宋" w:eastAsia="仿宋" w:cs="仿宋"/>
          <w:b/>
          <w:bCs/>
          <w:color w:val="auto"/>
          <w:kern w:val="0"/>
          <w:sz w:val="24"/>
          <w:szCs w:val="24"/>
          <w:highlight w:val="none"/>
        </w:rPr>
        <w:t>附件</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2</w:t>
      </w:r>
      <w:r>
        <w:rPr>
          <w:rFonts w:hint="eastAsia" w:ascii="仿宋" w:hAnsi="仿宋" w:eastAsia="仿宋" w:cs="仿宋"/>
          <w:b/>
          <w:bCs/>
          <w:color w:val="auto"/>
          <w:kern w:val="0"/>
          <w:sz w:val="24"/>
          <w:szCs w:val="24"/>
          <w:highlight w:val="none"/>
        </w:rPr>
        <w:t>：</w:t>
      </w:r>
    </w:p>
    <w:p w14:paraId="24EEED2A">
      <w:pPr>
        <w:widowControl/>
        <w:shd w:val="clear" w:color="auto" w:fill="FFFFFF"/>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b/>
          <w:bCs/>
          <w:color w:val="auto"/>
          <w:kern w:val="0"/>
          <w:sz w:val="24"/>
          <w:szCs w:val="24"/>
          <w:highlight w:val="none"/>
        </w:rPr>
        <w:t>技术、商务要求偏离表</w:t>
      </w:r>
    </w:p>
    <w:tbl>
      <w:tblPr>
        <w:tblStyle w:val="12"/>
        <w:tblW w:w="0" w:type="auto"/>
        <w:jc w:val="center"/>
        <w:tblLayout w:type="autofit"/>
        <w:tblCellMar>
          <w:top w:w="0" w:type="dxa"/>
          <w:left w:w="0" w:type="dxa"/>
          <w:bottom w:w="0" w:type="dxa"/>
          <w:right w:w="0" w:type="dxa"/>
        </w:tblCellMar>
      </w:tblPr>
      <w:tblGrid>
        <w:gridCol w:w="1055"/>
        <w:gridCol w:w="2299"/>
        <w:gridCol w:w="2299"/>
        <w:gridCol w:w="2869"/>
      </w:tblGrid>
      <w:tr w14:paraId="24F3A2F8">
        <w:tblPrEx>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B67E2F5">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序号</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523DABF">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lang w:val="en-US" w:eastAsia="zh-CN"/>
              </w:rPr>
              <w:t>采购文件</w:t>
            </w:r>
            <w:r>
              <w:rPr>
                <w:rFonts w:hint="eastAsia" w:ascii="仿宋" w:hAnsi="仿宋" w:eastAsia="仿宋" w:cs="仿宋"/>
                <w:color w:val="auto"/>
                <w:kern w:val="0"/>
                <w:sz w:val="24"/>
                <w:szCs w:val="24"/>
                <w:highlight w:val="none"/>
              </w:rPr>
              <w:t>要求</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C3AB45A">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kern w:val="0"/>
                <w:sz w:val="24"/>
                <w:szCs w:val="24"/>
                <w:highlight w:val="none"/>
              </w:rPr>
              <w:t>响应</w:t>
            </w:r>
          </w:p>
        </w:tc>
        <w:tc>
          <w:tcPr>
            <w:tcW w:w="351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390B262">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偏离及其影响</w:t>
            </w:r>
          </w:p>
        </w:tc>
      </w:tr>
      <w:tr w14:paraId="23E91A58">
        <w:tblPrEx>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7363C6A">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1EF2F6C9">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5E9B6D16">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14:paraId="2A676130">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48B520C3">
        <w:tblPrEx>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AF2C874">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4507B165">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3210DF56">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14:paraId="2DFF8758">
            <w:pPr>
              <w:widowControl/>
              <w:wordWrap w:val="0"/>
              <w:spacing w:line="270"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bl>
    <w:p w14:paraId="45EA9447">
      <w:pPr>
        <w:widowControl/>
        <w:shd w:val="clear" w:color="auto" w:fill="FFFFFF"/>
        <w:wordWrap w:val="0"/>
        <w:spacing w:line="360" w:lineRule="auto"/>
        <w:ind w:firstLine="480"/>
        <w:jc w:val="left"/>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注：</w:t>
      </w:r>
    </w:p>
    <w:p w14:paraId="5BD17191">
      <w:pPr>
        <w:widowControl/>
        <w:shd w:val="clear" w:color="auto" w:fill="FFFFFF"/>
        <w:wordWrap w:val="0"/>
        <w:spacing w:line="360" w:lineRule="auto"/>
        <w:ind w:firstLine="420"/>
        <w:jc w:val="left"/>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1.供应商根据</w:t>
      </w:r>
      <w:r>
        <w:rPr>
          <w:rFonts w:hint="eastAsia" w:ascii="仿宋" w:hAnsi="仿宋" w:eastAsia="仿宋" w:cs="仿宋"/>
          <w:color w:val="auto"/>
          <w:kern w:val="0"/>
          <w:sz w:val="22"/>
          <w:highlight w:val="none"/>
          <w:lang w:val="en-US" w:eastAsia="zh-CN"/>
        </w:rPr>
        <w:t>附件1“采购需求”中的</w:t>
      </w:r>
      <w:r>
        <w:rPr>
          <w:rFonts w:hint="eastAsia" w:ascii="仿宋" w:hAnsi="仿宋" w:eastAsia="仿宋" w:cs="仿宋"/>
          <w:color w:val="auto"/>
          <w:kern w:val="0"/>
          <w:sz w:val="22"/>
          <w:highlight w:val="none"/>
        </w:rPr>
        <w:t>“技术要求”</w:t>
      </w:r>
      <w:r>
        <w:rPr>
          <w:rFonts w:hint="eastAsia" w:ascii="仿宋" w:hAnsi="仿宋" w:eastAsia="仿宋" w:cs="仿宋"/>
          <w:color w:val="auto"/>
          <w:kern w:val="0"/>
          <w:sz w:val="22"/>
          <w:highlight w:val="none"/>
          <w:lang w:val="en-US" w:eastAsia="zh-CN"/>
        </w:rPr>
        <w:t>、“商务要求”</w:t>
      </w:r>
      <w:r>
        <w:rPr>
          <w:rFonts w:hint="eastAsia" w:ascii="仿宋" w:hAnsi="仿宋" w:eastAsia="仿宋" w:cs="仿宋"/>
          <w:color w:val="auto"/>
          <w:kern w:val="0"/>
          <w:sz w:val="22"/>
          <w:highlight w:val="none"/>
        </w:rPr>
        <w:t>，对应进行填写。未单独填写的条款，视为默认响应。</w:t>
      </w:r>
    </w:p>
    <w:p w14:paraId="19E9E000">
      <w:pPr>
        <w:widowControl/>
        <w:shd w:val="clear" w:color="auto" w:fill="FFFFFF"/>
        <w:wordWrap w:val="0"/>
        <w:spacing w:line="360" w:lineRule="auto"/>
        <w:ind w:firstLine="420"/>
        <w:jc w:val="left"/>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2.若无偏离，可在偏离情况中填“/”；若有偏离，需在偏离情况中进行说明；</w:t>
      </w:r>
    </w:p>
    <w:p w14:paraId="01C400D5">
      <w:pPr>
        <w:widowControl/>
        <w:shd w:val="clear" w:color="auto" w:fill="FFFFFF"/>
        <w:wordWrap w:val="0"/>
        <w:spacing w:line="360" w:lineRule="auto"/>
        <w:ind w:firstLine="420"/>
        <w:jc w:val="left"/>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3.若“技术要求”</w:t>
      </w:r>
      <w:r>
        <w:rPr>
          <w:rFonts w:hint="eastAsia" w:ascii="仿宋" w:hAnsi="仿宋" w:eastAsia="仿宋" w:cs="仿宋"/>
          <w:color w:val="auto"/>
          <w:kern w:val="0"/>
          <w:sz w:val="22"/>
          <w:highlight w:val="none"/>
          <w:lang w:val="en-US" w:eastAsia="zh-CN"/>
        </w:rPr>
        <w:t>、“商务要求”</w:t>
      </w:r>
      <w:r>
        <w:rPr>
          <w:rFonts w:hint="eastAsia" w:ascii="仿宋" w:hAnsi="仿宋" w:eastAsia="仿宋" w:cs="仿宋"/>
          <w:color w:val="auto"/>
          <w:kern w:val="0"/>
          <w:sz w:val="22"/>
          <w:highlight w:val="none"/>
        </w:rPr>
        <w:t>要求提供证明材料，需按要求提供证明材料。</w:t>
      </w:r>
    </w:p>
    <w:p w14:paraId="4E4F1063">
      <w:pPr>
        <w:widowControl/>
        <w:shd w:val="clear" w:color="auto" w:fill="FFFFFF"/>
        <w:wordWrap w:val="0"/>
        <w:spacing w:line="360" w:lineRule="auto"/>
        <w:ind w:firstLine="420"/>
        <w:jc w:val="left"/>
        <w:rPr>
          <w:rFonts w:hint="eastAsia" w:ascii="仿宋" w:hAnsi="仿宋" w:eastAsia="仿宋" w:cs="仿宋"/>
          <w:color w:val="auto"/>
          <w:kern w:val="0"/>
          <w:sz w:val="22"/>
          <w:highlight w:val="none"/>
        </w:rPr>
      </w:pPr>
    </w:p>
    <w:p w14:paraId="0CA70975">
      <w:pPr>
        <w:widowControl/>
        <w:shd w:val="clear" w:color="auto" w:fill="FFFFFF"/>
        <w:wordWrap w:val="0"/>
        <w:spacing w:line="360" w:lineRule="auto"/>
        <w:ind w:firstLine="420"/>
        <w:jc w:val="left"/>
        <w:rPr>
          <w:rFonts w:hint="eastAsia" w:ascii="仿宋" w:hAnsi="仿宋" w:eastAsia="仿宋" w:cs="仿宋"/>
          <w:color w:val="auto"/>
          <w:kern w:val="0"/>
          <w:sz w:val="22"/>
          <w:highlight w:val="none"/>
        </w:rPr>
      </w:pPr>
    </w:p>
    <w:p w14:paraId="1C58E36F">
      <w:pPr>
        <w:widowControl/>
        <w:shd w:val="clear" w:color="auto" w:fill="FFFFFF"/>
        <w:wordWrap w:val="0"/>
        <w:spacing w:line="360" w:lineRule="auto"/>
        <w:ind w:firstLine="420"/>
        <w:jc w:val="left"/>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供应商名称：XXXX（盖单位公章）</w:t>
      </w:r>
    </w:p>
    <w:p w14:paraId="64E8669D">
      <w:pPr>
        <w:widowControl/>
        <w:shd w:val="clear" w:color="auto" w:fill="FFFFFF"/>
        <w:wordWrap w:val="0"/>
        <w:spacing w:line="360" w:lineRule="auto"/>
        <w:ind w:firstLine="42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2"/>
          <w:highlight w:val="none"/>
        </w:rPr>
        <w:t>法定代表人或授权代表签字：</w:t>
      </w:r>
    </w:p>
    <w:p w14:paraId="36C46159">
      <w:pPr>
        <w:widowControl/>
        <w:shd w:val="clear" w:color="auto" w:fill="FFFFFF"/>
        <w:wordWrap w:val="0"/>
        <w:spacing w:line="360" w:lineRule="auto"/>
        <w:ind w:firstLine="36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2"/>
          <w:highlight w:val="none"/>
        </w:rPr>
        <w:t>日期:</w:t>
      </w:r>
    </w:p>
    <w:p w14:paraId="663B0E71">
      <w:pPr>
        <w:spacing w:line="360" w:lineRule="auto"/>
        <w:rPr>
          <w:rFonts w:hint="eastAsia" w:ascii="仿宋" w:hAnsi="仿宋" w:eastAsia="仿宋" w:cs="仿宋"/>
          <w:b/>
          <w:bCs/>
          <w:kern w:val="0"/>
          <w:sz w:val="28"/>
          <w:szCs w:val="32"/>
          <w:highlight w:val="none"/>
          <w:shd w:val="clear" w:color="auto" w:fill="FFFFFF"/>
        </w:rPr>
      </w:pPr>
      <w:r>
        <w:rPr>
          <w:rFonts w:hint="eastAsia" w:ascii="仿宋" w:hAnsi="仿宋" w:eastAsia="仿宋" w:cs="仿宋"/>
          <w:b/>
          <w:bCs/>
          <w:kern w:val="0"/>
          <w:sz w:val="28"/>
          <w:szCs w:val="32"/>
          <w:highlight w:val="none"/>
          <w:shd w:val="clear" w:color="auto" w:fill="FFFFFF"/>
        </w:rPr>
        <w:br w:type="page"/>
      </w:r>
    </w:p>
    <w:p w14:paraId="5C657BE9">
      <w:pPr>
        <w:widowControl/>
        <w:shd w:val="clear" w:color="auto" w:fill="FFFFFF"/>
        <w:wordWrap w:val="0"/>
        <w:spacing w:line="270" w:lineRule="atLeast"/>
        <w:jc w:val="left"/>
        <w:rPr>
          <w:rFonts w:hint="eastAsia" w:ascii="仿宋" w:hAnsi="仿宋" w:eastAsia="仿宋" w:cs="仿宋"/>
          <w:color w:val="auto"/>
          <w:kern w:val="0"/>
          <w:sz w:val="18"/>
          <w:szCs w:val="18"/>
          <w:highlight w:val="none"/>
        </w:rPr>
      </w:pPr>
      <w:r>
        <w:rPr>
          <w:rFonts w:hint="eastAsia" w:ascii="仿宋" w:hAnsi="仿宋" w:eastAsia="仿宋" w:cs="仿宋"/>
          <w:b/>
          <w:bCs/>
          <w:color w:val="auto"/>
          <w:kern w:val="0"/>
          <w:sz w:val="24"/>
          <w:szCs w:val="24"/>
          <w:highlight w:val="none"/>
        </w:rPr>
        <w:t>附件</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w:t>
      </w:r>
    </w:p>
    <w:p w14:paraId="0426E475">
      <w:pPr>
        <w:widowControl/>
        <w:shd w:val="clear" w:color="auto" w:fill="FFFFFF"/>
        <w:wordWrap w:val="0"/>
        <w:jc w:val="center"/>
        <w:rPr>
          <w:rFonts w:hint="eastAsia" w:ascii="仿宋" w:hAnsi="仿宋" w:eastAsia="仿宋" w:cs="仿宋"/>
          <w:color w:val="auto"/>
          <w:kern w:val="0"/>
          <w:sz w:val="18"/>
          <w:szCs w:val="18"/>
          <w:highlight w:val="none"/>
        </w:rPr>
      </w:pPr>
      <w:r>
        <w:rPr>
          <w:rFonts w:hint="eastAsia" w:ascii="仿宋" w:hAnsi="仿宋" w:eastAsia="仿宋" w:cs="仿宋"/>
          <w:b/>
          <w:bCs/>
          <w:color w:val="auto"/>
          <w:kern w:val="0"/>
          <w:sz w:val="28"/>
          <w:szCs w:val="28"/>
          <w:highlight w:val="none"/>
        </w:rPr>
        <w:t>用户情况表</w:t>
      </w:r>
    </w:p>
    <w:tbl>
      <w:tblPr>
        <w:tblStyle w:val="12"/>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14:paraId="5A1EAEA9">
        <w:tblPrEx>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20824E89">
            <w:pPr>
              <w:widowControl/>
              <w:wordWrap w:val="0"/>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14:paraId="0DDF4DDA">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用户名称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239827B8">
            <w:pPr>
              <w:widowControl/>
              <w:wordWrap w:val="0"/>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项目名称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69A110A">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合同时间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72403A0">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联系人及联系方式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A500A07">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备注</w:t>
            </w:r>
          </w:p>
        </w:tc>
      </w:tr>
      <w:tr w14:paraId="47112711">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2885BE2">
            <w:pPr>
              <w:widowControl/>
              <w:wordWrap w:val="0"/>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1F6A9916">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B74FE99">
            <w:pPr>
              <w:widowControl/>
              <w:wordWrap w:val="0"/>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19D7420">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92A79B6">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06AB2541">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35AE7A73">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CFD61DD">
            <w:pPr>
              <w:widowControl/>
              <w:wordWrap w:val="0"/>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483CDE06">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E61E597">
            <w:pPr>
              <w:widowControl/>
              <w:wordWrap w:val="0"/>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B54834B">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F038B5">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625FE672">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3BD74482">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50F77E53">
            <w:pPr>
              <w:widowControl/>
              <w:wordWrap w:val="0"/>
              <w:spacing w:line="105" w:lineRule="atLeast"/>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7C4FC2EA">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8C14AEB">
            <w:pPr>
              <w:widowControl/>
              <w:wordWrap w:val="0"/>
              <w:spacing w:line="105" w:lineRule="atLeast"/>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476CE78">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35B4A42">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DA0D6B2">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42D3928E">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5C34872E">
            <w:pPr>
              <w:widowControl/>
              <w:wordWrap w:val="0"/>
              <w:spacing w:line="105" w:lineRule="atLeast"/>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33A5469D">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A8834D8">
            <w:pPr>
              <w:widowControl/>
              <w:wordWrap w:val="0"/>
              <w:spacing w:line="105" w:lineRule="atLeast"/>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78D9F3">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71D2203">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EB31B3">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6FF3DE5C">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ACB8D78">
            <w:pPr>
              <w:widowControl/>
              <w:wordWrap w:val="0"/>
              <w:spacing w:line="105" w:lineRule="atLeast"/>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4486A7C7">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B101B40">
            <w:pPr>
              <w:widowControl/>
              <w:wordWrap w:val="0"/>
              <w:spacing w:line="105" w:lineRule="atLeast"/>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0507159">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533DF1B">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DBD089F">
            <w:pPr>
              <w:widowControl/>
              <w:wordWrap w:val="0"/>
              <w:spacing w:line="105" w:lineRule="atLeas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30416886">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2CDFAE6">
            <w:pPr>
              <w:widowControl/>
              <w:wordWrap w:val="0"/>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66CC1BDF">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176D090">
            <w:pPr>
              <w:widowControl/>
              <w:wordWrap w:val="0"/>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7CD1556">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555EAB0">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CD8BE3D">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189E7826">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078EED6">
            <w:pPr>
              <w:widowControl/>
              <w:wordWrap w:val="0"/>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15353D4D">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541779D5">
            <w:pPr>
              <w:widowControl/>
              <w:wordWrap w:val="0"/>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7F1E74E">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BB2D6A2">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2B3A444A">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r w14:paraId="20533BEB">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98075AE">
            <w:pPr>
              <w:widowControl/>
              <w:wordWrap w:val="0"/>
              <w:jc w:val="center"/>
              <w:rPr>
                <w:rFonts w:hint="eastAsia" w:ascii="仿宋" w:hAnsi="仿宋" w:eastAsia="仿宋" w:cs="仿宋"/>
                <w:color w:val="auto"/>
                <w:kern w:val="0"/>
                <w:sz w:val="24"/>
                <w:szCs w:val="24"/>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20FED4F">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1F626C4">
            <w:pPr>
              <w:widowControl/>
              <w:wordWrap w:val="0"/>
              <w:jc w:val="center"/>
              <w:rPr>
                <w:rFonts w:hint="eastAsia" w:ascii="仿宋" w:hAnsi="仿宋" w:eastAsia="仿宋" w:cs="仿宋"/>
                <w:color w:val="auto"/>
                <w:kern w:val="0"/>
                <w:sz w:val="24"/>
                <w:szCs w:val="24"/>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BCB206B">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4EF2532">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9F3D2BD">
            <w:pPr>
              <w:widowControl/>
              <w:wordWrap w:val="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tc>
      </w:tr>
    </w:tbl>
    <w:p w14:paraId="74523EFF">
      <w:pPr>
        <w:widowControl/>
        <w:shd w:val="clear" w:color="auto" w:fill="FFFFFF"/>
        <w:wordWrap w:val="0"/>
        <w:spacing w:line="270" w:lineRule="atLeas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p w14:paraId="00345F7F">
      <w:pPr>
        <w:widowControl/>
        <w:shd w:val="clear" w:color="auto" w:fill="FFFFFF"/>
        <w:wordWrap w:val="0"/>
        <w:ind w:firstLine="48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w:t>
      </w:r>
    </w:p>
    <w:p w14:paraId="272575B8">
      <w:pPr>
        <w:widowControl/>
        <w:shd w:val="clear" w:color="auto" w:fill="FFFFFF"/>
        <w:wordWrap w:val="0"/>
        <w:ind w:firstLine="480"/>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法定代表人或授权代表签字：</w:t>
      </w:r>
    </w:p>
    <w:p w14:paraId="1956AACE">
      <w:pPr>
        <w:widowControl/>
        <w:shd w:val="clear" w:color="auto" w:fill="FFFFFF"/>
        <w:wordWrap w:val="0"/>
        <w:spacing w:line="270" w:lineRule="atLeast"/>
        <w:ind w:firstLine="449"/>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日期</w:t>
      </w:r>
      <w:r>
        <w:rPr>
          <w:rFonts w:hint="eastAsia" w:ascii="仿宋" w:hAnsi="仿宋" w:eastAsia="仿宋" w:cs="仿宋"/>
          <w:b/>
          <w:bCs/>
          <w:color w:val="auto"/>
          <w:kern w:val="0"/>
          <w:sz w:val="24"/>
          <w:szCs w:val="24"/>
          <w:highlight w:val="none"/>
        </w:rPr>
        <w:t>:</w:t>
      </w:r>
    </w:p>
    <w:p w14:paraId="21464119">
      <w:pPr>
        <w:rPr>
          <w:rFonts w:hint="eastAsia" w:ascii="仿宋" w:hAnsi="仿宋" w:eastAsia="仿宋" w:cs="仿宋"/>
          <w:b/>
          <w:bCs/>
          <w:kern w:val="0"/>
          <w:sz w:val="28"/>
          <w:szCs w:val="32"/>
          <w:highlight w:val="none"/>
          <w:shd w:val="clear" w:color="auto" w:fill="FFFFFF"/>
        </w:rPr>
      </w:pPr>
      <w:r>
        <w:rPr>
          <w:rFonts w:hint="eastAsia" w:ascii="仿宋" w:hAnsi="仿宋" w:eastAsia="仿宋" w:cs="仿宋"/>
          <w:b/>
          <w:bCs/>
          <w:kern w:val="0"/>
          <w:sz w:val="28"/>
          <w:szCs w:val="32"/>
          <w:highlight w:val="none"/>
          <w:shd w:val="clear" w:color="auto" w:fill="FFFFFF"/>
        </w:rPr>
        <w:br w:type="page"/>
      </w:r>
    </w:p>
    <w:p w14:paraId="7B98BA84">
      <w:pPr>
        <w:pStyle w:val="18"/>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附件</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4</w:t>
      </w:r>
      <w:r>
        <w:rPr>
          <w:rFonts w:hint="eastAsia" w:ascii="仿宋" w:hAnsi="仿宋" w:eastAsia="仿宋" w:cs="仿宋"/>
          <w:b/>
          <w:bCs/>
          <w:color w:val="auto"/>
          <w:kern w:val="0"/>
          <w:sz w:val="24"/>
          <w:szCs w:val="24"/>
          <w:highlight w:val="none"/>
        </w:rPr>
        <w:t>：</w:t>
      </w:r>
    </w:p>
    <w:p w14:paraId="181181CC">
      <w:pPr>
        <w:pStyle w:val="18"/>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仿宋" w:hAnsi="仿宋" w:eastAsia="仿宋" w:cs="仿宋"/>
          <w:b/>
          <w:kern w:val="2"/>
          <w:sz w:val="32"/>
          <w:szCs w:val="32"/>
          <w:highlight w:val="none"/>
          <w:lang w:val="en-US" w:eastAsia="zh-CN" w:bidi="ar-SA"/>
        </w:rPr>
      </w:pPr>
      <w:r>
        <w:rPr>
          <w:rFonts w:hint="eastAsia" w:ascii="仿宋" w:hAnsi="仿宋" w:eastAsia="仿宋" w:cs="仿宋"/>
          <w:b/>
          <w:kern w:val="2"/>
          <w:sz w:val="32"/>
          <w:szCs w:val="32"/>
          <w:highlight w:val="none"/>
          <w:lang w:val="en-US" w:eastAsia="zh-CN" w:bidi="ar-SA"/>
        </w:rPr>
        <w:t>授权委托书</w:t>
      </w:r>
    </w:p>
    <w:p w14:paraId="289EDAB1">
      <w:pPr>
        <w:pStyle w:val="18"/>
        <w:pageBreakBefore w:val="0"/>
        <w:kinsoku/>
        <w:wordWrap/>
        <w:overflowPunct/>
        <w:topLinePunct w:val="0"/>
        <w:bidi w:val="0"/>
        <w:spacing w:line="360" w:lineRule="auto"/>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（若供应商代表为“授权代表”时，提供此委托书）</w:t>
      </w:r>
    </w:p>
    <w:p w14:paraId="29F44525">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四川省妇幼保健院</w:t>
      </w:r>
      <w:r>
        <w:rPr>
          <w:rFonts w:hint="eastAsia" w:ascii="仿宋" w:hAnsi="仿宋" w:eastAsia="仿宋" w:cs="仿宋"/>
          <w:sz w:val="24"/>
          <w:highlight w:val="none"/>
        </w:rPr>
        <w:t>：</w:t>
      </w:r>
    </w:p>
    <w:p w14:paraId="6F015978">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eastAsia="zh-CN"/>
        </w:rPr>
        <w:t>（姓名）系</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eastAsia="zh-CN"/>
        </w:rPr>
        <w:t>（供应商名称）的法定代表人（单位负责人），现委托</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eastAsia="zh-CN"/>
        </w:rPr>
        <w:t>（姓名）为我方代理人。代理人在本次采购中所签署的一切文件和处理的一切有关事宜，我公司（单位）均予承认，所产生的法律后果均由我公司（单位）承担。</w:t>
      </w:r>
    </w:p>
    <w:p w14:paraId="4AD54DDB">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委托期限：自本授权委托书签署之日起至响应文件有效期届满之日止。代理人无转委托权。</w:t>
      </w:r>
    </w:p>
    <w:p w14:paraId="3E9DE2AB">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供应商名称：XXXX（盖单位公章）</w:t>
      </w:r>
    </w:p>
    <w:p w14:paraId="7C60128E">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法定代表人（单位负责人）（签字或加盖个人名章）：XXXX。</w:t>
      </w:r>
    </w:p>
    <w:p w14:paraId="278F4885">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授权代表（代理人）签字：XXXX。</w:t>
      </w:r>
    </w:p>
    <w:p w14:paraId="1ADCCEDB">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    期：XXXX。</w:t>
      </w:r>
    </w:p>
    <w:p w14:paraId="53445D48">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法定代表人（单位负责人）有效期内的居民身份证正反面</w:t>
      </w:r>
    </w:p>
    <w:tbl>
      <w:tblPr>
        <w:tblStyle w:val="12"/>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14:paraId="23FDF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14:paraId="3C3613F5">
            <w:pPr>
              <w:tabs>
                <w:tab w:val="left" w:pos="5580"/>
              </w:tabs>
              <w:spacing w:line="360" w:lineRule="auto"/>
              <w:jc w:val="left"/>
              <w:rPr>
                <w:rFonts w:hint="eastAsia" w:ascii="仿宋" w:hAnsi="仿宋" w:eastAsia="仿宋" w:cs="仿宋"/>
                <w:color w:val="000000"/>
                <w:sz w:val="24"/>
                <w:szCs w:val="20"/>
                <w:highlight w:val="none"/>
              </w:rPr>
            </w:pPr>
          </w:p>
        </w:tc>
        <w:tc>
          <w:tcPr>
            <w:tcW w:w="2875" w:type="dxa"/>
            <w:noWrap w:val="0"/>
            <w:vAlign w:val="top"/>
          </w:tcPr>
          <w:p w14:paraId="7EB7B759">
            <w:pPr>
              <w:tabs>
                <w:tab w:val="left" w:pos="5580"/>
              </w:tabs>
              <w:spacing w:line="360" w:lineRule="auto"/>
              <w:jc w:val="left"/>
              <w:rPr>
                <w:rFonts w:hint="eastAsia" w:ascii="仿宋" w:hAnsi="仿宋" w:eastAsia="仿宋" w:cs="仿宋"/>
                <w:color w:val="000000"/>
                <w:sz w:val="24"/>
                <w:szCs w:val="20"/>
                <w:highlight w:val="none"/>
              </w:rPr>
            </w:pPr>
          </w:p>
        </w:tc>
      </w:tr>
    </w:tbl>
    <w:p w14:paraId="30E79715">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eastAsia="zh-CN"/>
        </w:rPr>
        <w:t>授权代表（代理人）</w:t>
      </w:r>
      <w:r>
        <w:rPr>
          <w:rFonts w:hint="eastAsia" w:ascii="仿宋" w:hAnsi="仿宋" w:eastAsia="仿宋" w:cs="仿宋"/>
          <w:sz w:val="24"/>
          <w:highlight w:val="none"/>
          <w:lang w:val="en-US" w:eastAsia="zh-CN"/>
        </w:rPr>
        <w:t>有效期内的居民身份证正反面</w:t>
      </w:r>
    </w:p>
    <w:tbl>
      <w:tblPr>
        <w:tblStyle w:val="12"/>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14:paraId="7C804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14:paraId="70AA5374">
            <w:pPr>
              <w:tabs>
                <w:tab w:val="left" w:pos="5580"/>
              </w:tabs>
              <w:spacing w:line="360" w:lineRule="auto"/>
              <w:jc w:val="left"/>
              <w:rPr>
                <w:rFonts w:hint="eastAsia" w:ascii="仿宋" w:hAnsi="仿宋" w:eastAsia="仿宋" w:cs="仿宋"/>
                <w:color w:val="000000"/>
                <w:sz w:val="24"/>
                <w:szCs w:val="20"/>
                <w:highlight w:val="none"/>
              </w:rPr>
            </w:pPr>
          </w:p>
        </w:tc>
        <w:tc>
          <w:tcPr>
            <w:tcW w:w="2875" w:type="dxa"/>
            <w:noWrap w:val="0"/>
            <w:vAlign w:val="top"/>
          </w:tcPr>
          <w:p w14:paraId="721457A6">
            <w:pPr>
              <w:tabs>
                <w:tab w:val="left" w:pos="5580"/>
              </w:tabs>
              <w:spacing w:line="360" w:lineRule="auto"/>
              <w:jc w:val="left"/>
              <w:rPr>
                <w:rFonts w:hint="eastAsia" w:ascii="仿宋" w:hAnsi="仿宋" w:eastAsia="仿宋" w:cs="仿宋"/>
                <w:color w:val="000000"/>
                <w:sz w:val="24"/>
                <w:szCs w:val="20"/>
                <w:highlight w:val="none"/>
              </w:rPr>
            </w:pPr>
          </w:p>
        </w:tc>
      </w:tr>
    </w:tbl>
    <w:p w14:paraId="101DE431">
      <w:pPr>
        <w:ind w:firstLine="720" w:firstLineChars="3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注：</w:t>
      </w:r>
      <w:r>
        <w:rPr>
          <w:rFonts w:hint="eastAsia" w:ascii="仿宋" w:hAnsi="仿宋" w:eastAsia="仿宋" w:cs="仿宋"/>
          <w:sz w:val="24"/>
          <w:highlight w:val="none"/>
          <w:lang w:val="en-US" w:eastAsia="zh-CN"/>
        </w:rPr>
        <w:t>1.</w:t>
      </w:r>
      <w:r>
        <w:rPr>
          <w:rFonts w:hint="eastAsia" w:ascii="仿宋" w:hAnsi="仿宋" w:eastAsia="仿宋" w:cs="仿宋"/>
          <w:sz w:val="24"/>
          <w:highlight w:val="none"/>
          <w:lang w:eastAsia="zh-CN"/>
        </w:rPr>
        <w:t>提供有效期内的身份证明材料，例如居民身份证或户口本或军官证或护照等；</w:t>
      </w:r>
      <w:r>
        <w:rPr>
          <w:rFonts w:hint="eastAsia" w:ascii="仿宋" w:hAnsi="仿宋" w:eastAsia="仿宋" w:cs="仿宋"/>
          <w:sz w:val="24"/>
          <w:highlight w:val="none"/>
          <w:lang w:val="en-US" w:eastAsia="zh-CN"/>
        </w:rPr>
        <w:t>2.</w:t>
      </w:r>
      <w:r>
        <w:rPr>
          <w:rFonts w:hint="eastAsia" w:ascii="仿宋" w:hAnsi="仿宋" w:eastAsia="仿宋" w:cs="仿宋"/>
          <w:sz w:val="24"/>
          <w:highlight w:val="none"/>
          <w:lang w:eastAsia="zh-CN"/>
        </w:rPr>
        <w:t>若提供居民身份证，须为正、反面复印件。</w:t>
      </w:r>
    </w:p>
    <w:p w14:paraId="4ADD68B7">
      <w:pPr>
        <w:widowControl/>
        <w:shd w:val="clear" w:color="auto" w:fill="FFFFFF"/>
        <w:wordWrap w:val="0"/>
        <w:spacing w:line="270" w:lineRule="atLeast"/>
        <w:ind w:left="480" w:hanging="36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★说明：上述证明文件附有法定代表人、被授权代表身份证复印件（</w:t>
      </w:r>
      <w:r>
        <w:rPr>
          <w:rFonts w:hint="eastAsia" w:ascii="仿宋" w:hAnsi="仿宋" w:eastAsia="仿宋" w:cs="仿宋"/>
          <w:color w:val="auto"/>
          <w:kern w:val="0"/>
          <w:sz w:val="24"/>
          <w:szCs w:val="24"/>
          <w:highlight w:val="none"/>
          <w:lang w:val="en-US" w:eastAsia="zh-CN"/>
        </w:rPr>
        <w:t>双方签字并</w:t>
      </w:r>
      <w:r>
        <w:rPr>
          <w:rFonts w:hint="eastAsia" w:ascii="仿宋" w:hAnsi="仿宋" w:eastAsia="仿宋" w:cs="仿宋"/>
          <w:color w:val="auto"/>
          <w:kern w:val="0"/>
          <w:sz w:val="24"/>
          <w:szCs w:val="24"/>
          <w:highlight w:val="none"/>
        </w:rPr>
        <w:t>加盖公章）时才能生效。</w:t>
      </w:r>
    </w:p>
    <w:p w14:paraId="6FBEFDCD">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br w:type="page"/>
      </w:r>
      <w:r>
        <w:rPr>
          <w:rFonts w:hint="eastAsia" w:ascii="仿宋" w:hAnsi="仿宋" w:eastAsia="仿宋" w:cs="仿宋"/>
          <w:b/>
          <w:bCs/>
          <w:color w:val="auto"/>
          <w:kern w:val="0"/>
          <w:sz w:val="24"/>
          <w:szCs w:val="24"/>
          <w:highlight w:val="none"/>
        </w:rPr>
        <w:t>附件</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w:t>
      </w:r>
    </w:p>
    <w:p w14:paraId="51161277">
      <w:pPr>
        <w:pStyle w:val="1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3" w:firstLineChars="200"/>
        <w:jc w:val="center"/>
        <w:textAlignment w:val="auto"/>
        <w:outlineLvl w:val="9"/>
        <w:rPr>
          <w:rFonts w:hint="eastAsia" w:ascii="仿宋" w:hAnsi="仿宋" w:eastAsia="仿宋" w:cs="仿宋"/>
          <w:b/>
          <w:kern w:val="2"/>
          <w:sz w:val="32"/>
          <w:szCs w:val="32"/>
          <w:highlight w:val="none"/>
          <w:lang w:val="en-US" w:eastAsia="zh-CN" w:bidi="ar-SA"/>
        </w:rPr>
      </w:pPr>
      <w:r>
        <w:rPr>
          <w:rFonts w:hint="eastAsia" w:ascii="仿宋" w:hAnsi="仿宋" w:eastAsia="仿宋" w:cs="仿宋"/>
          <w:b/>
          <w:kern w:val="2"/>
          <w:sz w:val="32"/>
          <w:szCs w:val="32"/>
          <w:highlight w:val="none"/>
          <w:lang w:val="en-US" w:eastAsia="zh-CN" w:bidi="ar-SA"/>
        </w:rPr>
        <w:t>法定代表人（单位负责人）身份证明</w:t>
      </w:r>
    </w:p>
    <w:p w14:paraId="55DDF5E0">
      <w:pPr>
        <w:pStyle w:val="1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center"/>
        <w:textAlignment w:val="auto"/>
        <w:outlineLvl w:val="9"/>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（若供应商代表为“法定代表人（单位负责人）”时，提供此证明）</w:t>
      </w:r>
    </w:p>
    <w:p w14:paraId="08FC5DD7">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仿宋" w:hAnsi="仿宋" w:eastAsia="仿宋" w:cs="仿宋"/>
          <w:sz w:val="24"/>
          <w:highlight w:val="none"/>
          <w:lang w:eastAsia="zh-CN"/>
        </w:rPr>
      </w:pPr>
    </w:p>
    <w:p w14:paraId="2D954688">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sz w:val="24"/>
          <w:highlight w:val="none"/>
          <w:lang w:eastAsia="zh-CN"/>
        </w:rPr>
        <w:t>四川省妇幼保健院</w:t>
      </w:r>
      <w:r>
        <w:rPr>
          <w:rFonts w:hint="eastAsia" w:ascii="仿宋" w:hAnsi="仿宋" w:eastAsia="仿宋" w:cs="仿宋"/>
          <w:sz w:val="24"/>
          <w:highlight w:val="none"/>
        </w:rPr>
        <w:t>：</w:t>
      </w:r>
    </w:p>
    <w:p w14:paraId="06D8ED91">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val="en-US" w:eastAsia="zh-CN"/>
        </w:rPr>
        <w:t>（姓名）系</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val="en-US" w:eastAsia="zh-CN"/>
        </w:rPr>
        <w:t>（供应商名称）的法定代表人（单位负责人）（职务</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val="en-US" w:eastAsia="zh-CN"/>
        </w:rPr>
        <w:t>）。</w:t>
      </w:r>
    </w:p>
    <w:p w14:paraId="076B4527">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特此证明。</w:t>
      </w:r>
    </w:p>
    <w:p w14:paraId="7A0620FE">
      <w:pPr>
        <w:pStyle w:val="1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jc w:val="left"/>
        <w:textAlignment w:val="auto"/>
        <w:outlineLvl w:val="9"/>
        <w:rPr>
          <w:rFonts w:hint="eastAsia" w:ascii="仿宋" w:hAnsi="仿宋" w:eastAsia="仿宋" w:cs="仿宋"/>
          <w:highlight w:val="none"/>
          <w:lang w:val="en-US" w:eastAsia="zh-CN"/>
        </w:rPr>
      </w:pPr>
    </w:p>
    <w:p w14:paraId="13F680C9">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供应商名称：XXXX（盖单位公章）</w:t>
      </w:r>
    </w:p>
    <w:p w14:paraId="109A3BCA">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法定代表人（单位负责人）（签字或加盖个人名章）：XXXX。</w:t>
      </w:r>
    </w:p>
    <w:p w14:paraId="6171CA26">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    期：XXXX。</w:t>
      </w:r>
    </w:p>
    <w:p w14:paraId="02D75EAE">
      <w:pPr>
        <w:pStyle w:val="1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left"/>
        <w:textAlignment w:val="auto"/>
        <w:outlineLvl w:val="9"/>
        <w:rPr>
          <w:rFonts w:hint="eastAsia" w:ascii="仿宋" w:hAnsi="仿宋" w:eastAsia="仿宋" w:cs="仿宋"/>
          <w:b w:val="0"/>
          <w:bCs w:val="0"/>
          <w:color w:val="auto"/>
          <w:sz w:val="24"/>
          <w:szCs w:val="24"/>
          <w:highlight w:val="none"/>
          <w:u w:val="none"/>
          <w:lang w:val="en-US" w:eastAsia="zh-CN"/>
        </w:rPr>
      </w:pPr>
    </w:p>
    <w:p w14:paraId="1EDEC1A0">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法定代表人（单位负责人）有效期内的居民身份证正反面</w:t>
      </w:r>
    </w:p>
    <w:tbl>
      <w:tblPr>
        <w:tblStyle w:val="12"/>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501"/>
        <w:gridCol w:w="3398"/>
      </w:tblGrid>
      <w:tr w14:paraId="4D1A3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53" w:hRule="atLeast"/>
          <w:jc w:val="center"/>
        </w:trPr>
        <w:tc>
          <w:tcPr>
            <w:tcW w:w="3501" w:type="dxa"/>
            <w:noWrap w:val="0"/>
            <w:vAlign w:val="top"/>
          </w:tcPr>
          <w:p w14:paraId="5162D34F">
            <w:pPr>
              <w:tabs>
                <w:tab w:val="left" w:pos="5580"/>
              </w:tabs>
              <w:spacing w:line="360" w:lineRule="auto"/>
              <w:jc w:val="left"/>
              <w:rPr>
                <w:rFonts w:hint="eastAsia" w:ascii="仿宋" w:hAnsi="仿宋" w:eastAsia="仿宋" w:cs="仿宋"/>
                <w:color w:val="000000"/>
                <w:sz w:val="24"/>
                <w:szCs w:val="20"/>
                <w:highlight w:val="none"/>
              </w:rPr>
            </w:pPr>
          </w:p>
        </w:tc>
        <w:tc>
          <w:tcPr>
            <w:tcW w:w="3398" w:type="dxa"/>
            <w:noWrap w:val="0"/>
            <w:vAlign w:val="top"/>
          </w:tcPr>
          <w:p w14:paraId="779D8C33">
            <w:pPr>
              <w:tabs>
                <w:tab w:val="left" w:pos="5580"/>
              </w:tabs>
              <w:spacing w:line="360" w:lineRule="auto"/>
              <w:jc w:val="left"/>
              <w:rPr>
                <w:rFonts w:hint="eastAsia" w:ascii="仿宋" w:hAnsi="仿宋" w:eastAsia="仿宋" w:cs="仿宋"/>
                <w:color w:val="000000"/>
                <w:sz w:val="24"/>
                <w:szCs w:val="20"/>
                <w:highlight w:val="none"/>
              </w:rPr>
            </w:pPr>
          </w:p>
        </w:tc>
      </w:tr>
    </w:tbl>
    <w:p w14:paraId="191CA1D2">
      <w:pPr>
        <w:pStyle w:val="10"/>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482" w:firstLineChars="200"/>
        <w:jc w:val="left"/>
        <w:textAlignment w:val="auto"/>
        <w:outlineLvl w:val="9"/>
        <w:rPr>
          <w:rFonts w:hint="eastAsia" w:ascii="仿宋" w:hAnsi="仿宋" w:eastAsia="仿宋" w:cs="仿宋"/>
          <w:b/>
          <w:bCs/>
          <w:i w:val="0"/>
          <w:iCs w:val="0"/>
          <w:color w:val="auto"/>
          <w:sz w:val="24"/>
          <w:szCs w:val="24"/>
          <w:highlight w:val="none"/>
          <w:u w:val="none"/>
          <w:lang w:val="en-US" w:eastAsia="zh-CN"/>
        </w:rPr>
      </w:pPr>
    </w:p>
    <w:p w14:paraId="42A322B1">
      <w:pPr>
        <w:rPr>
          <w:rFonts w:hint="eastAsia" w:ascii="仿宋" w:hAnsi="仿宋" w:eastAsia="仿宋" w:cs="仿宋"/>
          <w:b/>
          <w:bCs/>
          <w:color w:val="auto"/>
          <w:kern w:val="0"/>
          <w:sz w:val="24"/>
          <w:szCs w:val="24"/>
          <w:highlight w:val="none"/>
        </w:rPr>
      </w:pPr>
      <w:r>
        <w:rPr>
          <w:rFonts w:hint="eastAsia" w:ascii="仿宋" w:hAnsi="仿宋" w:eastAsia="仿宋" w:cs="仿宋"/>
          <w:sz w:val="24"/>
          <w:highlight w:val="none"/>
          <w:lang w:eastAsia="zh-CN"/>
        </w:rPr>
        <w:t>注：</w:t>
      </w:r>
      <w:r>
        <w:rPr>
          <w:rFonts w:hint="eastAsia" w:ascii="仿宋" w:hAnsi="仿宋" w:eastAsia="仿宋" w:cs="仿宋"/>
          <w:sz w:val="24"/>
          <w:highlight w:val="none"/>
          <w:lang w:val="en-US" w:eastAsia="zh-CN"/>
        </w:rPr>
        <w:t>1.</w:t>
      </w:r>
      <w:r>
        <w:rPr>
          <w:rFonts w:hint="eastAsia" w:ascii="仿宋" w:hAnsi="仿宋" w:eastAsia="仿宋" w:cs="仿宋"/>
          <w:sz w:val="24"/>
          <w:highlight w:val="none"/>
          <w:lang w:eastAsia="zh-CN"/>
        </w:rPr>
        <w:t>提供有效期内的身份证明材料，例如居民身份证或户口本或军官证或护照等；</w:t>
      </w:r>
      <w:r>
        <w:rPr>
          <w:rFonts w:hint="eastAsia" w:ascii="仿宋" w:hAnsi="仿宋" w:eastAsia="仿宋" w:cs="仿宋"/>
          <w:sz w:val="24"/>
          <w:highlight w:val="none"/>
          <w:lang w:val="en-US" w:eastAsia="zh-CN"/>
        </w:rPr>
        <w:t>2.</w:t>
      </w:r>
      <w:r>
        <w:rPr>
          <w:rFonts w:hint="eastAsia" w:ascii="仿宋" w:hAnsi="仿宋" w:eastAsia="仿宋" w:cs="仿宋"/>
          <w:sz w:val="24"/>
          <w:highlight w:val="none"/>
          <w:lang w:eastAsia="zh-CN"/>
        </w:rPr>
        <w:t>若提供居民身份证，须为正、反面复印件。</w:t>
      </w:r>
    </w:p>
    <w:p w14:paraId="40D10E0E">
      <w:pPr>
        <w:pStyle w:val="2"/>
        <w:rPr>
          <w:rFonts w:hint="eastAsia" w:ascii="仿宋" w:hAnsi="仿宋" w:eastAsia="仿宋" w:cs="仿宋"/>
          <w:highlight w:val="none"/>
        </w:rPr>
      </w:pPr>
    </w:p>
    <w:p w14:paraId="0D9346EF">
      <w:pP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br w:type="page"/>
      </w:r>
    </w:p>
    <w:p w14:paraId="61034C06">
      <w:pPr>
        <w:pStyle w:val="19"/>
        <w:pageBreakBefore w:val="0"/>
        <w:kinsoku/>
        <w:overflowPunct/>
        <w:topLinePunct w:val="0"/>
        <w:autoSpaceDE/>
        <w:autoSpaceDN/>
        <w:bidi w:val="0"/>
        <w:snapToGrid w:val="0"/>
        <w:spacing w:before="156" w:beforeLines="50" w:after="312" w:afterLines="100" w:line="360" w:lineRule="auto"/>
        <w:ind w:firstLine="0" w:firstLineChars="0"/>
        <w:jc w:val="lef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rPr>
        <w:t>附件</w:t>
      </w:r>
      <w:r>
        <w:rPr>
          <w:rFonts w:hint="eastAsia" w:ascii="仿宋" w:hAnsi="仿宋" w:eastAsia="仿宋" w:cs="仿宋"/>
          <w:b/>
          <w:bCs/>
          <w:color w:val="auto"/>
          <w:kern w:val="0"/>
          <w:sz w:val="24"/>
          <w:szCs w:val="24"/>
          <w:highlight w:val="none"/>
          <w:lang w:val="en-US" w:eastAsia="zh-CN"/>
        </w:rPr>
        <w:t>5</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6</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承诺函</w:t>
      </w:r>
    </w:p>
    <w:p w14:paraId="3CFA3E7B">
      <w:pPr>
        <w:pStyle w:val="19"/>
        <w:pageBreakBefore w:val="0"/>
        <w:kinsoku/>
        <w:overflowPunct/>
        <w:topLinePunct w:val="0"/>
        <w:autoSpaceDE/>
        <w:autoSpaceDN/>
        <w:bidi w:val="0"/>
        <w:snapToGrid w:val="0"/>
        <w:spacing w:before="156" w:beforeLines="50" w:after="312" w:afterLines="100" w:line="360" w:lineRule="auto"/>
        <w:ind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shd w:val="clear" w:color="auto" w:fill="FFFFFF"/>
        </w:rPr>
        <w:t>承诺函</w:t>
      </w:r>
    </w:p>
    <w:p w14:paraId="08602E76">
      <w:pPr>
        <w:pageBreakBefore w:val="0"/>
        <w:kinsoku/>
        <w:overflowPunct/>
        <w:topLinePunct w:val="0"/>
        <w:autoSpaceDE/>
        <w:autoSpaceDN/>
        <w:bidi w:val="0"/>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四川省妇幼保健院：</w:t>
      </w:r>
    </w:p>
    <w:p w14:paraId="6E783DA4">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本供应商</w:t>
      </w:r>
      <w:r>
        <w:rPr>
          <w:rFonts w:hint="eastAsia" w:ascii="仿宋" w:hAnsi="仿宋" w:eastAsia="仿宋" w:cs="仿宋"/>
          <w:sz w:val="24"/>
          <w:szCs w:val="24"/>
          <w:highlight w:val="none"/>
          <w:u w:val="single"/>
        </w:rPr>
        <w:t xml:space="preserve">      （供应商全称）        </w:t>
      </w:r>
      <w:r>
        <w:rPr>
          <w:rFonts w:hint="eastAsia" w:ascii="仿宋" w:hAnsi="仿宋" w:eastAsia="仿宋" w:cs="仿宋"/>
          <w:sz w:val="24"/>
          <w:szCs w:val="24"/>
          <w:highlight w:val="none"/>
        </w:rPr>
        <w:t>参加</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（项目编号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活动，现郑重承诺：</w:t>
      </w:r>
    </w:p>
    <w:p w14:paraId="0235A9CC">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一、具备本项目规定的条件：</w:t>
      </w:r>
    </w:p>
    <w:p w14:paraId="30457D2A">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（一）具有独立承担民事责任的能力； </w:t>
      </w:r>
    </w:p>
    <w:p w14:paraId="094045F9">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（二）具有良好的商业信誉和健全的财务会计制度； </w:t>
      </w:r>
    </w:p>
    <w:p w14:paraId="249CAE20">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（三）具有履行合同所必需的设备和专业技术能力； </w:t>
      </w:r>
    </w:p>
    <w:p w14:paraId="261D9DB1">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（四）有依法缴纳税收和社会保障资金的良好记录； </w:t>
      </w:r>
    </w:p>
    <w:p w14:paraId="7C5C6EB4">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（五）参加采购活动前三年内，在经营活动中没有重大违法记录；</w:t>
      </w:r>
    </w:p>
    <w:p w14:paraId="1B656F33">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（六）法律、行政法规规定的其他条件；</w:t>
      </w:r>
    </w:p>
    <w:p w14:paraId="6AD04769">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二、完全接受和满足本项目</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文件中规定的实质性要求，如对</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文件有异议，已经在</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截止时间届满前依法进行维权救济，不存在对</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文件有异议的同时又参加</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以求侥幸成交或者为实现其他非法目的的行为。承诺成交后签订合同前按采购人要求提交技术参数相关佐证材料。</w:t>
      </w:r>
    </w:p>
    <w:p w14:paraId="509F025C">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三、参加本次采购活动，不存在与单位负责人为同一人或者存在直接控股、管理关系的其他供应商参与同一合同项下的采购活动的行为。本单位未参与本采购项目前期咨询论证，不属于禁止参加本项目</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的供应商。</w:t>
      </w:r>
    </w:p>
    <w:p w14:paraId="50B79980">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四、参加本次采购活动，不存在和其他供应商在同一合同项下的采购项目中，同时委托同一个自然人、同一家庭的人员、同一单位的人员作为代理人的行为。</w:t>
      </w:r>
    </w:p>
    <w:p w14:paraId="401F30C1">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五、本单位未被对列入按财库[2016]125号规定的失信被执行人、重大税收违法案件当事人名单、政府采购严重违法失信行为记录名单及其他不符合《中华人民共和国政府采购法》第二十二条规定条件的供应商。</w:t>
      </w:r>
    </w:p>
    <w:p w14:paraId="29E68268">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六、国家或行业主管部门对采购产品的技术标准、质量标准和资格资质条件等有强制性规定的，我方承诺符合其要求。</w:t>
      </w:r>
    </w:p>
    <w:p w14:paraId="2B67FD33">
      <w:pPr>
        <w:pageBreakBefore w:val="0"/>
        <w:kinsoku/>
        <w:overflowPunct/>
        <w:topLinePunct w:val="0"/>
        <w:autoSpaceDE/>
        <w:autoSpaceDN/>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本公司对上述承诺的内容事项真实性负责。如经查实上述承诺的内容事项存在虚假，本单位愿意接受以提供虚假材料谋取成交追究法律责任。</w:t>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p>
    <w:p w14:paraId="5B277EEB">
      <w:pPr>
        <w:pageBreakBefore w:val="0"/>
        <w:kinsoku/>
        <w:overflowPunct/>
        <w:topLinePunct w:val="0"/>
        <w:autoSpaceDE/>
        <w:autoSpaceDN/>
        <w:bidi w:val="0"/>
        <w:adjustRightInd w:val="0"/>
        <w:snapToGrid w:val="0"/>
        <w:spacing w:line="360" w:lineRule="auto"/>
        <w:textAlignment w:val="auto"/>
        <w:rPr>
          <w:rFonts w:hint="eastAsia" w:ascii="仿宋" w:hAnsi="仿宋" w:eastAsia="仿宋" w:cs="仿宋"/>
          <w:sz w:val="24"/>
          <w:szCs w:val="24"/>
          <w:highlight w:val="none"/>
        </w:rPr>
      </w:pPr>
    </w:p>
    <w:p w14:paraId="457FC089">
      <w:pPr>
        <w:pageBreakBefore w:val="0"/>
        <w:kinsoku/>
        <w:overflowPunct/>
        <w:topLinePunct w:val="0"/>
        <w:autoSpaceDE/>
        <w:autoSpaceDN/>
        <w:bidi w:val="0"/>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        （盖章）</w:t>
      </w:r>
    </w:p>
    <w:p w14:paraId="3313ABB2">
      <w:pPr>
        <w:pageBreakBefore w:val="0"/>
        <w:kinsoku/>
        <w:overflowPunct/>
        <w:topLinePunct w:val="0"/>
        <w:autoSpaceDE/>
        <w:autoSpaceDN/>
        <w:bidi w:val="0"/>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法定代表人或授权代表（</w:t>
      </w:r>
      <w:r>
        <w:rPr>
          <w:rFonts w:hint="eastAsia" w:ascii="仿宋" w:hAnsi="仿宋" w:eastAsia="仿宋" w:cs="仿宋"/>
          <w:sz w:val="24"/>
          <w:szCs w:val="24"/>
          <w:highlight w:val="none"/>
          <w:u w:val="single"/>
        </w:rPr>
        <w:t>签字或盖章</w:t>
      </w:r>
      <w:r>
        <w:rPr>
          <w:rFonts w:hint="eastAsia" w:ascii="仿宋" w:hAnsi="仿宋" w:eastAsia="仿宋" w:cs="仿宋"/>
          <w:sz w:val="24"/>
          <w:szCs w:val="24"/>
          <w:highlight w:val="none"/>
        </w:rPr>
        <w:t>）：</w:t>
      </w:r>
    </w:p>
    <w:p w14:paraId="2DB3CAE5">
      <w:pPr>
        <w:pageBreakBefore w:val="0"/>
        <w:kinsoku/>
        <w:overflowPunct/>
        <w:topLinePunct w:val="0"/>
        <w:autoSpaceDE/>
        <w:autoSpaceDN/>
        <w:bidi w:val="0"/>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日 期：</w:t>
      </w:r>
    </w:p>
    <w:p w14:paraId="335C3190">
      <w:pPr>
        <w:pStyle w:val="7"/>
        <w:rPr>
          <w:rFonts w:hint="eastAsia" w:ascii="仿宋" w:hAnsi="仿宋" w:eastAsia="仿宋" w:cs="仿宋"/>
          <w:highlight w:val="none"/>
        </w:rPr>
        <w:sectPr>
          <w:pgSz w:w="11906" w:h="16838"/>
          <w:pgMar w:top="1440" w:right="1800" w:bottom="1440" w:left="1800" w:header="851" w:footer="992" w:gutter="0"/>
          <w:cols w:space="425" w:num="1"/>
          <w:docGrid w:type="lines" w:linePitch="312" w:charSpace="0"/>
        </w:sectPr>
      </w:pPr>
    </w:p>
    <w:p w14:paraId="0EA588E4">
      <w:pPr>
        <w:keepNext w:val="0"/>
        <w:keepLines w:val="0"/>
        <w:pageBreakBefore w:val="0"/>
        <w:widowControl/>
        <w:shd w:val="clear" w:color="auto" w:fill="FFFFFF"/>
        <w:kinsoku/>
        <w:wordWrap w:val="0"/>
        <w:overflowPunct/>
        <w:topLinePunct w:val="0"/>
        <w:autoSpaceDE/>
        <w:autoSpaceDN/>
        <w:bidi w:val="0"/>
        <w:spacing w:line="300" w:lineRule="exact"/>
        <w:jc w:val="left"/>
        <w:textAlignment w:val="auto"/>
        <w:outlineLvl w:val="0"/>
        <w:rPr>
          <w:rFonts w:hint="eastAsia" w:ascii="仿宋" w:hAnsi="仿宋" w:eastAsia="仿宋" w:cs="仿宋"/>
          <w:sz w:val="28"/>
          <w:szCs w:val="32"/>
          <w:highlight w:val="none"/>
        </w:rPr>
      </w:pPr>
      <w:r>
        <w:rPr>
          <w:rFonts w:hint="eastAsia" w:ascii="仿宋" w:hAnsi="仿宋" w:eastAsia="仿宋" w:cs="仿宋"/>
          <w:sz w:val="28"/>
          <w:szCs w:val="32"/>
          <w:highlight w:val="none"/>
        </w:rPr>
        <w:t>附件</w:t>
      </w:r>
      <w:r>
        <w:rPr>
          <w:rFonts w:hint="eastAsia" w:ascii="仿宋" w:hAnsi="仿宋" w:eastAsia="仿宋" w:cs="仿宋"/>
          <w:sz w:val="28"/>
          <w:szCs w:val="32"/>
          <w:highlight w:val="none"/>
          <w:lang w:val="en-US" w:eastAsia="zh-CN"/>
        </w:rPr>
        <w:t>6</w:t>
      </w:r>
      <w:r>
        <w:rPr>
          <w:rFonts w:hint="eastAsia" w:ascii="仿宋" w:hAnsi="仿宋" w:eastAsia="仿宋" w:cs="仿宋"/>
          <w:sz w:val="28"/>
          <w:szCs w:val="32"/>
          <w:highlight w:val="none"/>
        </w:rPr>
        <w:t>：</w:t>
      </w:r>
      <w:r>
        <w:rPr>
          <w:rFonts w:hint="eastAsia" w:ascii="仿宋" w:hAnsi="仿宋" w:eastAsia="仿宋" w:cs="仿宋"/>
          <w:sz w:val="28"/>
          <w:szCs w:val="32"/>
          <w:highlight w:val="none"/>
          <w:lang w:val="en-US" w:eastAsia="zh-CN"/>
        </w:rPr>
        <w:t>反商业贿赂承诺书</w:t>
      </w:r>
    </w:p>
    <w:p w14:paraId="54111E96">
      <w:pPr>
        <w:keepNext w:val="0"/>
        <w:keepLines w:val="0"/>
        <w:pageBreakBefore w:val="0"/>
        <w:widowControl/>
        <w:shd w:val="clear" w:color="auto" w:fill="FFFFFF"/>
        <w:kinsoku/>
        <w:wordWrap w:val="0"/>
        <w:overflowPunct/>
        <w:topLinePunct w:val="0"/>
        <w:autoSpaceDE/>
        <w:autoSpaceDN/>
        <w:bidi w:val="0"/>
        <w:spacing w:line="300" w:lineRule="exact"/>
        <w:jc w:val="center"/>
        <w:textAlignment w:val="auto"/>
        <w:outlineLvl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反商业贿赂承诺书</w:t>
      </w:r>
    </w:p>
    <w:p w14:paraId="4A118422">
      <w:pPr>
        <w:pStyle w:val="8"/>
        <w:outlineLvl w:val="9"/>
        <w:rPr>
          <w:rFonts w:hint="eastAsia"/>
          <w:lang w:val="en-US" w:eastAsia="zh-CN"/>
        </w:rPr>
      </w:pPr>
    </w:p>
    <w:p w14:paraId="481A6110">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07AA975F">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4EA33C01">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二、本厂家、商家、公司保证在药品、医疗器械、设备、物资、基建工程竞标工作及药品、试剂销售等工作中承诺做到：</w:t>
      </w:r>
    </w:p>
    <w:p w14:paraId="375403E1">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1、不与其他</w:t>
      </w:r>
      <w:r>
        <w:rPr>
          <w:rFonts w:hint="eastAsia" w:ascii="仿宋" w:hAnsi="仿宋" w:eastAsia="仿宋" w:cs="仿宋"/>
          <w:color w:val="auto"/>
          <w:kern w:val="0"/>
          <w:sz w:val="24"/>
          <w:szCs w:val="24"/>
          <w:highlight w:val="none"/>
          <w:lang w:eastAsia="zh-CN"/>
        </w:rPr>
        <w:t>供应商</w:t>
      </w:r>
      <w:r>
        <w:rPr>
          <w:rFonts w:hint="eastAsia" w:ascii="仿宋" w:hAnsi="仿宋" w:eastAsia="仿宋" w:cs="仿宋"/>
          <w:color w:val="auto"/>
          <w:kern w:val="0"/>
          <w:sz w:val="24"/>
          <w:szCs w:val="24"/>
          <w:highlight w:val="none"/>
        </w:rPr>
        <w:t>相互串通投标报价，损害贵院的合法权益；</w:t>
      </w:r>
    </w:p>
    <w:p w14:paraId="5D4EED94">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2、不与招标人串通投标，损害国家利益、社会公共利益或他人的合法权益；</w:t>
      </w:r>
    </w:p>
    <w:p w14:paraId="290BCD1B">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3、不以向招标人或者评标委员会成员行贿的手段谋取中标；</w:t>
      </w:r>
    </w:p>
    <w:p w14:paraId="5377753B">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4、竞标报价不违反相关法律的规定，也不以他人名义投标或者以其他方式弄虚作假，骗取中标；</w:t>
      </w:r>
    </w:p>
    <w:p w14:paraId="6F7D108B">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5、保证不以其他任何方式扰乱贵院的招标工作；</w:t>
      </w:r>
    </w:p>
    <w:p w14:paraId="74DFBCB1">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6、保证不在药品销售、医疗器械、设备、物资、基建工程竞标中采取账外暗中给予回扣的手段腐蚀、贿赂医护、药剂人员、干部等其他相关人员；</w:t>
      </w:r>
    </w:p>
    <w:p w14:paraId="5FAA218A">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7、保证不以任何名义包括以宣传费、临床促销费、开单费、处方费、广告费、免费度假、考察旅游、房屋装修等任何名义给予贵院采购人员、药剂人员、医护人员、干部等有关人员以财物或者其他利益；</w:t>
      </w:r>
    </w:p>
    <w:p w14:paraId="1A0A3D74">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8、保证不让贵院临床科室、药剂部门以及有关人员登记、统计医生处方或为此提供方便，干扰贵院的正常工作秩序；</w:t>
      </w:r>
    </w:p>
    <w:p w14:paraId="77D75F5B">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9、保证不以其他任何不正当竞争手段推销药品、医疗器械、设备、物资。</w:t>
      </w:r>
    </w:p>
    <w:p w14:paraId="4A28E1D8">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三、本厂家、商家、公司保证竭力维护贵院的声誉，不做任何有损贵院形象的事情。</w:t>
      </w:r>
    </w:p>
    <w:p w14:paraId="03536645">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168B9140">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五、对本厂家、商家、公司及本厂家、商家、公司工作人员采取以上手段竞标、促销等，干扰贵院正常工作秩序，损害贵院形象的，本厂家、商家、公司保证：</w:t>
      </w:r>
    </w:p>
    <w:p w14:paraId="5A9CEA6B">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1、对尚处在竞标阶段的，贵院有权取消本厂家、商家、公司的竞标资格；已经中标的，贵院有权取消中标；对已经获得准入资格的，贵院有权随时取消本厂家、商家、公司的准入资格；</w:t>
      </w:r>
    </w:p>
    <w:p w14:paraId="40E80EC7">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2、对本厂家、商家、公司相关工作人员作出严肃处理；</w:t>
      </w:r>
    </w:p>
    <w:p w14:paraId="4B670E0F">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3、对由于本厂家、商家、公司或本厂家、商家、公司工作人员的上述行为给贵院造成经济或名誉损失的，由本厂家、商家、公司负责，并愿意承担全部民事赔偿责任。</w:t>
      </w:r>
    </w:p>
    <w:p w14:paraId="5102F20E">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六、采购物资名称：</w:t>
      </w:r>
    </w:p>
    <w:p w14:paraId="40FFBC9A">
      <w:pPr>
        <w:keepNext w:val="0"/>
        <w:keepLines w:val="0"/>
        <w:pageBreakBefore w:val="0"/>
        <w:widowControl/>
        <w:shd w:val="clear" w:color="auto" w:fill="FFFFFF"/>
        <w:kinsoku/>
        <w:wordWrap w:val="0"/>
        <w:overflowPunct/>
        <w:topLinePunct w:val="0"/>
        <w:autoSpaceDE/>
        <w:autoSpaceDN/>
        <w:bidi w:val="0"/>
        <w:spacing w:line="300" w:lineRule="exact"/>
        <w:jc w:val="left"/>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24"/>
          <w:szCs w:val="24"/>
          <w:highlight w:val="none"/>
        </w:rPr>
        <w:t> 本《承诺书》一式二份（一份由承诺人自存；一份随投标文件装订）</w:t>
      </w:r>
    </w:p>
    <w:p w14:paraId="3B18BA97">
      <w:pPr>
        <w:keepNext w:val="0"/>
        <w:keepLines w:val="0"/>
        <w:pageBreakBefore w:val="0"/>
        <w:widowControl/>
        <w:shd w:val="clear" w:color="auto" w:fill="FFFFFF"/>
        <w:kinsoku/>
        <w:wordWrap w:val="0"/>
        <w:overflowPunct/>
        <w:topLinePunct w:val="0"/>
        <w:autoSpaceDE/>
        <w:autoSpaceDN/>
        <w:bidi w:val="0"/>
        <w:spacing w:line="300" w:lineRule="exact"/>
        <w:ind w:firstLine="240" w:firstLineChars="100"/>
        <w:jc w:val="left"/>
        <w:textAlignment w:val="auto"/>
        <w:rPr>
          <w:rFonts w:hint="eastAsia" w:ascii="仿宋" w:hAnsi="仿宋" w:eastAsia="仿宋" w:cs="仿宋"/>
          <w:b/>
          <w:bCs/>
          <w:kern w:val="0"/>
          <w:sz w:val="28"/>
          <w:szCs w:val="32"/>
          <w:highlight w:val="none"/>
          <w:shd w:val="clear" w:color="auto" w:fill="FFFFFF"/>
        </w:rPr>
        <w:sectPr>
          <w:pgSz w:w="11906" w:h="16838"/>
          <w:pgMar w:top="1020" w:right="1800" w:bottom="1440" w:left="1800" w:header="851" w:footer="992" w:gutter="0"/>
          <w:cols w:space="425" w:num="1"/>
          <w:docGrid w:type="lines" w:linePitch="312" w:charSpace="0"/>
        </w:sectPr>
      </w:pPr>
      <w:r>
        <w:rPr>
          <w:rFonts w:hint="eastAsia" w:ascii="仿宋" w:hAnsi="仿宋" w:eastAsia="仿宋" w:cs="仿宋"/>
          <w:color w:val="auto"/>
          <w:kern w:val="0"/>
          <w:sz w:val="24"/>
          <w:szCs w:val="24"/>
          <w:highlight w:val="none"/>
        </w:rPr>
        <w:t>承诺企业名称（公章）法人代表或委托代理人（承诺人）</w:t>
      </w:r>
    </w:p>
    <w:p w14:paraId="2C241D85">
      <w:pPr>
        <w:widowControl/>
        <w:shd w:val="clear" w:color="auto" w:fill="FFFFFF"/>
        <w:wordWrap w:val="0"/>
        <w:jc w:val="left"/>
        <w:outlineLvl w:val="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附件</w:t>
      </w: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：无围标、串标行为承诺书</w:t>
      </w:r>
    </w:p>
    <w:p w14:paraId="0D74FA44">
      <w:pPr>
        <w:pStyle w:val="2"/>
        <w:ind w:firstLine="2108" w:firstLineChars="750"/>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 xml:space="preserve"> 无围标、串标行为承诺书</w:t>
      </w:r>
    </w:p>
    <w:p w14:paraId="59861703">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本公司郑重承诺：我公司自觉遵守《中华人民共和国政府采购法》和《中华人民共和国政府采购法实施条例》的有关规定，我公司在参加本次项目（项目名称：XXXXXXX）采购活动中，无以下围标、串标行为：</w:t>
      </w:r>
    </w:p>
    <w:p w14:paraId="30E30DBB">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1.不同供应商的投标文件由同一单位或者个人编制；</w:t>
      </w:r>
    </w:p>
    <w:p w14:paraId="50813657">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2.不同供应商委托同一单位或者个人办理投标事宜；</w:t>
      </w:r>
    </w:p>
    <w:p w14:paraId="0C561FC0">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3.不同供应商的投标文件载明的项目管理成员或者联系人员为同一人；</w:t>
      </w:r>
    </w:p>
    <w:p w14:paraId="3D6C0F1F">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4.不同供应商的投标文件异常一致或者投标报价呈规律性差异；</w:t>
      </w:r>
    </w:p>
    <w:p w14:paraId="288F757F">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5.不同供应商的投标文件相互混装；</w:t>
      </w:r>
    </w:p>
    <w:p w14:paraId="791C722C">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6.不同供应商的投标保证金从同一单位或者个人的账户转出；</w:t>
      </w:r>
    </w:p>
    <w:p w14:paraId="60AA8AB7">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7.不同供应商的董事、监事、高管、单位负责人为同一人或者存在控股、管理关系的不同单位参加同一采购项目；</w:t>
      </w:r>
    </w:p>
    <w:p w14:paraId="5E9D263E">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8.供应商之间事先约定由某一特定供应商中标、成交；</w:t>
      </w:r>
    </w:p>
    <w:p w14:paraId="6AE0FB1D">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9.供应商之间商定部分供应商放弃参加采购活动或者放弃中标、成交；</w:t>
      </w:r>
    </w:p>
    <w:p w14:paraId="2109ABDD">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10.法律法规界定的其他围标串标行为。</w:t>
      </w:r>
    </w:p>
    <w:p w14:paraId="5B6108AD">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我公司承诺在本项目采购活动中，与采购人不存在关联关系，与其他投标单位不存在关联关系。如被查实在本项目采购活动中存在围标、串标的，本公司将承担法律责任，接受相应的法律法规处罚。</w:t>
      </w:r>
    </w:p>
    <w:p w14:paraId="1FF9D324">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p>
    <w:p w14:paraId="2D6A2E68">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供应商</w:t>
      </w:r>
      <w:r>
        <w:rPr>
          <w:rFonts w:hint="eastAsia" w:ascii="仿宋" w:hAnsi="仿宋" w:eastAsia="仿宋" w:cs="仿宋"/>
          <w:color w:val="auto"/>
          <w:kern w:val="0"/>
          <w:sz w:val="24"/>
          <w:szCs w:val="24"/>
          <w:highlight w:val="none"/>
        </w:rPr>
        <w:t>法人代表或委托代理人（承诺人） ：</w:t>
      </w:r>
    </w:p>
    <w:p w14:paraId="457AB976">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供应商</w:t>
      </w:r>
      <w:r>
        <w:rPr>
          <w:rFonts w:hint="eastAsia" w:ascii="仿宋" w:hAnsi="仿宋" w:eastAsia="仿宋" w:cs="仿宋"/>
          <w:color w:val="auto"/>
          <w:kern w:val="0"/>
          <w:sz w:val="24"/>
          <w:szCs w:val="24"/>
          <w:highlight w:val="none"/>
        </w:rPr>
        <w:t xml:space="preserve">：（公章）  </w:t>
      </w:r>
    </w:p>
    <w:p w14:paraId="38717583">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日期：   年    月    日</w:t>
      </w:r>
    </w:p>
    <w:p w14:paraId="52DCFCE8">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p>
    <w:p w14:paraId="16CD7E2F">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p>
    <w:p w14:paraId="18E8C88B">
      <w:pP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br w:type="page"/>
      </w:r>
    </w:p>
    <w:p w14:paraId="6A3E55A3">
      <w:pPr>
        <w:widowControl/>
        <w:shd w:val="clear" w:color="auto" w:fill="FFFFFF"/>
        <w:wordWrap w:val="0"/>
        <w:jc w:val="left"/>
        <w:outlineLvl w:val="0"/>
        <w:rPr>
          <w:rFonts w:hint="eastAsia" w:ascii="仿宋" w:hAnsi="仿宋" w:eastAsia="仿宋" w:cs="仿宋"/>
          <w:color w:val="auto"/>
          <w:kern w:val="0"/>
          <w:sz w:val="44"/>
          <w:szCs w:val="44"/>
          <w:highlight w:val="none"/>
        </w:rPr>
      </w:pPr>
      <w:r>
        <w:rPr>
          <w:rFonts w:hint="eastAsia" w:ascii="仿宋" w:hAnsi="仿宋" w:eastAsia="仿宋" w:cs="仿宋"/>
          <w:bCs/>
          <w:color w:val="auto"/>
          <w:kern w:val="0"/>
          <w:sz w:val="28"/>
          <w:szCs w:val="28"/>
          <w:highlight w:val="none"/>
        </w:rPr>
        <w:t>附件</w:t>
      </w:r>
      <w:r>
        <w:rPr>
          <w:rFonts w:hint="eastAsia" w:ascii="仿宋" w:hAnsi="仿宋" w:eastAsia="仿宋" w:cs="仿宋"/>
          <w:bCs/>
          <w:color w:val="auto"/>
          <w:kern w:val="0"/>
          <w:sz w:val="28"/>
          <w:szCs w:val="28"/>
          <w:highlight w:val="none"/>
          <w:lang w:val="en-US" w:eastAsia="zh-CN"/>
        </w:rPr>
        <w:t>8</w:t>
      </w:r>
      <w:r>
        <w:rPr>
          <w:rFonts w:hint="eastAsia" w:ascii="仿宋" w:hAnsi="仿宋" w:eastAsia="仿宋" w:cs="仿宋"/>
          <w:bCs/>
          <w:color w:val="auto"/>
          <w:kern w:val="0"/>
          <w:sz w:val="28"/>
          <w:szCs w:val="28"/>
          <w:highlight w:val="none"/>
        </w:rPr>
        <w:t>：供应商遵守招标采购纪律承诺书</w:t>
      </w:r>
    </w:p>
    <w:p w14:paraId="6D4E82FF">
      <w:pPr>
        <w:widowControl/>
        <w:jc w:val="center"/>
        <w:outlineLvl w:val="9"/>
        <w:rPr>
          <w:rFonts w:hint="eastAsia" w:ascii="仿宋" w:hAnsi="仿宋" w:eastAsia="仿宋" w:cs="仿宋"/>
          <w:color w:val="auto"/>
          <w:kern w:val="0"/>
          <w:sz w:val="28"/>
          <w:szCs w:val="28"/>
          <w:highlight w:val="none"/>
        </w:rPr>
      </w:pPr>
      <w:r>
        <w:rPr>
          <w:rFonts w:hint="eastAsia" w:ascii="仿宋" w:hAnsi="仿宋" w:eastAsia="仿宋" w:cs="仿宋"/>
          <w:b/>
          <w:bCs/>
          <w:color w:val="auto"/>
          <w:kern w:val="0"/>
          <w:sz w:val="28"/>
          <w:szCs w:val="28"/>
          <w:highlight w:val="none"/>
        </w:rPr>
        <w:t>供应商遵守招标采购纪律承诺书</w:t>
      </w:r>
    </w:p>
    <w:p w14:paraId="3284F25E">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致四川省妇幼保健院：</w:t>
      </w:r>
    </w:p>
    <w:p w14:paraId="1B17DE2E">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我单位作为本次采购项目的供应商，根据</w:t>
      </w:r>
      <w:r>
        <w:rPr>
          <w:rFonts w:hint="eastAsia" w:ascii="仿宋" w:hAnsi="仿宋" w:eastAsia="仿宋" w:cs="仿宋"/>
          <w:color w:val="auto"/>
          <w:kern w:val="0"/>
          <w:sz w:val="24"/>
          <w:szCs w:val="24"/>
          <w:highlight w:val="none"/>
          <w:lang w:val="en-US" w:eastAsia="zh-CN"/>
        </w:rPr>
        <w:t>采购</w:t>
      </w:r>
      <w:r>
        <w:rPr>
          <w:rFonts w:hint="eastAsia" w:ascii="仿宋" w:hAnsi="仿宋" w:eastAsia="仿宋" w:cs="仿宋"/>
          <w:color w:val="auto"/>
          <w:kern w:val="0"/>
          <w:sz w:val="24"/>
          <w:szCs w:val="24"/>
          <w:highlight w:val="none"/>
        </w:rPr>
        <w:t>文件要求，现郑重承诺如下：</w:t>
      </w:r>
    </w:p>
    <w:p w14:paraId="54145633">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一、参加本次采购活动，我单位不存在与单位负责人为同一人或者存在直接控股、管理关系的其他供应商参与同一合同项下的采购活动的行为。</w:t>
      </w:r>
    </w:p>
    <w:p w14:paraId="36F54DF5">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二、参加本次采购活动，不得直接或者间接从采购人或者采购代理机构处获得其他供应商的相关情况并修改其投标文件或者响应文件。</w:t>
      </w:r>
    </w:p>
    <w:p w14:paraId="01FCD289">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三、参加本次采购活动，不得按照采购人的授意撤换、修改投标文件或者响应文件。</w:t>
      </w:r>
    </w:p>
    <w:p w14:paraId="6C09259F">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四、参加本次采购活动，不得和本次采购供应商之间协商报价、技术方案等投标文件或者响应文件的实质性内容。</w:t>
      </w:r>
    </w:p>
    <w:p w14:paraId="71C8A92C">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五、本次采购活动中，不存在属于同一集团、协会、商会等组织成员的供应商按照该组织要求协同参加本次采购活动。</w:t>
      </w:r>
    </w:p>
    <w:p w14:paraId="3664CF03">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六、参加本次采购活动，不存在与其他供应商之间事先约定由某一特定供应商中标、成交。</w:t>
      </w:r>
    </w:p>
    <w:p w14:paraId="0C0E9E8B">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七、参加本次采购活动，不存在与其他供应商商定部分供应商放弃参加采购活动或者放弃中标、成交。</w:t>
      </w:r>
    </w:p>
    <w:p w14:paraId="497750E0">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八、参加本次采购活动，不存在我单位的投标文件或者响应文件由其他参与本项目的单位或个人编制或委托办理投标事宜。</w:t>
      </w:r>
    </w:p>
    <w:p w14:paraId="2F349C42">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九、参加本次采购活动，不存在我单位与采购人之间、供应商相互之间，为谋求特定供应商中标、成交或者排斥其他供应商的其他串通行为。</w:t>
      </w:r>
    </w:p>
    <w:p w14:paraId="16BC6F46">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十、与我方存在直接控股关系的单位为：_______________；</w:t>
      </w:r>
    </w:p>
    <w:p w14:paraId="74D07D2B">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存在管理关系单位为：____________________________。</w:t>
      </w:r>
    </w:p>
    <w:p w14:paraId="4937C089">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p>
    <w:p w14:paraId="59EAD151">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5C3E458F">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p>
    <w:p w14:paraId="607F5286">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供应商名称（单位公章）：                 年    月   日      </w:t>
      </w:r>
    </w:p>
    <w:p w14:paraId="4D8BFE0E">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法定代表人/单位负责人或授权代表</w:t>
      </w:r>
    </w:p>
    <w:p w14:paraId="0BBCC2C4">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（签字或加盖个人名章）：        </w:t>
      </w:r>
    </w:p>
    <w:p w14:paraId="14C8A6A0">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p>
    <w:p w14:paraId="216048BB">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3AAF1D1B">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1.“负责人”是指单位法定代表人或者法律、行政法规规定代表单位行使职权的主要负责人。</w:t>
      </w:r>
    </w:p>
    <w:p w14:paraId="1E89A38E">
      <w:pPr>
        <w:widowControl/>
        <w:shd w:val="clear" w:color="auto" w:fill="FFFFFF"/>
        <w:wordWrap w:val="0"/>
        <w:spacing w:line="270" w:lineRule="atLeast"/>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4C532E36">
      <w:pPr>
        <w:widowControl/>
        <w:shd w:val="clear" w:color="auto" w:fill="FFFFFF"/>
        <w:wordWrap w:val="0"/>
        <w:spacing w:line="270" w:lineRule="atLeast"/>
        <w:ind w:firstLine="420"/>
        <w:jc w:val="left"/>
        <w:rPr>
          <w:rFonts w:hint="eastAsia" w:ascii="仿宋" w:hAnsi="仿宋" w:eastAsia="仿宋" w:cs="仿宋"/>
          <w:highlight w:val="none"/>
        </w:rPr>
      </w:pPr>
      <w:r>
        <w:rPr>
          <w:rFonts w:hint="eastAsia" w:ascii="仿宋" w:hAnsi="仿宋" w:eastAsia="仿宋" w:cs="仿宋"/>
          <w:color w:val="auto"/>
          <w:kern w:val="0"/>
          <w:sz w:val="24"/>
          <w:szCs w:val="24"/>
          <w:highlight w:val="none"/>
        </w:rPr>
        <w:t>3.“管理关系”是指与不具有出资持股关系的单位之间存在的其他管理与被管理关系。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33F53EC0-8220-46AA-8998-310265E36DD9}"/>
  </w:font>
  <w:font w:name="仿宋">
    <w:panose1 w:val="02010609060101010101"/>
    <w:charset w:val="86"/>
    <w:family w:val="modern"/>
    <w:pitch w:val="default"/>
    <w:sig w:usb0="800002BF" w:usb1="38CF7CFA" w:usb2="00000016" w:usb3="00000000" w:csb0="00040001" w:csb1="00000000"/>
    <w:embedRegular r:id="rId2" w:fontKey="{4E118DF0-D571-4FD7-AAC6-B9B44BF919FE}"/>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冬青黑体简体中文 W3">
    <w:altName w:val="黑体"/>
    <w:panose1 w:val="020B0300000000000000"/>
    <w:charset w:val="00"/>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embedRegular r:id="rId3" w:fontKey="{B052010A-5229-41F0-AF03-8EE9DE716B75}"/>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EB10C">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FE33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0D1FE33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C5CA9"/>
    <w:multiLevelType w:val="multilevel"/>
    <w:tmpl w:val="346C5CA9"/>
    <w:lvl w:ilvl="0" w:tentative="0">
      <w:start w:val="1"/>
      <w:numFmt w:val="bullet"/>
      <w:pStyle w:val="17"/>
      <w:lvlText w:val="-"/>
      <w:lvlJc w:val="left"/>
      <w:pPr>
        <w:tabs>
          <w:tab w:val="left" w:pos="927"/>
        </w:tabs>
        <w:ind w:left="562" w:firstLine="5"/>
      </w:pPr>
      <w:rPr>
        <w:rFonts w:hint="eastAsia" w:ascii="宋体" w:hAnsi="Wingdings" w:eastAsia="宋体"/>
        <w:lang w:eastAsia="zh-CN"/>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D4DAE"/>
    <w:rsid w:val="0F7030FD"/>
    <w:rsid w:val="0F8825C6"/>
    <w:rsid w:val="14FC0436"/>
    <w:rsid w:val="19DA709B"/>
    <w:rsid w:val="1AA50C28"/>
    <w:rsid w:val="271436A9"/>
    <w:rsid w:val="27941805"/>
    <w:rsid w:val="42F31246"/>
    <w:rsid w:val="43D67F5B"/>
    <w:rsid w:val="48C24FF6"/>
    <w:rsid w:val="4DB6131A"/>
    <w:rsid w:val="56867584"/>
    <w:rsid w:val="5F4A19DE"/>
    <w:rsid w:val="5FED4DAE"/>
    <w:rsid w:val="62060167"/>
    <w:rsid w:val="667D115E"/>
    <w:rsid w:val="6D6B47C4"/>
    <w:rsid w:val="6EED2356"/>
    <w:rsid w:val="6FE3058C"/>
    <w:rsid w:val="73345415"/>
    <w:rsid w:val="734D097C"/>
    <w:rsid w:val="7F296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14:ligatures w14:val="standardContextual"/>
    </w:rPr>
  </w:style>
  <w:style w:type="paragraph" w:styleId="4">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14:ligatures w14:val="standardContextual"/>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Normal Indent"/>
    <w:basedOn w:val="1"/>
    <w:qFormat/>
    <w:uiPriority w:val="0"/>
    <w:pPr>
      <w:ind w:firstLine="420" w:firstLineChars="200"/>
    </w:pPr>
    <w:rPr>
      <w:rFonts w:ascii="Times New Roman"/>
    </w:rPr>
  </w:style>
  <w:style w:type="paragraph" w:styleId="6">
    <w:name w:val="annotation text"/>
    <w:basedOn w:val="1"/>
    <w:semiHidden/>
    <w:unhideWhenUsed/>
    <w:qFormat/>
    <w:uiPriority w:val="0"/>
    <w:pPr>
      <w:jc w:val="left"/>
    </w:pPr>
  </w:style>
  <w:style w:type="paragraph" w:styleId="7">
    <w:name w:val="Body Text Indent 2"/>
    <w:basedOn w:val="1"/>
    <w:qFormat/>
    <w:uiPriority w:val="0"/>
    <w:pPr>
      <w:spacing w:after="120" w:afterLines="0" w:line="480" w:lineRule="auto"/>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w:basedOn w:val="2"/>
    <w:semiHidden/>
    <w:unhideWhenUsed/>
    <w:qFormat/>
    <w:uiPriority w:val="99"/>
    <w:pPr>
      <w:ind w:firstLine="420" w:firstLineChars="100"/>
    </w:p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99"/>
    <w:pPr>
      <w:ind w:firstLine="420" w:firstLineChars="200"/>
    </w:pPr>
  </w:style>
  <w:style w:type="paragraph" w:customStyle="1" w:styleId="16">
    <w:name w:val="U_正文2"/>
    <w:basedOn w:val="1"/>
    <w:qFormat/>
    <w:uiPriority w:val="0"/>
    <w:pPr>
      <w:spacing w:beforeLines="10" w:line="300" w:lineRule="auto"/>
    </w:pPr>
    <w:rPr>
      <w:rFonts w:asciiTheme="minorHAnsi" w:hAnsiTheme="minorHAnsi" w:eastAsiaTheme="minorEastAsia" w:cstheme="minorBidi"/>
      <w:sz w:val="24"/>
      <w:szCs w:val="22"/>
    </w:rPr>
  </w:style>
  <w:style w:type="paragraph" w:customStyle="1" w:styleId="17">
    <w:name w:val="U_编号2"/>
    <w:basedOn w:val="1"/>
    <w:qFormat/>
    <w:uiPriority w:val="0"/>
    <w:pPr>
      <w:numPr>
        <w:ilvl w:val="0"/>
        <w:numId w:val="1"/>
      </w:numPr>
      <w:spacing w:beforeLines="10" w:line="300" w:lineRule="auto"/>
      <w:ind w:left="1124"/>
    </w:pPr>
    <w:rPr>
      <w:sz w:val="24"/>
      <w:szCs w:val="20"/>
    </w:rPr>
  </w:style>
  <w:style w:type="paragraph" w:customStyle="1" w:styleId="18">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9">
    <w:name w:val="GW-正文"/>
    <w:basedOn w:val="1"/>
    <w:qFormat/>
    <w:uiPriority w:val="0"/>
    <w:pPr>
      <w:spacing w:line="360" w:lineRule="auto"/>
      <w:ind w:firstLine="200" w:firstLineChars="200"/>
    </w:pPr>
    <w:rPr>
      <w:rFonts w:eastAsia="仿宋_GB2312"/>
      <w:sz w:val="24"/>
      <w:szCs w:val="24"/>
    </w:rPr>
  </w:style>
  <w:style w:type="paragraph" w:customStyle="1" w:styleId="20">
    <w:name w:val="正文 A"/>
    <w:qFormat/>
    <w:uiPriority w:val="0"/>
    <w:pPr>
      <w:framePr w:wrap="around" w:vAnchor="margin" w:hAnchor="text" w:yAlign="top"/>
      <w:spacing w:after="160" w:line="278" w:lineRule="auto"/>
    </w:pPr>
    <w:rPr>
      <w:rFonts w:ascii="Arial Unicode MS" w:hAnsi="Arial Unicode MS" w:eastAsia="Arial Unicode MS" w:cs="Arial Unicode MS"/>
      <w:color w:val="000000"/>
      <w:sz w:val="22"/>
      <w:szCs w:val="22"/>
      <w:u w:color="000000"/>
      <w:lang w:val="zh-TW" w:eastAsia="zh-TW" w:bidi="ar-SA"/>
    </w:rPr>
  </w:style>
  <w:style w:type="paragraph" w:customStyle="1" w:styleId="21">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22">
    <w:name w:val="标题 5（有编号）（绿盟科技）"/>
    <w:basedOn w:val="1"/>
    <w:next w:val="23"/>
    <w:qFormat/>
    <w:uiPriority w:val="0"/>
    <w:pPr>
      <w:keepNext/>
      <w:keepLines/>
      <w:numPr>
        <w:ilvl w:val="4"/>
        <w:numId w:val="2"/>
      </w:numPr>
      <w:spacing w:before="280" w:after="156" w:line="377" w:lineRule="auto"/>
      <w:jc w:val="left"/>
      <w:outlineLvl w:val="4"/>
    </w:pPr>
    <w:rPr>
      <w:rFonts w:ascii="Arial" w:hAnsi="Arial" w:eastAsia="冬青黑体简体中文 W3"/>
      <w:b/>
      <w:sz w:val="24"/>
      <w:szCs w:val="28"/>
    </w:rPr>
  </w:style>
  <w:style w:type="paragraph" w:customStyle="1" w:styleId="23">
    <w:name w:val="正文（绿盟科技）"/>
    <w:qFormat/>
    <w:locked/>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6198</Words>
  <Characters>6457</Characters>
  <Lines>0</Lines>
  <Paragraphs>0</Paragraphs>
  <TotalTime>1</TotalTime>
  <ScaleCrop>false</ScaleCrop>
  <LinksUpToDate>false</LinksUpToDate>
  <CharactersWithSpaces>6533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2025-07-17T02:04:00Z</dcterms:created>
  <dc:creator>嫣然一竹</dc:creator>
  <cp:lastModifiedBy>Alano</cp:lastModifiedBy>
  <dcterms:modified xsi:type="dcterms:W3CDTF">2026-08-28T10:06:23Z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eyJoZGlkIjoiNGY0ZWU5M2EzNGVhNzI3MWM5NWJkN2JhMTNhZjY4ZGQiLCJ1c2VySWQiOiIxMTM4ODg2OTkzIn0=</vt:lpwstr>
  </property>
  <property fmtid="{D5CDD505-2E9C-101B-9397-08002B2CF9AE}" pid="4" name="ICV">
    <vt:lpwstr>B9E2AC352D4246A39C8D55F090EAED7D_13</vt:lpwstr>
  </property>
</Properties>
</file>