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04F0C">
      <w:pPr>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 xml:space="preserve">附件5  </w:t>
      </w:r>
    </w:p>
    <w:p w14:paraId="09D2B752">
      <w:pPr>
        <w:jc w:val="center"/>
        <w:rPr>
          <w:rFonts w:hint="default"/>
          <w:lang w:val="en-US" w:eastAsia="zh-CN"/>
        </w:rPr>
      </w:pPr>
      <w:r>
        <w:rPr>
          <w:rFonts w:hint="eastAsia" w:ascii="宋体" w:hAnsi="宋体" w:eastAsia="宋体" w:cs="宋体"/>
          <w:b/>
          <w:sz w:val="28"/>
          <w:szCs w:val="28"/>
          <w:lang w:val="en-US" w:eastAsia="zh-CN"/>
        </w:rPr>
        <w:t>综合评分明细表</w:t>
      </w:r>
      <w:r>
        <w:rPr>
          <w:rFonts w:hint="eastAsia" w:ascii="宋体" w:hAnsi="宋体" w:cs="宋体"/>
          <w:b/>
          <w:sz w:val="28"/>
          <w:szCs w:val="28"/>
          <w:lang w:val="en-US" w:eastAsia="zh-CN"/>
        </w:rPr>
        <w:t>（品牌商超）</w:t>
      </w:r>
    </w:p>
    <w:tbl>
      <w:tblPr>
        <w:tblStyle w:val="6"/>
        <w:tblW w:w="10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6" w:type="dxa"/>
          <w:left w:w="96" w:type="dxa"/>
          <w:bottom w:w="56" w:type="dxa"/>
          <w:right w:w="96" w:type="dxa"/>
        </w:tblCellMar>
      </w:tblPr>
      <w:tblGrid>
        <w:gridCol w:w="792"/>
        <w:gridCol w:w="2577"/>
        <w:gridCol w:w="4192"/>
        <w:gridCol w:w="2451"/>
      </w:tblGrid>
      <w:tr w14:paraId="1B3D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tblHeader/>
          <w:jc w:val="center"/>
        </w:trPr>
        <w:tc>
          <w:tcPr>
            <w:tcW w:w="792" w:type="dxa"/>
            <w:tcBorders>
              <w:top w:val="single" w:color="auto" w:sz="4" w:space="0"/>
              <w:left w:val="single" w:color="auto" w:sz="4" w:space="0"/>
              <w:bottom w:val="single" w:color="auto" w:sz="4" w:space="0"/>
              <w:right w:val="single" w:color="auto" w:sz="4" w:space="0"/>
            </w:tcBorders>
            <w:vAlign w:val="center"/>
          </w:tcPr>
          <w:p w14:paraId="5E149A9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序号</w:t>
            </w:r>
          </w:p>
        </w:tc>
        <w:tc>
          <w:tcPr>
            <w:tcW w:w="2577" w:type="dxa"/>
            <w:tcBorders>
              <w:top w:val="single" w:color="auto" w:sz="4" w:space="0"/>
              <w:left w:val="single" w:color="auto" w:sz="4" w:space="0"/>
              <w:bottom w:val="single" w:color="auto" w:sz="4" w:space="0"/>
              <w:right w:val="single" w:color="auto" w:sz="4" w:space="0"/>
            </w:tcBorders>
            <w:vAlign w:val="center"/>
          </w:tcPr>
          <w:p w14:paraId="6A5A967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评分项目</w:t>
            </w:r>
          </w:p>
        </w:tc>
        <w:tc>
          <w:tcPr>
            <w:tcW w:w="4192" w:type="dxa"/>
            <w:tcBorders>
              <w:top w:val="single" w:color="auto" w:sz="4" w:space="0"/>
              <w:left w:val="single" w:color="auto" w:sz="4" w:space="0"/>
              <w:bottom w:val="single" w:color="auto" w:sz="4" w:space="0"/>
              <w:right w:val="single" w:color="auto" w:sz="4" w:space="0"/>
            </w:tcBorders>
            <w:vAlign w:val="center"/>
          </w:tcPr>
          <w:p w14:paraId="153CA69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评分标准</w:t>
            </w:r>
          </w:p>
        </w:tc>
        <w:tc>
          <w:tcPr>
            <w:tcW w:w="2451" w:type="dxa"/>
            <w:tcBorders>
              <w:top w:val="single" w:color="auto" w:sz="4" w:space="0"/>
              <w:left w:val="single" w:color="auto" w:sz="4" w:space="0"/>
              <w:bottom w:val="single" w:color="auto" w:sz="4" w:space="0"/>
              <w:right w:val="single" w:color="auto" w:sz="4" w:space="0"/>
            </w:tcBorders>
            <w:vAlign w:val="center"/>
          </w:tcPr>
          <w:p w14:paraId="18DE4FA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说明</w:t>
            </w:r>
          </w:p>
        </w:tc>
      </w:tr>
      <w:tr w14:paraId="2278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6527579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宋体"/>
                <w:color w:val="000000" w:themeColor="text1"/>
                <w:sz w:val="24"/>
                <w:szCs w:val="21"/>
                <w14:textFill>
                  <w14:solidFill>
                    <w14:schemeClr w14:val="tx1"/>
                  </w14:solidFill>
                </w14:textFill>
              </w:rPr>
            </w:pPr>
            <w:r>
              <w:rPr>
                <w:rFonts w:hint="eastAsia" w:ascii="仿宋_GB2312" w:hAnsi="宋体" w:eastAsia="仿宋_GB2312" w:cs="宋体"/>
                <w:color w:val="000000" w:themeColor="text1"/>
                <w:sz w:val="24"/>
                <w:szCs w:val="21"/>
                <w14:textFill>
                  <w14:solidFill>
                    <w14:schemeClr w14:val="tx1"/>
                  </w14:solidFill>
                </w14:textFill>
              </w:rPr>
              <w:t>1</w:t>
            </w:r>
          </w:p>
        </w:tc>
        <w:tc>
          <w:tcPr>
            <w:tcW w:w="2577" w:type="dxa"/>
            <w:tcBorders>
              <w:top w:val="single" w:color="auto" w:sz="4" w:space="0"/>
              <w:left w:val="single" w:color="auto" w:sz="4" w:space="0"/>
              <w:bottom w:val="single" w:color="auto" w:sz="4" w:space="0"/>
              <w:right w:val="single" w:color="auto" w:sz="4" w:space="0"/>
            </w:tcBorders>
            <w:vAlign w:val="center"/>
          </w:tcPr>
          <w:p w14:paraId="00352DCA">
            <w:pPr>
              <w:keepNext w:val="0"/>
              <w:keepLines w:val="0"/>
              <w:pageBreakBefore w:val="0"/>
              <w:widowControl/>
              <w:kinsoku/>
              <w:wordWrap/>
              <w:overflowPunct/>
              <w:topLinePunct w:val="0"/>
              <w:autoSpaceDE/>
              <w:autoSpaceDN/>
              <w:bidi w:val="0"/>
              <w:adjustRightInd/>
              <w:snapToGrid w:val="0"/>
              <w:spacing w:before="100" w:beforeAutospacing="1" w:after="100" w:afterAutospacing="1" w:line="340" w:lineRule="exact"/>
              <w:jc w:val="center"/>
              <w:textAlignment w:val="auto"/>
              <w:rPr>
                <w:rFonts w:hint="eastAsia"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报价</w:t>
            </w:r>
          </w:p>
          <w:p w14:paraId="32556830">
            <w:pPr>
              <w:keepNext w:val="0"/>
              <w:keepLines w:val="0"/>
              <w:pageBreakBefore w:val="0"/>
              <w:widowControl/>
              <w:kinsoku/>
              <w:wordWrap/>
              <w:overflowPunct/>
              <w:topLinePunct w:val="0"/>
              <w:autoSpaceDE/>
              <w:autoSpaceDN/>
              <w:bidi w:val="0"/>
              <w:adjustRightInd/>
              <w:snapToGrid w:val="0"/>
              <w:spacing w:before="100" w:beforeAutospacing="1" w:after="100" w:afterAutospacing="1" w:line="340" w:lineRule="exact"/>
              <w:jc w:val="center"/>
              <w:textAlignment w:val="auto"/>
              <w:rPr>
                <w:rFonts w:hint="eastAsia" w:ascii="仿宋_GB2312" w:hAnsi="宋体" w:eastAsia="仿宋_GB2312" w:cs="宋体"/>
                <w:color w:val="000000" w:themeColor="text1"/>
                <w:sz w:val="24"/>
                <w:szCs w:val="24"/>
                <w:lang w:eastAsia="zh-CN"/>
                <w14:textFill>
                  <w14:solidFill>
                    <w14:schemeClr w14:val="tx1"/>
                  </w14:solidFill>
                </w14:textFill>
              </w:rPr>
            </w:pPr>
            <w:r>
              <w:rPr>
                <w:rFonts w:hint="eastAsia" w:ascii="仿宋_GB2312" w:hAnsi="宋体" w:eastAsia="仿宋_GB2312" w:cs="宋体"/>
                <w:color w:val="000000"/>
                <w:kern w:val="0"/>
                <w:sz w:val="24"/>
                <w:szCs w:val="24"/>
                <w:lang w:eastAsia="zh-CN"/>
              </w:rPr>
              <w:t>（</w:t>
            </w:r>
            <w:r>
              <w:rPr>
                <w:rFonts w:hint="eastAsia" w:ascii="仿宋_GB2312" w:hAnsi="宋体" w:eastAsia="仿宋_GB2312" w:cs="宋体"/>
                <w:color w:val="000000"/>
                <w:kern w:val="0"/>
                <w:sz w:val="24"/>
                <w:szCs w:val="24"/>
                <w:lang w:val="en-US" w:eastAsia="zh-CN"/>
              </w:rPr>
              <w:t>2</w:t>
            </w:r>
            <w:r>
              <w:rPr>
                <w:rFonts w:hint="eastAsia" w:ascii="仿宋_GB2312" w:hAnsi="宋体" w:eastAsia="仿宋_GB2312" w:cs="宋体"/>
                <w:color w:val="000000"/>
                <w:kern w:val="0"/>
                <w:sz w:val="24"/>
                <w:szCs w:val="24"/>
              </w:rPr>
              <w:t>0</w:t>
            </w:r>
            <w:r>
              <w:rPr>
                <w:rFonts w:hint="eastAsia" w:ascii="仿宋_GB2312" w:hAnsi="宋体" w:eastAsia="仿宋_GB2312" w:cs="宋体"/>
                <w:color w:val="000000"/>
                <w:kern w:val="0"/>
                <w:sz w:val="24"/>
                <w:szCs w:val="24"/>
                <w:lang w:val="en-US" w:eastAsia="zh-CN"/>
              </w:rPr>
              <w:t>分</w:t>
            </w:r>
            <w:r>
              <w:rPr>
                <w:rFonts w:hint="eastAsia" w:ascii="仿宋_GB2312" w:hAnsi="宋体" w:eastAsia="仿宋_GB2312" w:cs="宋体"/>
                <w:color w:val="000000"/>
                <w:kern w:val="0"/>
                <w:sz w:val="24"/>
                <w:szCs w:val="24"/>
                <w:lang w:eastAsia="zh-CN"/>
              </w:rPr>
              <w:t>）</w:t>
            </w:r>
          </w:p>
        </w:tc>
        <w:tc>
          <w:tcPr>
            <w:tcW w:w="4192" w:type="dxa"/>
            <w:tcBorders>
              <w:top w:val="single" w:color="auto" w:sz="4" w:space="0"/>
              <w:left w:val="single" w:color="auto" w:sz="4" w:space="0"/>
              <w:bottom w:val="single" w:color="auto" w:sz="4" w:space="0"/>
              <w:right w:val="single" w:color="auto" w:sz="4" w:space="0"/>
            </w:tcBorders>
            <w:vAlign w:val="center"/>
          </w:tcPr>
          <w:p w14:paraId="49A4458F">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供应商对券面基准金额（劵面基准金额 ）进行上浮比例报价，满足磋商文件要求且投标报价最高的投标报价为评审基准价，其价格分为满分。其他供应商的价格分统一按照下列公式计算：</w:t>
            </w:r>
          </w:p>
          <w:p w14:paraId="213F995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sz w:val="24"/>
                <w:szCs w:val="24"/>
                <w:lang w:val="en-US" w:eastAsia="zh-CN"/>
              </w:rPr>
            </w:pPr>
            <w:r>
              <w:rPr>
                <w:rFonts w:hint="eastAsia" w:ascii="仿宋_GB2312" w:hAnsi="仿宋_GB2312" w:eastAsia="仿宋_GB2312" w:cs="仿宋_GB2312"/>
                <w:sz w:val="24"/>
                <w:szCs w:val="24"/>
              </w:rPr>
              <w:t>投标报价得分=(评标基准价/投标报价）×100×20%。</w:t>
            </w:r>
          </w:p>
        </w:tc>
        <w:tc>
          <w:tcPr>
            <w:tcW w:w="2451" w:type="dxa"/>
            <w:tcBorders>
              <w:top w:val="single" w:color="auto" w:sz="4" w:space="0"/>
              <w:left w:val="single" w:color="auto" w:sz="4" w:space="0"/>
              <w:bottom w:val="single" w:color="auto" w:sz="4" w:space="0"/>
              <w:right w:val="single" w:color="auto" w:sz="4" w:space="0"/>
            </w:tcBorders>
            <w:vAlign w:val="center"/>
          </w:tcPr>
          <w:p w14:paraId="4F0C5BA3">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sz w:val="24"/>
                <w:szCs w:val="24"/>
                <w:lang w:val="en-US" w:eastAsia="zh-CN"/>
                <w14:textFill>
                  <w14:solidFill>
                    <w14:schemeClr w14:val="tx1"/>
                  </w14:solidFill>
                </w14:textFill>
              </w:rPr>
            </w:pPr>
          </w:p>
        </w:tc>
      </w:tr>
      <w:tr w14:paraId="6260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51D987A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2</w:t>
            </w:r>
          </w:p>
        </w:tc>
        <w:tc>
          <w:tcPr>
            <w:tcW w:w="2577" w:type="dxa"/>
            <w:tcBorders>
              <w:top w:val="single" w:color="auto" w:sz="4" w:space="0"/>
              <w:left w:val="single" w:color="auto" w:sz="4" w:space="0"/>
              <w:bottom w:val="single" w:color="auto" w:sz="4" w:space="0"/>
              <w:right w:val="single" w:color="auto" w:sz="4" w:space="0"/>
            </w:tcBorders>
            <w:vAlign w:val="center"/>
          </w:tcPr>
          <w:p w14:paraId="76C8020F">
            <w:pPr>
              <w:keepNext w:val="0"/>
              <w:keepLines w:val="0"/>
              <w:pageBreakBefore w:val="0"/>
              <w:widowControl/>
              <w:kinsoku/>
              <w:wordWrap/>
              <w:overflowPunct/>
              <w:topLinePunct w:val="0"/>
              <w:autoSpaceDE/>
              <w:autoSpaceDN/>
              <w:bidi w:val="0"/>
              <w:adjustRightInd/>
              <w:snapToGrid w:val="0"/>
              <w:spacing w:before="100" w:beforeAutospacing="1" w:after="100" w:afterAutospacing="1" w:line="340" w:lineRule="exact"/>
              <w:jc w:val="center"/>
              <w:textAlignment w:val="auto"/>
              <w:rPr>
                <w:rFonts w:hint="eastAsia" w:ascii="仿宋_GB2312" w:hAnsi="宋体" w:eastAsia="仿宋_GB2312" w:cs="宋体"/>
                <w:color w:val="000000"/>
                <w:kern w:val="0"/>
                <w:sz w:val="24"/>
                <w:szCs w:val="24"/>
                <w:lang w:val="en-US" w:eastAsia="zh-CN"/>
              </w:rPr>
            </w:pPr>
            <w:r>
              <w:rPr>
                <w:rFonts w:hint="eastAsia" w:ascii="仿宋_GB2312" w:hAnsi="宋体" w:eastAsia="仿宋_GB2312" w:cs="宋体"/>
                <w:color w:val="000000"/>
                <w:kern w:val="0"/>
                <w:sz w:val="24"/>
                <w:szCs w:val="24"/>
                <w:lang w:val="en-US" w:eastAsia="zh-CN"/>
              </w:rPr>
              <w:t>实施方案</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40分</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p>
        </w:tc>
        <w:tc>
          <w:tcPr>
            <w:tcW w:w="4192" w:type="dxa"/>
            <w:tcBorders>
              <w:top w:val="single" w:color="auto" w:sz="4" w:space="0"/>
              <w:left w:val="single" w:color="auto" w:sz="4" w:space="0"/>
              <w:bottom w:val="single" w:color="auto" w:sz="4" w:space="0"/>
              <w:right w:val="single" w:color="auto" w:sz="4" w:space="0"/>
            </w:tcBorders>
            <w:vAlign w:val="center"/>
          </w:tcPr>
          <w:p w14:paraId="25D1E2DB">
            <w:pPr>
              <w:numPr>
                <w:ilvl w:val="0"/>
                <w:numId w:val="0"/>
              </w:numPr>
              <w:spacing w:line="400" w:lineRule="exact"/>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1.性价比16分。提供不少于米、面、粮油等产品的价格。综合考虑品牌、产品质量、价格及丰富度情况。综合较好得16-13分；综合次之得12-9分；综合较差得8分及以下。</w:t>
            </w:r>
          </w:p>
          <w:p w14:paraId="00E3D53F">
            <w:pPr>
              <w:numPr>
                <w:ilvl w:val="0"/>
                <w:numId w:val="0"/>
              </w:numPr>
              <w:spacing w:line="400" w:lineRule="exact"/>
              <w:ind w:leftChars="0"/>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kern w:val="0"/>
                <w:sz w:val="24"/>
                <w:szCs w:val="24"/>
                <w:lang w:val="en-US" w:eastAsia="zh-CN"/>
              </w:rPr>
              <w:t>2.</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服务措施10分。供应商针对本项目的服务措施，包括①</w:t>
            </w:r>
            <w:r>
              <w:rPr>
                <w:rFonts w:hint="eastAsia" w:ascii="仿宋_GB2312" w:hAnsi="仿宋_GB2312" w:eastAsia="仿宋_GB2312" w:cs="仿宋_GB2312"/>
                <w:sz w:val="24"/>
                <w:szCs w:val="24"/>
                <w:lang w:val="en-US" w:eastAsia="zh-CN"/>
              </w:rPr>
              <w:t>产品质量方案，包括</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产品出现质量问题退换措施；②食品安全管理措施，包括</w:t>
            </w:r>
            <w:r>
              <w:rPr>
                <w:rFonts w:hint="eastAsia" w:ascii="仿宋_GB2312" w:hAnsi="仿宋_GB2312" w:eastAsia="仿宋_GB2312" w:cs="仿宋_GB2312"/>
                <w:sz w:val="24"/>
                <w:szCs w:val="24"/>
                <w:lang w:val="en-US" w:eastAsia="zh-CN"/>
              </w:rPr>
              <w:t>供货渠道及备货方案、仓储管理、食品安全查验机制、食品安全事故的应急处置等</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。内容完善、完全符合项目实际得10分，每有一处缺陷、错误扣2分，扣完为止，未提供不得分。</w:t>
            </w:r>
          </w:p>
          <w:p w14:paraId="1AF2345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3.提货劵使用期限4分。使用期限为三年者得4分，一年到两年得2分，一年以内得1分。</w:t>
            </w:r>
          </w:p>
          <w:p w14:paraId="7C0E4CD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4.根据需要，对发放的慰问提货券提供定制服务2分。包括印制医院名称、LOGO、IP形象等，以及特定的面额、祝福语等特色服务。</w:t>
            </w:r>
          </w:p>
          <w:p w14:paraId="776C36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5.可实现线上发放、签收、提供签收数据等服务。根据投标人提出的方案综合评审，综合较好得4分；综合次之得3分；综合较差得2分及以下。此项满分4分</w:t>
            </w:r>
          </w:p>
          <w:p w14:paraId="1F1CD02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6.提供配送等服务4分。对院工会集中采购的慰问品（提货劵）提供送货上门、快递配送、配合发放等服务，每项得2分，最高4分。</w:t>
            </w:r>
          </w:p>
        </w:tc>
        <w:tc>
          <w:tcPr>
            <w:tcW w:w="2451" w:type="dxa"/>
            <w:tcBorders>
              <w:top w:val="single" w:color="auto" w:sz="4" w:space="0"/>
              <w:left w:val="single" w:color="auto" w:sz="4" w:space="0"/>
              <w:bottom w:val="single" w:color="auto" w:sz="4" w:space="0"/>
              <w:right w:val="single" w:color="auto" w:sz="4" w:space="0"/>
            </w:tcBorders>
            <w:vAlign w:val="center"/>
          </w:tcPr>
          <w:p w14:paraId="505341BD">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sz w:val="24"/>
                <w:szCs w:val="24"/>
                <w:lang w:val="en-US" w:eastAsia="zh-CN"/>
                <w14:textFill>
                  <w14:solidFill>
                    <w14:schemeClr w14:val="tx1"/>
                  </w14:solidFill>
                </w14:textFill>
              </w:rPr>
            </w:pPr>
            <w:r>
              <w:rPr>
                <w:rFonts w:hint="eastAsia" w:ascii="仿宋_GB2312" w:hAnsi="宋体" w:eastAsia="仿宋_GB2312" w:cs="宋体"/>
                <w:color w:val="000000"/>
                <w:kern w:val="0"/>
                <w:sz w:val="24"/>
                <w:szCs w:val="24"/>
                <w:highlight w:val="none"/>
                <w:lang w:val="en-US" w:eastAsia="zh-CN"/>
              </w:rPr>
              <w:t>提供证明或承诺书</w:t>
            </w:r>
          </w:p>
        </w:tc>
      </w:tr>
      <w:tr w14:paraId="337C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right w:val="single" w:color="auto" w:sz="4" w:space="0"/>
            </w:tcBorders>
            <w:vAlign w:val="center"/>
          </w:tcPr>
          <w:p w14:paraId="68DB8B0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3</w:t>
            </w:r>
          </w:p>
        </w:tc>
        <w:tc>
          <w:tcPr>
            <w:tcW w:w="2577" w:type="dxa"/>
            <w:tcBorders>
              <w:top w:val="single" w:color="auto" w:sz="4" w:space="0"/>
              <w:left w:val="single" w:color="auto" w:sz="4" w:space="0"/>
              <w:right w:val="single" w:color="auto" w:sz="4" w:space="0"/>
            </w:tcBorders>
            <w:vAlign w:val="center"/>
          </w:tcPr>
          <w:p w14:paraId="19E1BFE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宋体"/>
                <w:color w:val="000000"/>
                <w:kern w:val="0"/>
                <w:sz w:val="24"/>
                <w:szCs w:val="24"/>
                <w:lang w:val="en-US" w:eastAsia="zh-CN"/>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服务便利性（30分）</w:t>
            </w:r>
          </w:p>
        </w:tc>
        <w:tc>
          <w:tcPr>
            <w:tcW w:w="4192" w:type="dxa"/>
            <w:tcBorders>
              <w:top w:val="single" w:color="auto" w:sz="4" w:space="0"/>
              <w:left w:val="single" w:color="auto" w:sz="4" w:space="0"/>
              <w:bottom w:val="single" w:color="auto" w:sz="4" w:space="0"/>
              <w:right w:val="single" w:color="auto" w:sz="4" w:space="0"/>
            </w:tcBorders>
            <w:vAlign w:val="center"/>
          </w:tcPr>
          <w:p w14:paraId="3E37DF10">
            <w:pPr>
              <w:numPr>
                <w:ilvl w:val="0"/>
                <w:numId w:val="0"/>
              </w:num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1.供应商实体门店情况</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20分。根据成都市区范围内的实体门店数量进行评分，可使用门店30个及以上者得20分，以下得16分，若无不得分。</w:t>
            </w:r>
          </w:p>
          <w:p w14:paraId="29CA0989">
            <w:pPr>
              <w:numPr>
                <w:ilvl w:val="0"/>
                <w:numId w:val="0"/>
              </w:num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2.供应商同时有网络服务平台的，成都市区范围内可配送到家的得7分；本项最多得7分。</w:t>
            </w:r>
          </w:p>
          <w:p w14:paraId="24D3BD6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sz w:val="24"/>
                <w:szCs w:val="24"/>
                <w:highlight w:val="none"/>
              </w:rPr>
              <w:t>供应商投标时承诺为采购人提供定制化线上商城</w:t>
            </w:r>
            <w:r>
              <w:rPr>
                <w:rFonts w:hint="eastAsia" w:ascii="仿宋_GB2312" w:hAnsi="仿宋_GB2312" w:eastAsia="仿宋_GB2312" w:cs="仿宋_GB2312"/>
                <w:sz w:val="24"/>
                <w:szCs w:val="24"/>
              </w:rPr>
              <w:t>的</w:t>
            </w:r>
            <w:r>
              <w:rPr>
                <w:rFonts w:hint="eastAsia" w:ascii="仿宋_GB2312" w:hAnsi="仿宋_GB2312" w:eastAsia="仿宋_GB2312" w:cs="仿宋_GB2312"/>
                <w:sz w:val="24"/>
                <w:szCs w:val="24"/>
                <w:lang w:eastAsia="zh-CN"/>
              </w:rPr>
              <w:t>得</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分。（供应</w:t>
            </w:r>
            <w:bookmarkStart w:id="0" w:name="_GoBack"/>
            <w:bookmarkEnd w:id="0"/>
            <w:r>
              <w:rPr>
                <w:rFonts w:hint="eastAsia" w:ascii="仿宋_GB2312" w:hAnsi="仿宋_GB2312" w:eastAsia="仿宋_GB2312" w:cs="仿宋_GB2312"/>
                <w:sz w:val="24"/>
                <w:szCs w:val="24"/>
              </w:rPr>
              <w:t>商在投标时承诺成交后在规定时间内完成定制化线上商城的程序）本项最多得</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w:t>
            </w:r>
          </w:p>
        </w:tc>
        <w:tc>
          <w:tcPr>
            <w:tcW w:w="2451" w:type="dxa"/>
            <w:tcBorders>
              <w:top w:val="single" w:color="auto" w:sz="4" w:space="0"/>
              <w:left w:val="single" w:color="auto" w:sz="4" w:space="0"/>
              <w:bottom w:val="single" w:color="auto" w:sz="4" w:space="0"/>
              <w:right w:val="single" w:color="auto" w:sz="4" w:space="0"/>
            </w:tcBorders>
            <w:vAlign w:val="center"/>
          </w:tcPr>
          <w:p w14:paraId="01B4B59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p>
        </w:tc>
      </w:tr>
      <w:tr w14:paraId="0379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left w:val="single" w:color="auto" w:sz="4" w:space="0"/>
              <w:bottom w:val="single" w:color="auto" w:sz="4" w:space="0"/>
              <w:right w:val="single" w:color="auto" w:sz="4" w:space="0"/>
            </w:tcBorders>
            <w:vAlign w:val="center"/>
          </w:tcPr>
          <w:p w14:paraId="53986896">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4</w:t>
            </w:r>
          </w:p>
        </w:tc>
        <w:tc>
          <w:tcPr>
            <w:tcW w:w="2577" w:type="dxa"/>
            <w:tcBorders>
              <w:left w:val="single" w:color="auto" w:sz="4" w:space="0"/>
              <w:bottom w:val="single" w:color="auto" w:sz="4" w:space="0"/>
              <w:right w:val="single" w:color="auto" w:sz="4" w:space="0"/>
            </w:tcBorders>
            <w:shd w:val="clear" w:color="auto" w:fill="auto"/>
            <w:vAlign w:val="center"/>
          </w:tcPr>
          <w:p w14:paraId="180775E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kern w:val="0"/>
                <w:sz w:val="24"/>
                <w:szCs w:val="24"/>
                <w:lang w:val="en-US" w:eastAsia="zh-CN" w:bidi="ar-SA"/>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供应商业绩</w:t>
            </w:r>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10</w:t>
            </w:r>
            <w:r>
              <w:rPr>
                <w:rFonts w:hint="eastAsia" w:ascii="仿宋_GB2312" w:hAnsi="仿宋_GB2312" w:eastAsia="仿宋_GB2312" w:cs="仿宋_GB2312"/>
                <w:color w:val="000000" w:themeColor="text1"/>
                <w:sz w:val="24"/>
                <w:szCs w:val="24"/>
                <w14:textFill>
                  <w14:solidFill>
                    <w14:schemeClr w14:val="tx1"/>
                  </w14:solidFill>
                </w14:textFill>
              </w:rPr>
              <w:t>分）</w:t>
            </w:r>
          </w:p>
        </w:tc>
        <w:tc>
          <w:tcPr>
            <w:tcW w:w="4192" w:type="dxa"/>
            <w:tcBorders>
              <w:top w:val="single" w:color="auto" w:sz="4" w:space="0"/>
              <w:left w:val="single" w:color="auto" w:sz="4" w:space="0"/>
              <w:bottom w:val="single" w:color="auto" w:sz="4" w:space="0"/>
              <w:right w:val="single" w:color="auto" w:sz="4" w:space="0"/>
            </w:tcBorders>
            <w:shd w:val="clear" w:color="auto" w:fill="auto"/>
            <w:vAlign w:val="center"/>
          </w:tcPr>
          <w:p w14:paraId="299EDD5C">
            <w:pPr>
              <w:pStyle w:val="2"/>
              <w:rPr>
                <w:rFonts w:hint="eastAsia" w:ascii="Times New Roman" w:hAnsi="Times New Roman" w:eastAsia="宋体" w:cs="Times New Roman"/>
                <w:kern w:val="2"/>
                <w:sz w:val="21"/>
                <w:szCs w:val="24"/>
                <w:lang w:val="en-US" w:eastAsia="zh-CN" w:bidi="ar-SA"/>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供应商自2024年1月1日以来同类项目业绩（每份合同2分，最高10分，业绩以投标文件中提供的合同复印件为准）</w:t>
            </w:r>
          </w:p>
        </w:tc>
        <w:tc>
          <w:tcPr>
            <w:tcW w:w="2451" w:type="dxa"/>
            <w:tcBorders>
              <w:top w:val="single" w:color="auto" w:sz="4" w:space="0"/>
              <w:left w:val="single" w:color="auto" w:sz="4" w:space="0"/>
              <w:bottom w:val="single" w:color="auto" w:sz="4" w:space="0"/>
              <w:right w:val="single" w:color="auto" w:sz="4" w:space="0"/>
            </w:tcBorders>
            <w:shd w:val="clear" w:color="auto" w:fill="auto"/>
            <w:vAlign w:val="center"/>
          </w:tcPr>
          <w:p w14:paraId="3AC9F4AE">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提供证明或承诺书</w:t>
            </w:r>
          </w:p>
        </w:tc>
      </w:tr>
    </w:tbl>
    <w:p w14:paraId="6427CCAB">
      <w:pPr>
        <w:rPr>
          <w:rFonts w:hint="default" w:eastAsia="宋体"/>
          <w:lang w:val="en-US" w:eastAsia="zh-CN"/>
        </w:rPr>
      </w:pPr>
    </w:p>
    <w:p w14:paraId="1FBA9AA5">
      <w:pPr>
        <w:pStyle w:val="2"/>
        <w:rPr>
          <w:rFonts w:hint="default"/>
          <w:lang w:val="en-US" w:eastAsia="zh-CN"/>
        </w:rPr>
      </w:pPr>
    </w:p>
    <w:p w14:paraId="163652B7">
      <w:pPr>
        <w:pStyle w:val="2"/>
        <w:rPr>
          <w:rFonts w:hint="default"/>
          <w:lang w:val="en-US" w:eastAsia="zh-CN"/>
        </w:rPr>
      </w:pPr>
    </w:p>
    <w:p w14:paraId="1C1D32B4">
      <w:pPr>
        <w:rPr>
          <w:rFonts w:hint="default"/>
          <w:lang w:val="en-US" w:eastAsia="zh-CN"/>
        </w:rPr>
      </w:pPr>
    </w:p>
    <w:p w14:paraId="4F3B5759">
      <w:pPr>
        <w:pStyle w:val="2"/>
        <w:rPr>
          <w:rFonts w:hint="default"/>
          <w:lang w:val="en-US" w:eastAsia="zh-CN"/>
        </w:rPr>
      </w:pPr>
    </w:p>
    <w:p w14:paraId="34EFEDA1">
      <w:pPr>
        <w:rPr>
          <w:rFonts w:hint="default"/>
          <w:lang w:val="en-US" w:eastAsia="zh-CN"/>
        </w:rPr>
      </w:pPr>
    </w:p>
    <w:p w14:paraId="421359F9">
      <w:pPr>
        <w:pStyle w:val="2"/>
        <w:rPr>
          <w:rFonts w:hint="default"/>
          <w:lang w:val="en-US" w:eastAsia="zh-CN"/>
        </w:rPr>
      </w:pPr>
    </w:p>
    <w:p w14:paraId="0CA72963">
      <w:pPr>
        <w:rPr>
          <w:rFonts w:hint="default"/>
          <w:lang w:val="en-US" w:eastAsia="zh-CN"/>
        </w:rPr>
      </w:pPr>
    </w:p>
    <w:p w14:paraId="405E42B3">
      <w:pPr>
        <w:pStyle w:val="2"/>
        <w:rPr>
          <w:rFonts w:hint="default"/>
          <w:lang w:val="en-US" w:eastAsia="zh-CN"/>
        </w:rPr>
      </w:pPr>
    </w:p>
    <w:p w14:paraId="7B3479BB">
      <w:pPr>
        <w:rPr>
          <w:rFonts w:hint="default"/>
          <w:lang w:val="en-US" w:eastAsia="zh-CN"/>
        </w:rPr>
      </w:pPr>
    </w:p>
    <w:p w14:paraId="0D03941A">
      <w:pPr>
        <w:pStyle w:val="2"/>
        <w:rPr>
          <w:rFonts w:hint="default"/>
          <w:lang w:val="en-US" w:eastAsia="zh-CN"/>
        </w:rPr>
      </w:pPr>
    </w:p>
    <w:p w14:paraId="3DB26E82">
      <w:pPr>
        <w:rPr>
          <w:rFonts w:hint="default"/>
          <w:lang w:val="en-US" w:eastAsia="zh-CN"/>
        </w:rPr>
      </w:pPr>
    </w:p>
    <w:p w14:paraId="0E39444C">
      <w:pPr>
        <w:pStyle w:val="2"/>
        <w:rPr>
          <w:rFonts w:hint="default"/>
          <w:lang w:val="en-US" w:eastAsia="zh-CN"/>
        </w:rPr>
      </w:pPr>
    </w:p>
    <w:p w14:paraId="3E2F676C">
      <w:pPr>
        <w:rPr>
          <w:rFonts w:hint="default"/>
          <w:lang w:val="en-US" w:eastAsia="zh-CN"/>
        </w:rPr>
      </w:pPr>
    </w:p>
    <w:p w14:paraId="0AD18055">
      <w:pPr>
        <w:pStyle w:val="2"/>
        <w:jc w:val="center"/>
        <w:rPr>
          <w:rFonts w:hint="eastAsia" w:ascii="宋体" w:hAnsi="宋体" w:eastAsia="宋体" w:cs="宋体"/>
          <w:b/>
          <w:sz w:val="28"/>
          <w:szCs w:val="28"/>
          <w:lang w:val="en-US" w:eastAsia="zh-CN"/>
        </w:rPr>
      </w:pPr>
    </w:p>
    <w:p w14:paraId="00643750">
      <w:pPr>
        <w:pStyle w:val="2"/>
        <w:jc w:val="center"/>
        <w:rPr>
          <w:rFonts w:hint="default"/>
          <w:lang w:val="en-US" w:eastAsia="zh-CN"/>
        </w:rPr>
      </w:pPr>
      <w:r>
        <w:rPr>
          <w:rFonts w:hint="eastAsia" w:ascii="宋体" w:hAnsi="宋体" w:eastAsia="宋体" w:cs="宋体"/>
          <w:b/>
          <w:sz w:val="28"/>
          <w:szCs w:val="28"/>
          <w:lang w:val="en-US" w:eastAsia="zh-CN"/>
        </w:rPr>
        <w:t>综合评分明细表</w:t>
      </w:r>
      <w:r>
        <w:rPr>
          <w:rFonts w:hint="eastAsia" w:ascii="宋体" w:hAnsi="宋体" w:cs="宋体"/>
          <w:b/>
          <w:sz w:val="28"/>
          <w:szCs w:val="28"/>
          <w:lang w:val="en-US" w:eastAsia="zh-CN"/>
        </w:rPr>
        <w:t>（线上集采平台）</w:t>
      </w:r>
    </w:p>
    <w:tbl>
      <w:tblPr>
        <w:tblStyle w:val="6"/>
        <w:tblW w:w="10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6" w:type="dxa"/>
          <w:left w:w="96" w:type="dxa"/>
          <w:bottom w:w="56" w:type="dxa"/>
          <w:right w:w="96" w:type="dxa"/>
        </w:tblCellMar>
      </w:tblPr>
      <w:tblGrid>
        <w:gridCol w:w="792"/>
        <w:gridCol w:w="2577"/>
        <w:gridCol w:w="4192"/>
        <w:gridCol w:w="2451"/>
      </w:tblGrid>
      <w:tr w14:paraId="29F1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tblHeader/>
          <w:jc w:val="center"/>
        </w:trPr>
        <w:tc>
          <w:tcPr>
            <w:tcW w:w="792" w:type="dxa"/>
            <w:tcBorders>
              <w:top w:val="single" w:color="auto" w:sz="4" w:space="0"/>
              <w:left w:val="single" w:color="auto" w:sz="4" w:space="0"/>
              <w:bottom w:val="single" w:color="auto" w:sz="4" w:space="0"/>
              <w:right w:val="single" w:color="auto" w:sz="4" w:space="0"/>
            </w:tcBorders>
            <w:vAlign w:val="center"/>
          </w:tcPr>
          <w:p w14:paraId="58334F48">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序号</w:t>
            </w:r>
          </w:p>
        </w:tc>
        <w:tc>
          <w:tcPr>
            <w:tcW w:w="2577" w:type="dxa"/>
            <w:tcBorders>
              <w:top w:val="single" w:color="auto" w:sz="4" w:space="0"/>
              <w:left w:val="single" w:color="auto" w:sz="4" w:space="0"/>
              <w:bottom w:val="single" w:color="auto" w:sz="4" w:space="0"/>
              <w:right w:val="single" w:color="auto" w:sz="4" w:space="0"/>
            </w:tcBorders>
            <w:vAlign w:val="center"/>
          </w:tcPr>
          <w:p w14:paraId="57F02BD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评分项目</w:t>
            </w:r>
          </w:p>
        </w:tc>
        <w:tc>
          <w:tcPr>
            <w:tcW w:w="4192" w:type="dxa"/>
            <w:tcBorders>
              <w:top w:val="single" w:color="auto" w:sz="4" w:space="0"/>
              <w:left w:val="single" w:color="auto" w:sz="4" w:space="0"/>
              <w:bottom w:val="single" w:color="auto" w:sz="4" w:space="0"/>
              <w:right w:val="single" w:color="auto" w:sz="4" w:space="0"/>
            </w:tcBorders>
            <w:vAlign w:val="center"/>
          </w:tcPr>
          <w:p w14:paraId="02F1C23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评分标准</w:t>
            </w:r>
          </w:p>
        </w:tc>
        <w:tc>
          <w:tcPr>
            <w:tcW w:w="2451" w:type="dxa"/>
            <w:tcBorders>
              <w:top w:val="single" w:color="auto" w:sz="4" w:space="0"/>
              <w:left w:val="single" w:color="auto" w:sz="4" w:space="0"/>
              <w:bottom w:val="single" w:color="auto" w:sz="4" w:space="0"/>
              <w:right w:val="single" w:color="auto" w:sz="4" w:space="0"/>
            </w:tcBorders>
            <w:vAlign w:val="center"/>
          </w:tcPr>
          <w:p w14:paraId="25B0A82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黑体" w:hAnsi="黑体" w:eastAsia="黑体" w:cs="黑体"/>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lang w:eastAsia="zh-CN"/>
                <w14:textFill>
                  <w14:solidFill>
                    <w14:schemeClr w14:val="tx1"/>
                  </w14:solidFill>
                </w14:textFill>
              </w:rPr>
              <w:t>说明</w:t>
            </w:r>
          </w:p>
        </w:tc>
      </w:tr>
      <w:tr w14:paraId="7D24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31AFC21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宋体"/>
                <w:color w:val="000000" w:themeColor="text1"/>
                <w:sz w:val="24"/>
                <w:szCs w:val="21"/>
                <w14:textFill>
                  <w14:solidFill>
                    <w14:schemeClr w14:val="tx1"/>
                  </w14:solidFill>
                </w14:textFill>
              </w:rPr>
            </w:pPr>
            <w:r>
              <w:rPr>
                <w:rFonts w:hint="eastAsia" w:ascii="仿宋_GB2312" w:hAnsi="宋体" w:eastAsia="仿宋_GB2312" w:cs="宋体"/>
                <w:color w:val="000000" w:themeColor="text1"/>
                <w:sz w:val="24"/>
                <w:szCs w:val="21"/>
                <w14:textFill>
                  <w14:solidFill>
                    <w14:schemeClr w14:val="tx1"/>
                  </w14:solidFill>
                </w14:textFill>
              </w:rPr>
              <w:t>1</w:t>
            </w:r>
          </w:p>
        </w:tc>
        <w:tc>
          <w:tcPr>
            <w:tcW w:w="2577" w:type="dxa"/>
            <w:tcBorders>
              <w:top w:val="single" w:color="auto" w:sz="4" w:space="0"/>
              <w:left w:val="single" w:color="auto" w:sz="4" w:space="0"/>
              <w:bottom w:val="single" w:color="auto" w:sz="4" w:space="0"/>
              <w:right w:val="single" w:color="auto" w:sz="4" w:space="0"/>
            </w:tcBorders>
            <w:vAlign w:val="center"/>
          </w:tcPr>
          <w:p w14:paraId="60757ACC">
            <w:pPr>
              <w:keepNext w:val="0"/>
              <w:keepLines w:val="0"/>
              <w:pageBreakBefore w:val="0"/>
              <w:widowControl/>
              <w:kinsoku/>
              <w:wordWrap/>
              <w:overflowPunct/>
              <w:topLinePunct w:val="0"/>
              <w:autoSpaceDE/>
              <w:autoSpaceDN/>
              <w:bidi w:val="0"/>
              <w:adjustRightInd/>
              <w:snapToGrid w:val="0"/>
              <w:spacing w:before="100" w:beforeAutospacing="1" w:after="100" w:afterAutospacing="1" w:line="340" w:lineRule="exact"/>
              <w:jc w:val="center"/>
              <w:textAlignment w:val="auto"/>
              <w:rPr>
                <w:rFonts w:hint="eastAsia"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报价</w:t>
            </w:r>
          </w:p>
          <w:p w14:paraId="1B78F12C">
            <w:pPr>
              <w:keepNext w:val="0"/>
              <w:keepLines w:val="0"/>
              <w:pageBreakBefore w:val="0"/>
              <w:widowControl/>
              <w:kinsoku/>
              <w:wordWrap/>
              <w:overflowPunct/>
              <w:topLinePunct w:val="0"/>
              <w:autoSpaceDE/>
              <w:autoSpaceDN/>
              <w:bidi w:val="0"/>
              <w:adjustRightInd/>
              <w:snapToGrid w:val="0"/>
              <w:spacing w:before="100" w:beforeAutospacing="1" w:after="100" w:afterAutospacing="1" w:line="340" w:lineRule="exact"/>
              <w:jc w:val="center"/>
              <w:textAlignment w:val="auto"/>
              <w:rPr>
                <w:rFonts w:hint="eastAsia" w:ascii="仿宋_GB2312" w:hAnsi="宋体" w:eastAsia="仿宋_GB2312" w:cs="宋体"/>
                <w:color w:val="000000" w:themeColor="text1"/>
                <w:sz w:val="24"/>
                <w:szCs w:val="24"/>
                <w:lang w:eastAsia="zh-CN"/>
                <w14:textFill>
                  <w14:solidFill>
                    <w14:schemeClr w14:val="tx1"/>
                  </w14:solidFill>
                </w14:textFill>
              </w:rPr>
            </w:pPr>
            <w:r>
              <w:rPr>
                <w:rFonts w:hint="eastAsia" w:ascii="仿宋_GB2312" w:hAnsi="宋体" w:eastAsia="仿宋_GB2312" w:cs="宋体"/>
                <w:color w:val="000000"/>
                <w:kern w:val="0"/>
                <w:sz w:val="24"/>
                <w:szCs w:val="24"/>
                <w:lang w:eastAsia="zh-CN"/>
              </w:rPr>
              <w:t>（</w:t>
            </w:r>
            <w:r>
              <w:rPr>
                <w:rFonts w:hint="eastAsia" w:ascii="仿宋_GB2312" w:hAnsi="宋体" w:eastAsia="仿宋_GB2312" w:cs="宋体"/>
                <w:color w:val="000000"/>
                <w:kern w:val="0"/>
                <w:sz w:val="24"/>
                <w:szCs w:val="24"/>
                <w:lang w:val="en-US" w:eastAsia="zh-CN"/>
              </w:rPr>
              <w:t>2</w:t>
            </w:r>
            <w:r>
              <w:rPr>
                <w:rFonts w:hint="eastAsia" w:ascii="仿宋_GB2312" w:hAnsi="宋体" w:eastAsia="仿宋_GB2312" w:cs="宋体"/>
                <w:color w:val="000000"/>
                <w:kern w:val="0"/>
                <w:sz w:val="24"/>
                <w:szCs w:val="24"/>
              </w:rPr>
              <w:t>0</w:t>
            </w:r>
            <w:r>
              <w:rPr>
                <w:rFonts w:hint="eastAsia" w:ascii="仿宋_GB2312" w:hAnsi="宋体" w:eastAsia="仿宋_GB2312" w:cs="宋体"/>
                <w:color w:val="000000"/>
                <w:kern w:val="0"/>
                <w:sz w:val="24"/>
                <w:szCs w:val="24"/>
                <w:lang w:val="en-US" w:eastAsia="zh-CN"/>
              </w:rPr>
              <w:t>分</w:t>
            </w:r>
            <w:r>
              <w:rPr>
                <w:rFonts w:hint="eastAsia" w:ascii="仿宋_GB2312" w:hAnsi="宋体" w:eastAsia="仿宋_GB2312" w:cs="宋体"/>
                <w:color w:val="000000"/>
                <w:kern w:val="0"/>
                <w:sz w:val="24"/>
                <w:szCs w:val="24"/>
                <w:lang w:eastAsia="zh-CN"/>
              </w:rPr>
              <w:t>）</w:t>
            </w:r>
          </w:p>
        </w:tc>
        <w:tc>
          <w:tcPr>
            <w:tcW w:w="4192" w:type="dxa"/>
            <w:tcBorders>
              <w:top w:val="single" w:color="auto" w:sz="4" w:space="0"/>
              <w:left w:val="single" w:color="auto" w:sz="4" w:space="0"/>
              <w:bottom w:val="single" w:color="auto" w:sz="4" w:space="0"/>
              <w:right w:val="single" w:color="auto" w:sz="4" w:space="0"/>
            </w:tcBorders>
            <w:vAlign w:val="center"/>
          </w:tcPr>
          <w:p w14:paraId="058B4509">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供应商对券面基准金额（劵面基准金额 ）进行上浮比例报价，满足磋商文件要求且投标报价最高的投标报价为评审基准价，其价格分为满分。其他供应商的价格分统一按照下列公式计算：</w:t>
            </w:r>
          </w:p>
          <w:p w14:paraId="7C49F79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sz w:val="24"/>
                <w:szCs w:val="24"/>
                <w:lang w:val="en-US" w:eastAsia="zh-CN"/>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投标报价得分=(评标基准价/投标报价）×100×各项分数%。</w:t>
            </w:r>
          </w:p>
        </w:tc>
        <w:tc>
          <w:tcPr>
            <w:tcW w:w="2451" w:type="dxa"/>
            <w:tcBorders>
              <w:top w:val="single" w:color="auto" w:sz="4" w:space="0"/>
              <w:left w:val="single" w:color="auto" w:sz="4" w:space="0"/>
              <w:bottom w:val="single" w:color="auto" w:sz="4" w:space="0"/>
              <w:right w:val="single" w:color="auto" w:sz="4" w:space="0"/>
            </w:tcBorders>
            <w:vAlign w:val="center"/>
          </w:tcPr>
          <w:p w14:paraId="6E6D2FF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根据2个项目报价分别进行评分节日慰问品（提货券）满分10分、生日卡满分10分。</w:t>
            </w:r>
          </w:p>
        </w:tc>
      </w:tr>
      <w:tr w14:paraId="4958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373C72B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2</w:t>
            </w:r>
          </w:p>
        </w:tc>
        <w:tc>
          <w:tcPr>
            <w:tcW w:w="2577" w:type="dxa"/>
            <w:tcBorders>
              <w:top w:val="single" w:color="auto" w:sz="4" w:space="0"/>
              <w:left w:val="single" w:color="auto" w:sz="4" w:space="0"/>
              <w:bottom w:val="single" w:color="auto" w:sz="4" w:space="0"/>
              <w:right w:val="single" w:color="auto" w:sz="4" w:space="0"/>
            </w:tcBorders>
            <w:vAlign w:val="center"/>
          </w:tcPr>
          <w:p w14:paraId="4026D3DF">
            <w:pPr>
              <w:keepNext w:val="0"/>
              <w:keepLines w:val="0"/>
              <w:pageBreakBefore w:val="0"/>
              <w:widowControl/>
              <w:kinsoku/>
              <w:wordWrap/>
              <w:overflowPunct/>
              <w:topLinePunct w:val="0"/>
              <w:autoSpaceDE/>
              <w:autoSpaceDN/>
              <w:bidi w:val="0"/>
              <w:adjustRightInd/>
              <w:snapToGrid w:val="0"/>
              <w:spacing w:before="100" w:beforeAutospacing="1" w:after="100" w:afterAutospacing="1" w:line="340" w:lineRule="exact"/>
              <w:jc w:val="center"/>
              <w:textAlignment w:val="auto"/>
              <w:rPr>
                <w:rFonts w:hint="eastAsia" w:ascii="仿宋_GB2312" w:hAnsi="宋体" w:eastAsia="仿宋_GB2312" w:cs="宋体"/>
                <w:color w:val="000000"/>
                <w:kern w:val="0"/>
                <w:sz w:val="24"/>
                <w:szCs w:val="24"/>
                <w:lang w:val="en-US" w:eastAsia="zh-CN"/>
              </w:rPr>
            </w:pPr>
            <w:r>
              <w:rPr>
                <w:rFonts w:hint="eastAsia" w:ascii="仿宋_GB2312" w:hAnsi="宋体" w:eastAsia="仿宋_GB2312" w:cs="宋体"/>
                <w:color w:val="000000"/>
                <w:kern w:val="0"/>
                <w:sz w:val="24"/>
                <w:szCs w:val="24"/>
                <w:lang w:val="en-US" w:eastAsia="zh-CN"/>
              </w:rPr>
              <w:t>实施方案</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16分</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p>
        </w:tc>
        <w:tc>
          <w:tcPr>
            <w:tcW w:w="4192" w:type="dxa"/>
            <w:tcBorders>
              <w:top w:val="single" w:color="auto" w:sz="4" w:space="0"/>
              <w:left w:val="single" w:color="auto" w:sz="4" w:space="0"/>
              <w:bottom w:val="single" w:color="auto" w:sz="4" w:space="0"/>
              <w:right w:val="single" w:color="auto" w:sz="4" w:space="0"/>
            </w:tcBorders>
            <w:vAlign w:val="center"/>
          </w:tcPr>
          <w:p w14:paraId="33E14FE5">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1.性价比8分。提供不少于米、面、粮油等产品的价格。综合考虑品牌、产品质量、价格及丰富度情况。综合较好得8-6分；综合次之得5-3分；综合较差得2分及以下。</w:t>
            </w:r>
          </w:p>
          <w:p w14:paraId="4C091D26">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服务措施8分。供应商针对本项目的服务措施，包括①产品质量方案，包括产品出现质量问题退换措施；②食品安全管理措施，包括供货渠道及备货方案、仓储管理、食品安全查验机制、食品安全事故的应急处置等。内容完善、完全符合项目实际得8分，每有一处缺陷、错误扣1分，扣完为止，未提供不得分</w:t>
            </w:r>
          </w:p>
        </w:tc>
        <w:tc>
          <w:tcPr>
            <w:tcW w:w="2451" w:type="dxa"/>
            <w:tcBorders>
              <w:top w:val="single" w:color="auto" w:sz="4" w:space="0"/>
              <w:left w:val="single" w:color="auto" w:sz="4" w:space="0"/>
              <w:bottom w:val="single" w:color="auto" w:sz="4" w:space="0"/>
              <w:right w:val="single" w:color="auto" w:sz="4" w:space="0"/>
            </w:tcBorders>
            <w:vAlign w:val="center"/>
          </w:tcPr>
          <w:p w14:paraId="7EFE8802">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sz w:val="24"/>
                <w:szCs w:val="24"/>
                <w:lang w:val="en-US" w:eastAsia="zh-CN"/>
                <w14:textFill>
                  <w14:solidFill>
                    <w14:schemeClr w14:val="tx1"/>
                  </w14:solidFill>
                </w14:textFill>
              </w:rPr>
            </w:pPr>
          </w:p>
        </w:tc>
      </w:tr>
      <w:tr w14:paraId="3151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right w:val="single" w:color="auto" w:sz="4" w:space="0"/>
            </w:tcBorders>
            <w:vAlign w:val="center"/>
          </w:tcPr>
          <w:p w14:paraId="1B82628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3</w:t>
            </w:r>
          </w:p>
        </w:tc>
        <w:tc>
          <w:tcPr>
            <w:tcW w:w="2577" w:type="dxa"/>
            <w:tcBorders>
              <w:top w:val="single" w:color="auto" w:sz="4" w:space="0"/>
              <w:left w:val="single" w:color="auto" w:sz="4" w:space="0"/>
              <w:right w:val="single" w:color="auto" w:sz="4" w:space="0"/>
            </w:tcBorders>
            <w:vAlign w:val="center"/>
          </w:tcPr>
          <w:p w14:paraId="76F9163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宋体"/>
                <w:color w:val="000000"/>
                <w:kern w:val="0"/>
                <w:sz w:val="24"/>
                <w:szCs w:val="24"/>
                <w:lang w:val="en-US" w:eastAsia="zh-CN"/>
              </w:rPr>
            </w:pPr>
            <w:r>
              <w:rPr>
                <w:rFonts w:hint="eastAsia" w:ascii="仿宋_GB2312" w:hAnsi="宋体" w:eastAsia="仿宋_GB2312" w:cs="宋体"/>
                <w:color w:val="000000"/>
                <w:kern w:val="0"/>
                <w:sz w:val="24"/>
                <w:szCs w:val="24"/>
                <w:lang w:val="en-US" w:eastAsia="zh-CN"/>
              </w:rPr>
              <w:t>现场试吃综合评分项（10分）</w:t>
            </w:r>
          </w:p>
        </w:tc>
        <w:tc>
          <w:tcPr>
            <w:tcW w:w="4192" w:type="dxa"/>
            <w:tcBorders>
              <w:top w:val="single" w:color="auto" w:sz="4" w:space="0"/>
              <w:left w:val="single" w:color="auto" w:sz="4" w:space="0"/>
              <w:bottom w:val="single" w:color="auto" w:sz="4" w:space="0"/>
              <w:right w:val="single" w:color="auto" w:sz="4" w:space="0"/>
            </w:tcBorders>
            <w:vAlign w:val="center"/>
          </w:tcPr>
          <w:p w14:paraId="17A05FC8">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各投标公司需自带至少3类生日蛋糕、烘焙类样品进行现场试吃，现场评审小组成员根据样品的新鲜度、单品价格、口感、种类等进行打分。评价优得10-8分，良得7-5分，一般得4分及以下。（10分）</w:t>
            </w:r>
          </w:p>
        </w:tc>
        <w:tc>
          <w:tcPr>
            <w:tcW w:w="2451" w:type="dxa"/>
            <w:tcBorders>
              <w:top w:val="single" w:color="auto" w:sz="4" w:space="0"/>
              <w:left w:val="single" w:color="auto" w:sz="4" w:space="0"/>
              <w:bottom w:val="single" w:color="auto" w:sz="4" w:space="0"/>
              <w:right w:val="single" w:color="auto" w:sz="4" w:space="0"/>
            </w:tcBorders>
            <w:vAlign w:val="center"/>
          </w:tcPr>
          <w:p w14:paraId="3809DEA9">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现场展示</w:t>
            </w:r>
          </w:p>
        </w:tc>
      </w:tr>
      <w:tr w14:paraId="33DF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left w:val="single" w:color="auto" w:sz="4" w:space="0"/>
              <w:bottom w:val="single" w:color="auto" w:sz="4" w:space="0"/>
              <w:right w:val="single" w:color="auto" w:sz="4" w:space="0"/>
            </w:tcBorders>
            <w:vAlign w:val="center"/>
          </w:tcPr>
          <w:p w14:paraId="5A7C519B">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4</w:t>
            </w:r>
          </w:p>
        </w:tc>
        <w:tc>
          <w:tcPr>
            <w:tcW w:w="2577" w:type="dxa"/>
            <w:tcBorders>
              <w:left w:val="single" w:color="auto" w:sz="4" w:space="0"/>
              <w:bottom w:val="single" w:color="auto" w:sz="4" w:space="0"/>
              <w:right w:val="single" w:color="auto" w:sz="4" w:space="0"/>
            </w:tcBorders>
            <w:shd w:val="clear" w:color="auto" w:fill="auto"/>
            <w:vAlign w:val="center"/>
          </w:tcPr>
          <w:p w14:paraId="15834C4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kern w:val="0"/>
                <w:sz w:val="24"/>
                <w:szCs w:val="24"/>
                <w:lang w:val="en-US" w:eastAsia="zh-CN" w:bidi="ar-SA"/>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服务便利性（38分）</w:t>
            </w:r>
          </w:p>
        </w:tc>
        <w:tc>
          <w:tcPr>
            <w:tcW w:w="4192" w:type="dxa"/>
            <w:tcBorders>
              <w:top w:val="single" w:color="auto" w:sz="4" w:space="0"/>
              <w:left w:val="single" w:color="auto" w:sz="4" w:space="0"/>
              <w:bottom w:val="single" w:color="auto" w:sz="4" w:space="0"/>
              <w:right w:val="single" w:color="auto" w:sz="4" w:space="0"/>
            </w:tcBorders>
            <w:shd w:val="clear" w:color="auto" w:fill="auto"/>
            <w:vAlign w:val="center"/>
          </w:tcPr>
          <w:p w14:paraId="0E357B4C">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1.根据可使用品牌数量进行评分，可使用品牌有3家得2分，每增加2个品牌加1分，最多加3分，此项满分5分；</w:t>
            </w:r>
          </w:p>
          <w:p w14:paraId="50A1A56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2.根据成都市区范围内的可使用门店数量进行评分，可使用门店有30家得2分，每增加5个实体门店加1分，最多加3分，此项满5分；</w:t>
            </w:r>
          </w:p>
          <w:p w14:paraId="055A8E3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3.供应商投标时承诺为采购人提供定制化线上商城的得4分。（供应商在投标时承诺成交后在规定时间内完成定制化线上商城的程序）本项最多得4分。</w:t>
            </w:r>
          </w:p>
          <w:p w14:paraId="752382E7">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4.提货劵使用期限3分。使用期限为三年者得3分，一年到两年得2分，一年以内得1分。</w:t>
            </w:r>
          </w:p>
          <w:p w14:paraId="7A6AA331">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5.可实现线上发放、线上电子签名、提供签收数据等服务。根据投标人提出的方案综合评审，综合较好得15-11分；综合次之得10-6分；综合较差得5分及以下。此项满分15分；</w:t>
            </w:r>
          </w:p>
          <w:p w14:paraId="73997829">
            <w:pPr>
              <w:pStyle w:val="2"/>
              <w:rPr>
                <w:rFonts w:hint="eastAsia" w:ascii="Times New Roman" w:hAnsi="Times New Roman" w:eastAsia="宋体" w:cs="Times New Roman"/>
                <w:kern w:val="2"/>
                <w:sz w:val="21"/>
                <w:szCs w:val="24"/>
                <w:lang w:val="en-US" w:eastAsia="zh-CN" w:bidi="ar-SA"/>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6.提供配送等服务6分。对院工会集中采购的慰问品（提货劵）提供送货上门、快递配送、配合发放等服务，每项得2分，最高6分。</w:t>
            </w:r>
          </w:p>
        </w:tc>
        <w:tc>
          <w:tcPr>
            <w:tcW w:w="2451" w:type="dxa"/>
            <w:tcBorders>
              <w:top w:val="single" w:color="auto" w:sz="4" w:space="0"/>
              <w:left w:val="single" w:color="auto" w:sz="4" w:space="0"/>
              <w:bottom w:val="single" w:color="auto" w:sz="4" w:space="0"/>
              <w:right w:val="single" w:color="auto" w:sz="4" w:space="0"/>
            </w:tcBorders>
            <w:shd w:val="clear" w:color="auto" w:fill="auto"/>
            <w:vAlign w:val="center"/>
          </w:tcPr>
          <w:p w14:paraId="424BA04F">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提供证明或承诺书</w:t>
            </w:r>
          </w:p>
        </w:tc>
      </w:tr>
      <w:tr w14:paraId="4A56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54FD18D6">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宋体" w:eastAsia="仿宋_GB2312" w:cs="宋体"/>
                <w:color w:val="000000" w:themeColor="text1"/>
                <w:sz w:val="24"/>
                <w:szCs w:val="21"/>
                <w:lang w:val="en-US" w:eastAsia="zh-CN"/>
                <w14:textFill>
                  <w14:solidFill>
                    <w14:schemeClr w14:val="tx1"/>
                  </w14:solidFill>
                </w14:textFill>
              </w:rPr>
            </w:pPr>
            <w:r>
              <w:rPr>
                <w:rFonts w:hint="eastAsia" w:ascii="仿宋_GB2312" w:hAnsi="宋体" w:eastAsia="仿宋_GB2312" w:cs="宋体"/>
                <w:color w:val="000000" w:themeColor="text1"/>
                <w:sz w:val="24"/>
                <w:szCs w:val="21"/>
                <w:lang w:val="en-US" w:eastAsia="zh-CN"/>
                <w14:textFill>
                  <w14:solidFill>
                    <w14:schemeClr w14:val="tx1"/>
                  </w14:solidFill>
                </w14:textFill>
              </w:rPr>
              <w:t>5</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14:paraId="65A8F3F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宋体" w:eastAsia="仿宋_GB2312" w:cs="Times New Roman"/>
                <w:kern w:val="2"/>
                <w:sz w:val="24"/>
                <w:szCs w:val="24"/>
                <w:lang w:val="en-US" w:eastAsia="zh-CN" w:bidi="ar-SA"/>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供应商业绩</w:t>
            </w:r>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16</w:t>
            </w:r>
            <w:r>
              <w:rPr>
                <w:rFonts w:hint="eastAsia" w:ascii="仿宋_GB2312" w:hAnsi="仿宋_GB2312" w:eastAsia="仿宋_GB2312" w:cs="仿宋_GB2312"/>
                <w:color w:val="000000" w:themeColor="text1"/>
                <w:sz w:val="24"/>
                <w:szCs w:val="24"/>
                <w14:textFill>
                  <w14:solidFill>
                    <w14:schemeClr w14:val="tx1"/>
                  </w14:solidFill>
                </w14:textFill>
              </w:rPr>
              <w:t>分）</w:t>
            </w:r>
          </w:p>
        </w:tc>
        <w:tc>
          <w:tcPr>
            <w:tcW w:w="4192" w:type="dxa"/>
            <w:tcBorders>
              <w:top w:val="single" w:color="auto" w:sz="4" w:space="0"/>
              <w:left w:val="single" w:color="auto" w:sz="4" w:space="0"/>
              <w:bottom w:val="single" w:color="auto" w:sz="4" w:space="0"/>
              <w:right w:val="single" w:color="auto" w:sz="4" w:space="0"/>
            </w:tcBorders>
            <w:shd w:val="clear" w:color="auto" w:fill="auto"/>
            <w:vAlign w:val="center"/>
          </w:tcPr>
          <w:p w14:paraId="0F3BDE54">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供应商自2024年1月1日以来企事业单位同类项目业绩（每份合同2分，最高16分。</w:t>
            </w:r>
          </w:p>
        </w:tc>
        <w:tc>
          <w:tcPr>
            <w:tcW w:w="2451" w:type="dxa"/>
            <w:tcBorders>
              <w:top w:val="single" w:color="auto" w:sz="4" w:space="0"/>
              <w:left w:val="single" w:color="auto" w:sz="4" w:space="0"/>
              <w:bottom w:val="single" w:color="auto" w:sz="4" w:space="0"/>
              <w:right w:val="single" w:color="auto" w:sz="4" w:space="0"/>
            </w:tcBorders>
            <w:shd w:val="clear" w:color="auto" w:fill="auto"/>
            <w:vAlign w:val="center"/>
          </w:tcPr>
          <w:p w14:paraId="27633960">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_GB2312" w:hAnsi="宋体" w:eastAsia="仿宋_GB2312" w:cs="宋体"/>
                <w:color w:val="000000" w:themeColor="text1"/>
                <w:kern w:val="2"/>
                <w:sz w:val="24"/>
                <w:szCs w:val="21"/>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提供的合同复印件</w:t>
            </w:r>
          </w:p>
        </w:tc>
      </w:tr>
    </w:tbl>
    <w:p w14:paraId="6FB8B4DB">
      <w:pPr>
        <w:pStyle w:val="2"/>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kNjAwNzgxNzUxOWE3NzNkNzhlMDg5ZGM5NWI3N2UifQ=="/>
  </w:docVars>
  <w:rsids>
    <w:rsidRoot w:val="63CC705F"/>
    <w:rsid w:val="000F5F0F"/>
    <w:rsid w:val="0015682E"/>
    <w:rsid w:val="02107904"/>
    <w:rsid w:val="028C051D"/>
    <w:rsid w:val="03305D42"/>
    <w:rsid w:val="0B095200"/>
    <w:rsid w:val="0D984ECC"/>
    <w:rsid w:val="0E9432F4"/>
    <w:rsid w:val="0E9B3F9E"/>
    <w:rsid w:val="0FBB1F3E"/>
    <w:rsid w:val="166761D4"/>
    <w:rsid w:val="196A7A58"/>
    <w:rsid w:val="19755D1C"/>
    <w:rsid w:val="1CA70991"/>
    <w:rsid w:val="1D5F73D7"/>
    <w:rsid w:val="1F150F90"/>
    <w:rsid w:val="20605AD2"/>
    <w:rsid w:val="222E6955"/>
    <w:rsid w:val="259A4E30"/>
    <w:rsid w:val="265A3664"/>
    <w:rsid w:val="270A6E69"/>
    <w:rsid w:val="2AEA3210"/>
    <w:rsid w:val="2B4719FF"/>
    <w:rsid w:val="2BE305FB"/>
    <w:rsid w:val="2C3744CA"/>
    <w:rsid w:val="2D7F70E6"/>
    <w:rsid w:val="2E2043CE"/>
    <w:rsid w:val="31340992"/>
    <w:rsid w:val="31484293"/>
    <w:rsid w:val="32780D9A"/>
    <w:rsid w:val="32FF72A7"/>
    <w:rsid w:val="36C268E6"/>
    <w:rsid w:val="39DC0A14"/>
    <w:rsid w:val="3AD510B0"/>
    <w:rsid w:val="3D5C2F50"/>
    <w:rsid w:val="3E5C6320"/>
    <w:rsid w:val="3E802EF7"/>
    <w:rsid w:val="3F533F56"/>
    <w:rsid w:val="40D0279D"/>
    <w:rsid w:val="43B37DC1"/>
    <w:rsid w:val="444E4A33"/>
    <w:rsid w:val="4538576E"/>
    <w:rsid w:val="4B106A1B"/>
    <w:rsid w:val="4B120400"/>
    <w:rsid w:val="4BBF09A8"/>
    <w:rsid w:val="4BFC1F5C"/>
    <w:rsid w:val="4D170D8C"/>
    <w:rsid w:val="4D994095"/>
    <w:rsid w:val="4D9E6C78"/>
    <w:rsid w:val="4E32686D"/>
    <w:rsid w:val="53E10928"/>
    <w:rsid w:val="590D5D3B"/>
    <w:rsid w:val="59300296"/>
    <w:rsid w:val="59563FA0"/>
    <w:rsid w:val="5CDA635A"/>
    <w:rsid w:val="5E6B109B"/>
    <w:rsid w:val="5F145314"/>
    <w:rsid w:val="5F492BBF"/>
    <w:rsid w:val="60F8558A"/>
    <w:rsid w:val="613634FB"/>
    <w:rsid w:val="63132C95"/>
    <w:rsid w:val="63CC705F"/>
    <w:rsid w:val="66134265"/>
    <w:rsid w:val="684024CC"/>
    <w:rsid w:val="68650764"/>
    <w:rsid w:val="6B2856E8"/>
    <w:rsid w:val="6BCC0CBD"/>
    <w:rsid w:val="705C5332"/>
    <w:rsid w:val="70B76B39"/>
    <w:rsid w:val="71716735"/>
    <w:rsid w:val="72186DEE"/>
    <w:rsid w:val="748D63D4"/>
    <w:rsid w:val="78742949"/>
    <w:rsid w:val="7A87780D"/>
    <w:rsid w:val="7CCE7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spacing w:before="260" w:after="260" w:line="500" w:lineRule="exact"/>
      <w:outlineLvl w:val="1"/>
    </w:pPr>
    <w:rPr>
      <w:rFonts w:ascii="Arial" w:hAnsi="Arial" w:eastAsia="黑体"/>
      <w:b/>
      <w:sz w:val="28"/>
      <w:szCs w:val="2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rPr>
      <w:rFonts w:ascii="Times New Roman"/>
      <w:szCs w:val="24"/>
    </w:rPr>
  </w:style>
  <w:style w:type="paragraph" w:styleId="4">
    <w:name w:val="Normal Indent"/>
    <w:basedOn w:val="1"/>
    <w:qFormat/>
    <w:uiPriority w:val="0"/>
    <w:pPr>
      <w:ind w:firstLine="420" w:firstLine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Text"/>
    <w:basedOn w:val="1"/>
    <w:qFormat/>
    <w:uiPriority w:val="0"/>
    <w:pPr>
      <w:spacing w:after="120"/>
      <w:jc w:val="both"/>
      <w:textAlignment w:val="baseline"/>
    </w:pPr>
    <w:rPr>
      <w:rFonts w:asci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1768</Words>
  <Characters>1847</Characters>
  <Lines>0</Lines>
  <Paragraphs>0</Paragraphs>
  <TotalTime>5</TotalTime>
  <ScaleCrop>false</ScaleCrop>
  <LinksUpToDate>false</LinksUpToDate>
  <CharactersWithSpaces>1851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2022-06-16T02:53:00Z</dcterms:created>
  <dc:creator>Claire</dc:creator>
  <cp:lastModifiedBy>张湄</cp:lastModifiedBy>
  <cp:lastPrinted>2025-09-03T04:49:00Z</cp:lastPrinted>
  <dcterms:modified xsi:type="dcterms:W3CDTF">2026-08-26T07:04:35Z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6CC36346F5DA45FFBE81EF7DDF4AF37B_13</vt:lpwstr>
  </property>
  <property fmtid="{D5CDD505-2E9C-101B-9397-08002B2CF9AE}" pid="4" name="KSOTemplateDocerSaveRecord">
    <vt:lpwstr>eyJoZGlkIjoiZjY2ZGNjNTYxZjFhZDJlMjU4ZTEyZDE3NGJhMjM1NTYiLCJ1c2VySWQiOiI1NzkwNTAzMDcifQ==</vt:lpwstr>
  </property>
</Properties>
</file>