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outlineLvl w:val="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rPr>
        <w:t>附件1：</w:t>
      </w:r>
      <w:r>
        <w:rPr>
          <w:rFonts w:hint="eastAsia" w:ascii="仿宋" w:hAnsi="仿宋" w:eastAsia="仿宋" w:cs="仿宋"/>
          <w:b/>
          <w:bCs/>
          <w:sz w:val="28"/>
          <w:szCs w:val="28"/>
          <w:highlight w:val="none"/>
          <w:lang w:val="en-US" w:eastAsia="zh-CN"/>
        </w:rPr>
        <w:t>采购需求</w:t>
      </w:r>
    </w:p>
    <w:p>
      <w:pPr>
        <w:widowControl/>
        <w:tabs>
          <w:tab w:val="left" w:pos="3573"/>
        </w:tabs>
        <w:spacing w:line="360" w:lineRule="auto"/>
        <w:rPr>
          <w:rFonts w:hint="eastAsia" w:ascii="仿宋" w:hAnsi="仿宋" w:eastAsia="仿宋" w:cs="仿宋"/>
          <w:sz w:val="24"/>
          <w:szCs w:val="32"/>
          <w:highlight w:val="none"/>
        </w:rPr>
      </w:pPr>
      <w:r>
        <w:rPr>
          <w:rFonts w:hint="eastAsia" w:ascii="仿宋" w:hAnsi="仿宋" w:eastAsia="仿宋" w:cs="仿宋"/>
          <w:sz w:val="24"/>
          <w:szCs w:val="32"/>
          <w:highlight w:val="none"/>
        </w:rPr>
        <w:t>本章中标注“★”号的条款为本项目的实质性要求，</w:t>
      </w:r>
      <w:r>
        <w:rPr>
          <w:rFonts w:hint="eastAsia" w:ascii="仿宋" w:hAnsi="仿宋" w:eastAsia="仿宋" w:cs="仿宋"/>
          <w:sz w:val="24"/>
          <w:szCs w:val="32"/>
          <w:highlight w:val="none"/>
          <w:lang w:val="en-US" w:eastAsia="zh-CN"/>
        </w:rPr>
        <w:t>投标人</w:t>
      </w:r>
      <w:r>
        <w:rPr>
          <w:rFonts w:hint="eastAsia" w:ascii="仿宋" w:hAnsi="仿宋" w:eastAsia="仿宋" w:cs="仿宋"/>
          <w:sz w:val="24"/>
          <w:szCs w:val="32"/>
          <w:highlight w:val="none"/>
        </w:rPr>
        <w:t>应全部满足，否则其投标文件作无效处理。“▲”符号的条款为本项目的重要参数条款，未标识符号的条款为一般参数条款。</w:t>
      </w:r>
    </w:p>
    <w:p>
      <w:pPr>
        <w:pStyle w:val="2"/>
        <w:spacing w:line="360" w:lineRule="auto"/>
        <w:ind w:firstLine="422"/>
        <w:rPr>
          <w:rFonts w:hint="eastAsia" w:ascii="仿宋" w:hAnsi="仿宋" w:eastAsia="仿宋" w:cs="仿宋"/>
          <w:b/>
          <w:color w:val="000000" w:themeColor="text1"/>
          <w:sz w:val="24"/>
          <w:szCs w:val="21"/>
          <w14:textFill>
            <w14:solidFill>
              <w14:schemeClr w14:val="tx1"/>
            </w14:solidFill>
          </w14:textFill>
        </w:rPr>
      </w:pPr>
      <w:r>
        <w:rPr>
          <w:rFonts w:hint="eastAsia" w:ascii="仿宋" w:hAnsi="仿宋" w:eastAsia="仿宋" w:cs="仿宋"/>
          <w:b/>
          <w:sz w:val="24"/>
        </w:rPr>
        <w:t>一、</w:t>
      </w:r>
      <w:r>
        <w:rPr>
          <w:rFonts w:hint="eastAsia" w:ascii="仿宋" w:hAnsi="仿宋" w:eastAsia="仿宋" w:cs="仿宋"/>
          <w:b/>
          <w:color w:val="000000" w:themeColor="text1"/>
          <w:sz w:val="24"/>
          <w:szCs w:val="21"/>
          <w14:textFill>
            <w14:solidFill>
              <w14:schemeClr w14:val="tx1"/>
            </w14:solidFill>
          </w14:textFill>
        </w:rPr>
        <w:t>采购清单</w:t>
      </w:r>
    </w:p>
    <w:p>
      <w:pPr>
        <w:pStyle w:val="15"/>
        <w:numPr>
          <w:ilvl w:val="0"/>
          <w:numId w:val="2"/>
        </w:numPr>
        <w:adjustRightInd w:val="0"/>
        <w:spacing w:before="156" w:beforeLines="50" w:after="156" w:afterLines="50" w:line="300" w:lineRule="exact"/>
        <w:ind w:left="0"/>
        <w:contextualSpacing/>
        <w:jc w:val="left"/>
        <w:outlineLvl w:val="1"/>
        <w:rPr>
          <w:rFonts w:hint="eastAsia" w:ascii="仿宋" w:hAnsi="仿宋" w:eastAsia="仿宋" w:cs="仿宋"/>
          <w:bCs/>
          <w:color w:val="000000"/>
          <w:szCs w:val="21"/>
        </w:rPr>
      </w:pPr>
      <w:r>
        <w:rPr>
          <w:rFonts w:hint="eastAsia" w:ascii="仿宋" w:hAnsi="仿宋" w:eastAsia="仿宋" w:cs="仿宋"/>
          <w:bCs/>
          <w:color w:val="000000"/>
          <w:szCs w:val="21"/>
          <w:lang w:val="en-US" w:eastAsia="zh-CN"/>
        </w:rPr>
        <w:t>项目名称：系统运维类项目</w:t>
      </w:r>
    </w:p>
    <w:p>
      <w:pPr>
        <w:pStyle w:val="15"/>
        <w:numPr>
          <w:ilvl w:val="0"/>
          <w:numId w:val="2"/>
        </w:numPr>
        <w:adjustRightInd w:val="0"/>
        <w:spacing w:before="156" w:beforeLines="50" w:after="156" w:afterLines="50" w:line="300" w:lineRule="exact"/>
        <w:ind w:left="0"/>
        <w:contextualSpacing/>
        <w:jc w:val="left"/>
        <w:outlineLvl w:val="1"/>
        <w:rPr>
          <w:rFonts w:hint="eastAsia" w:ascii="仿宋" w:hAnsi="仿宋" w:eastAsia="仿宋" w:cs="仿宋"/>
          <w:bCs/>
          <w:color w:val="000000"/>
          <w:szCs w:val="21"/>
        </w:rPr>
      </w:pPr>
      <w:r>
        <w:rPr>
          <w:rFonts w:hint="eastAsia" w:ascii="仿宋" w:hAnsi="仿宋" w:eastAsia="仿宋" w:cs="仿宋"/>
          <w:bCs/>
          <w:color w:val="000000"/>
          <w:szCs w:val="21"/>
          <w:lang w:val="en-US" w:eastAsia="zh-CN"/>
        </w:rPr>
        <w:t>采购项目编号：2026-XXHB-ZYZ-009（公）</w:t>
      </w:r>
    </w:p>
    <w:p>
      <w:pPr>
        <w:pStyle w:val="15"/>
        <w:numPr>
          <w:ilvl w:val="0"/>
          <w:numId w:val="2"/>
        </w:numPr>
        <w:adjustRightInd w:val="0"/>
        <w:spacing w:before="156" w:beforeLines="50" w:after="156" w:afterLines="50" w:line="300" w:lineRule="exact"/>
        <w:ind w:left="0"/>
        <w:contextualSpacing/>
        <w:jc w:val="left"/>
        <w:outlineLvl w:val="1"/>
        <w:rPr>
          <w:rFonts w:hint="eastAsia" w:ascii="仿宋" w:hAnsi="仿宋" w:eastAsia="仿宋" w:cs="仿宋"/>
          <w:bCs/>
          <w:color w:val="000000"/>
          <w:szCs w:val="21"/>
        </w:rPr>
      </w:pPr>
      <w:r>
        <w:rPr>
          <w:rFonts w:hint="eastAsia" w:ascii="仿宋" w:hAnsi="仿宋" w:eastAsia="仿宋" w:cs="仿宋"/>
          <w:bCs/>
          <w:color w:val="000000"/>
          <w:szCs w:val="21"/>
        </w:rPr>
        <w:t>预算：</w:t>
      </w:r>
      <w:r>
        <w:rPr>
          <w:rFonts w:hint="eastAsia" w:ascii="仿宋" w:hAnsi="仿宋" w:eastAsia="仿宋" w:cs="仿宋"/>
          <w:bCs/>
          <w:color w:val="000000"/>
          <w:szCs w:val="21"/>
          <w:lang w:val="en-US" w:eastAsia="zh-CN"/>
        </w:rPr>
        <w:t>39.17</w:t>
      </w:r>
      <w:r>
        <w:rPr>
          <w:rFonts w:hint="eastAsia" w:ascii="仿宋" w:hAnsi="仿宋" w:eastAsia="仿宋" w:cs="仿宋"/>
          <w:bCs/>
          <w:color w:val="000000"/>
          <w:szCs w:val="21"/>
        </w:rPr>
        <w:t>万元</w:t>
      </w:r>
    </w:p>
    <w:p>
      <w:pPr>
        <w:pStyle w:val="15"/>
        <w:numPr>
          <w:ilvl w:val="0"/>
          <w:numId w:val="2"/>
        </w:numPr>
        <w:adjustRightInd w:val="0"/>
        <w:spacing w:before="156" w:beforeLines="50" w:after="156" w:afterLines="50" w:line="300" w:lineRule="exact"/>
        <w:ind w:left="0"/>
        <w:contextualSpacing/>
        <w:jc w:val="left"/>
        <w:outlineLvl w:val="1"/>
        <w:rPr>
          <w:rFonts w:hint="eastAsia" w:ascii="仿宋" w:hAnsi="仿宋" w:eastAsia="仿宋" w:cs="仿宋"/>
          <w:bCs/>
          <w:color w:val="000000"/>
          <w:szCs w:val="21"/>
        </w:rPr>
      </w:pPr>
      <w:r>
        <w:rPr>
          <w:rFonts w:hint="eastAsia" w:ascii="仿宋" w:hAnsi="仿宋" w:eastAsia="仿宋" w:cs="仿宋"/>
          <w:bCs/>
          <w:color w:val="000000"/>
          <w:szCs w:val="21"/>
          <w:lang w:val="en-US" w:eastAsia="zh-CN"/>
        </w:rPr>
        <w:t>最高限价：37.96万元</w:t>
      </w:r>
    </w:p>
    <w:p>
      <w:pPr>
        <w:pStyle w:val="15"/>
        <w:numPr>
          <w:ilvl w:val="0"/>
          <w:numId w:val="2"/>
        </w:numPr>
        <w:adjustRightInd w:val="0"/>
        <w:spacing w:before="156" w:beforeLines="50" w:after="156" w:afterLines="50" w:line="300" w:lineRule="exact"/>
        <w:ind w:left="0"/>
        <w:contextualSpacing/>
        <w:jc w:val="left"/>
        <w:outlineLvl w:val="1"/>
        <w:rPr>
          <w:rFonts w:hint="eastAsia" w:ascii="仿宋" w:hAnsi="仿宋" w:eastAsia="仿宋" w:cs="仿宋"/>
          <w:bCs/>
          <w:color w:val="000000"/>
          <w:szCs w:val="21"/>
        </w:rPr>
      </w:pPr>
      <w:r>
        <w:rPr>
          <w:rFonts w:hint="eastAsia" w:ascii="仿宋" w:hAnsi="仿宋" w:eastAsia="仿宋" w:cs="仿宋"/>
          <w:bCs/>
          <w:color w:val="000000"/>
          <w:szCs w:val="21"/>
        </w:rPr>
        <w:t>清单</w:t>
      </w:r>
      <w:r>
        <w:rPr>
          <w:rFonts w:hint="eastAsia" w:ascii="仿宋" w:hAnsi="仿宋" w:eastAsia="仿宋" w:cs="仿宋"/>
          <w:bCs/>
          <w:color w:val="000000"/>
          <w:szCs w:val="21"/>
          <w:lang w:eastAsia="zh-CN"/>
        </w:rPr>
        <w:t>：</w:t>
      </w:r>
    </w:p>
    <w:tbl>
      <w:tblPr>
        <w:tblStyle w:val="12"/>
        <w:tblW w:w="8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730"/>
        <w:gridCol w:w="1397"/>
        <w:gridCol w:w="1622"/>
        <w:gridCol w:w="879"/>
        <w:gridCol w:w="880"/>
        <w:gridCol w:w="1238"/>
        <w:gridCol w:w="12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shd w:val="clear" w:color="auto" w:fill="auto"/>
            <w:vAlign w:val="center"/>
          </w:tcPr>
          <w:p>
            <w:pPr>
              <w:widowControl/>
              <w:spacing w:line="440" w:lineRule="exact"/>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包号</w:t>
            </w:r>
          </w:p>
        </w:tc>
        <w:tc>
          <w:tcPr>
            <w:tcW w:w="730" w:type="dxa"/>
            <w:shd w:val="clear" w:color="auto" w:fill="auto"/>
            <w:vAlign w:val="center"/>
          </w:tcPr>
          <w:p>
            <w:pPr>
              <w:widowControl/>
              <w:spacing w:line="440" w:lineRule="exact"/>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序号</w:t>
            </w:r>
          </w:p>
        </w:tc>
        <w:tc>
          <w:tcPr>
            <w:tcW w:w="1397" w:type="dxa"/>
            <w:shd w:val="clear" w:color="auto" w:fill="auto"/>
            <w:vAlign w:val="center"/>
          </w:tcPr>
          <w:p>
            <w:pPr>
              <w:widowControl/>
              <w:spacing w:line="440" w:lineRule="exact"/>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标的名称</w:t>
            </w:r>
          </w:p>
        </w:tc>
        <w:tc>
          <w:tcPr>
            <w:tcW w:w="1622" w:type="dxa"/>
            <w:shd w:val="clear" w:color="auto" w:fill="auto"/>
            <w:vAlign w:val="center"/>
          </w:tcPr>
          <w:p>
            <w:pPr>
              <w:widowControl/>
              <w:spacing w:line="440" w:lineRule="exact"/>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品目分类编码</w:t>
            </w:r>
          </w:p>
        </w:tc>
        <w:tc>
          <w:tcPr>
            <w:tcW w:w="879" w:type="dxa"/>
            <w:shd w:val="clear" w:color="auto" w:fill="auto"/>
            <w:vAlign w:val="center"/>
          </w:tcPr>
          <w:p>
            <w:pPr>
              <w:widowControl/>
              <w:spacing w:line="440" w:lineRule="exact"/>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计量单位</w:t>
            </w:r>
          </w:p>
        </w:tc>
        <w:tc>
          <w:tcPr>
            <w:tcW w:w="880" w:type="dxa"/>
            <w:shd w:val="clear" w:color="auto" w:fill="auto"/>
            <w:vAlign w:val="center"/>
          </w:tcPr>
          <w:p>
            <w:pPr>
              <w:widowControl/>
              <w:spacing w:line="440" w:lineRule="exact"/>
              <w:jc w:val="center"/>
              <w:rPr>
                <w:rFonts w:hint="eastAsia" w:ascii="仿宋" w:hAnsi="仿宋" w:eastAsia="仿宋" w:cs="仿宋"/>
                <w:b/>
                <w:bCs/>
                <w:color w:val="000000"/>
                <w:kern w:val="2"/>
                <w:sz w:val="21"/>
                <w:szCs w:val="21"/>
                <w:lang w:val="en-US" w:eastAsia="zh-CN" w:bidi="ar-SA"/>
                <w14:ligatures w14:val="none"/>
              </w:rPr>
            </w:pPr>
            <w:r>
              <w:rPr>
                <w:rFonts w:hint="eastAsia" w:ascii="仿宋" w:hAnsi="仿宋" w:eastAsia="仿宋" w:cs="仿宋"/>
                <w:b/>
                <w:bCs/>
                <w:color w:val="000000"/>
                <w:sz w:val="21"/>
                <w:szCs w:val="21"/>
              </w:rPr>
              <w:t>数量</w:t>
            </w:r>
          </w:p>
        </w:tc>
        <w:tc>
          <w:tcPr>
            <w:tcW w:w="1238" w:type="dxa"/>
            <w:shd w:val="clear" w:color="auto" w:fill="auto"/>
            <w:vAlign w:val="center"/>
          </w:tcPr>
          <w:p>
            <w:pPr>
              <w:widowControl/>
              <w:spacing w:line="440" w:lineRule="exact"/>
              <w:jc w:val="center"/>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单价限价（万元）</w:t>
            </w:r>
          </w:p>
        </w:tc>
        <w:tc>
          <w:tcPr>
            <w:tcW w:w="1291" w:type="dxa"/>
            <w:shd w:val="clear" w:color="auto" w:fill="auto"/>
            <w:vAlign w:val="center"/>
          </w:tcPr>
          <w:p>
            <w:pPr>
              <w:widowControl/>
              <w:spacing w:line="440" w:lineRule="exact"/>
              <w:jc w:val="center"/>
              <w:rPr>
                <w:rFonts w:hint="eastAsia" w:ascii="仿宋" w:hAnsi="仿宋" w:eastAsia="仿宋" w:cs="仿宋"/>
                <w:b/>
                <w:bCs/>
                <w:color w:val="000000"/>
                <w:sz w:val="21"/>
                <w:szCs w:val="21"/>
              </w:rPr>
            </w:pPr>
            <w:r>
              <w:rPr>
                <w:rFonts w:hint="eastAsia" w:ascii="仿宋" w:hAnsi="仿宋" w:eastAsia="仿宋" w:cs="仿宋"/>
                <w:b/>
                <w:bCs/>
                <w:color w:val="000000"/>
                <w:sz w:val="21"/>
                <w:szCs w:val="21"/>
              </w:rPr>
              <w:t>是否进口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1</w:t>
            </w:r>
          </w:p>
        </w:tc>
        <w:tc>
          <w:tcPr>
            <w:tcW w:w="730"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1-1</w:t>
            </w:r>
          </w:p>
        </w:tc>
        <w:tc>
          <w:tcPr>
            <w:tcW w:w="1397"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智能影像系统维保</w:t>
            </w:r>
          </w:p>
        </w:tc>
        <w:tc>
          <w:tcPr>
            <w:tcW w:w="1622"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C16099900-其他信息技术咨询服务</w:t>
            </w:r>
          </w:p>
        </w:tc>
        <w:tc>
          <w:tcPr>
            <w:tcW w:w="879" w:type="dxa"/>
            <w:shd w:val="clear" w:color="auto" w:fill="auto"/>
          </w:tcPr>
          <w:p>
            <w:pPr>
              <w:widowControl/>
              <w:spacing w:line="440" w:lineRule="exact"/>
              <w:jc w:val="left"/>
              <w:rPr>
                <w:rFonts w:hint="default"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项</w:t>
            </w:r>
          </w:p>
        </w:tc>
        <w:tc>
          <w:tcPr>
            <w:tcW w:w="880"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w:t>
            </w:r>
          </w:p>
        </w:tc>
        <w:tc>
          <w:tcPr>
            <w:tcW w:w="1238" w:type="dxa"/>
            <w:shd w:val="clear" w:color="auto" w:fill="auto"/>
          </w:tcPr>
          <w:p>
            <w:pPr>
              <w:widowControl/>
              <w:spacing w:line="440" w:lineRule="exact"/>
              <w:jc w:val="left"/>
              <w:rPr>
                <w:rFonts w:hint="default"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3.04</w:t>
            </w:r>
          </w:p>
        </w:tc>
        <w:tc>
          <w:tcPr>
            <w:tcW w:w="1291"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shd w:val="clear" w:color="auto" w:fill="auto"/>
          </w:tcPr>
          <w:p>
            <w:pPr>
              <w:widowControl/>
              <w:spacing w:line="440" w:lineRule="exact"/>
              <w:jc w:val="left"/>
              <w:rPr>
                <w:rFonts w:hint="default"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w:t>
            </w:r>
          </w:p>
        </w:tc>
        <w:tc>
          <w:tcPr>
            <w:tcW w:w="730" w:type="dxa"/>
            <w:shd w:val="clear" w:color="auto" w:fill="auto"/>
          </w:tcPr>
          <w:p>
            <w:pPr>
              <w:widowControl/>
              <w:spacing w:line="440" w:lineRule="exact"/>
              <w:jc w:val="left"/>
              <w:rPr>
                <w:rFonts w:hint="default"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1-2</w:t>
            </w:r>
          </w:p>
        </w:tc>
        <w:tc>
          <w:tcPr>
            <w:tcW w:w="1397"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电子票据管理系统维护</w:t>
            </w:r>
          </w:p>
        </w:tc>
        <w:tc>
          <w:tcPr>
            <w:tcW w:w="1622"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C23120100-计算机设备维修和保养服务</w:t>
            </w:r>
          </w:p>
        </w:tc>
        <w:tc>
          <w:tcPr>
            <w:tcW w:w="879"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lang w:val="en-US" w:eastAsia="zh-CN"/>
              </w:rPr>
              <w:t>项</w:t>
            </w:r>
          </w:p>
        </w:tc>
        <w:tc>
          <w:tcPr>
            <w:tcW w:w="880"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lang w:val="en-US" w:eastAsia="zh-CN"/>
              </w:rPr>
              <w:t>1</w:t>
            </w:r>
          </w:p>
        </w:tc>
        <w:tc>
          <w:tcPr>
            <w:tcW w:w="1238" w:type="dxa"/>
            <w:shd w:val="clear" w:color="auto" w:fill="auto"/>
          </w:tcPr>
          <w:p>
            <w:pPr>
              <w:widowControl/>
              <w:spacing w:line="440" w:lineRule="exact"/>
              <w:jc w:val="left"/>
              <w:rPr>
                <w:rFonts w:hint="default"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3.8</w:t>
            </w:r>
          </w:p>
        </w:tc>
        <w:tc>
          <w:tcPr>
            <w:tcW w:w="1291"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687" w:type="dxa"/>
            <w:shd w:val="clear" w:color="auto" w:fill="auto"/>
          </w:tcPr>
          <w:p>
            <w:pPr>
              <w:widowControl/>
              <w:spacing w:line="440" w:lineRule="exact"/>
              <w:jc w:val="left"/>
              <w:rPr>
                <w:rFonts w:hint="eastAsia"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w:t>
            </w:r>
          </w:p>
        </w:tc>
        <w:tc>
          <w:tcPr>
            <w:tcW w:w="730" w:type="dxa"/>
            <w:shd w:val="clear" w:color="auto" w:fill="auto"/>
          </w:tcPr>
          <w:p>
            <w:pPr>
              <w:widowControl/>
              <w:spacing w:line="440" w:lineRule="exact"/>
              <w:jc w:val="left"/>
              <w:rPr>
                <w:rFonts w:hint="default"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1-3</w:t>
            </w:r>
          </w:p>
        </w:tc>
        <w:tc>
          <w:tcPr>
            <w:tcW w:w="1397"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跃医通系统维护</w:t>
            </w:r>
          </w:p>
        </w:tc>
        <w:tc>
          <w:tcPr>
            <w:tcW w:w="1622"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C16099900-其他信息技术咨询服务</w:t>
            </w:r>
          </w:p>
        </w:tc>
        <w:tc>
          <w:tcPr>
            <w:tcW w:w="879"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lang w:val="en-US" w:eastAsia="zh-CN"/>
              </w:rPr>
              <w:t>项</w:t>
            </w:r>
          </w:p>
        </w:tc>
        <w:tc>
          <w:tcPr>
            <w:tcW w:w="880"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lang w:val="en-US" w:eastAsia="zh-CN"/>
              </w:rPr>
              <w:t>1</w:t>
            </w:r>
          </w:p>
        </w:tc>
        <w:tc>
          <w:tcPr>
            <w:tcW w:w="1238" w:type="dxa"/>
            <w:shd w:val="clear" w:color="auto" w:fill="auto"/>
          </w:tcPr>
          <w:p>
            <w:pPr>
              <w:widowControl/>
              <w:spacing w:line="440" w:lineRule="exact"/>
              <w:jc w:val="left"/>
              <w:rPr>
                <w:rFonts w:hint="eastAsia"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4.4</w:t>
            </w:r>
          </w:p>
        </w:tc>
        <w:tc>
          <w:tcPr>
            <w:tcW w:w="1291"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shd w:val="clear" w:color="auto" w:fill="auto"/>
          </w:tcPr>
          <w:p>
            <w:pPr>
              <w:widowControl/>
              <w:spacing w:line="440" w:lineRule="exact"/>
              <w:jc w:val="left"/>
              <w:rPr>
                <w:rFonts w:hint="eastAsia"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w:t>
            </w:r>
          </w:p>
        </w:tc>
        <w:tc>
          <w:tcPr>
            <w:tcW w:w="730" w:type="dxa"/>
            <w:shd w:val="clear" w:color="auto" w:fill="auto"/>
          </w:tcPr>
          <w:p>
            <w:pPr>
              <w:widowControl/>
              <w:spacing w:line="440" w:lineRule="exact"/>
              <w:jc w:val="left"/>
              <w:rPr>
                <w:rFonts w:hint="default"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1-4</w:t>
            </w:r>
          </w:p>
        </w:tc>
        <w:tc>
          <w:tcPr>
            <w:tcW w:w="1397"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医务精细化管理系统维保</w:t>
            </w:r>
          </w:p>
        </w:tc>
        <w:tc>
          <w:tcPr>
            <w:tcW w:w="1622"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C16099900-其他信息技术咨询服务</w:t>
            </w:r>
          </w:p>
        </w:tc>
        <w:tc>
          <w:tcPr>
            <w:tcW w:w="879"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lang w:val="en-US" w:eastAsia="zh-CN"/>
              </w:rPr>
              <w:t>项</w:t>
            </w:r>
          </w:p>
        </w:tc>
        <w:tc>
          <w:tcPr>
            <w:tcW w:w="880"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lang w:val="en-US" w:eastAsia="zh-CN"/>
              </w:rPr>
              <w:t>1</w:t>
            </w:r>
          </w:p>
        </w:tc>
        <w:tc>
          <w:tcPr>
            <w:tcW w:w="1238" w:type="dxa"/>
            <w:shd w:val="clear" w:color="auto" w:fill="auto"/>
          </w:tcPr>
          <w:p>
            <w:pPr>
              <w:widowControl/>
              <w:spacing w:line="440" w:lineRule="exact"/>
              <w:jc w:val="left"/>
              <w:rPr>
                <w:rFonts w:hint="default"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4.9</w:t>
            </w:r>
          </w:p>
        </w:tc>
        <w:tc>
          <w:tcPr>
            <w:tcW w:w="1291"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shd w:val="clear" w:color="auto" w:fill="auto"/>
          </w:tcPr>
          <w:p>
            <w:pPr>
              <w:widowControl/>
              <w:spacing w:line="440" w:lineRule="exact"/>
              <w:jc w:val="left"/>
              <w:rPr>
                <w:rFonts w:hint="eastAsia"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w:t>
            </w:r>
          </w:p>
        </w:tc>
        <w:tc>
          <w:tcPr>
            <w:tcW w:w="730" w:type="dxa"/>
            <w:shd w:val="clear" w:color="auto" w:fill="auto"/>
          </w:tcPr>
          <w:p>
            <w:pPr>
              <w:widowControl/>
              <w:spacing w:line="440" w:lineRule="exact"/>
              <w:jc w:val="left"/>
              <w:rPr>
                <w:rFonts w:hint="default"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1-5</w:t>
            </w:r>
          </w:p>
        </w:tc>
        <w:tc>
          <w:tcPr>
            <w:tcW w:w="1397"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科研教学管理系统维保</w:t>
            </w:r>
          </w:p>
        </w:tc>
        <w:tc>
          <w:tcPr>
            <w:tcW w:w="1622"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C16099900-其他信息技术咨询服务</w:t>
            </w:r>
          </w:p>
        </w:tc>
        <w:tc>
          <w:tcPr>
            <w:tcW w:w="879"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lang w:val="en-US" w:eastAsia="zh-CN"/>
              </w:rPr>
              <w:t>项</w:t>
            </w:r>
          </w:p>
        </w:tc>
        <w:tc>
          <w:tcPr>
            <w:tcW w:w="880"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lang w:val="en-US" w:eastAsia="zh-CN"/>
              </w:rPr>
              <w:t>1</w:t>
            </w:r>
          </w:p>
        </w:tc>
        <w:tc>
          <w:tcPr>
            <w:tcW w:w="1238" w:type="dxa"/>
            <w:shd w:val="clear" w:color="auto" w:fill="auto"/>
          </w:tcPr>
          <w:p>
            <w:pPr>
              <w:widowControl/>
              <w:spacing w:line="440" w:lineRule="exact"/>
              <w:jc w:val="left"/>
              <w:rPr>
                <w:rFonts w:hint="default"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1.23</w:t>
            </w:r>
          </w:p>
        </w:tc>
        <w:tc>
          <w:tcPr>
            <w:tcW w:w="1291"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shd w:val="clear" w:color="auto" w:fill="auto"/>
          </w:tcPr>
          <w:p>
            <w:pPr>
              <w:widowControl/>
              <w:spacing w:line="440" w:lineRule="exact"/>
              <w:jc w:val="left"/>
              <w:rPr>
                <w:rFonts w:hint="eastAsia"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w:t>
            </w:r>
          </w:p>
        </w:tc>
        <w:tc>
          <w:tcPr>
            <w:tcW w:w="730" w:type="dxa"/>
            <w:shd w:val="clear" w:color="auto" w:fill="auto"/>
          </w:tcPr>
          <w:p>
            <w:pPr>
              <w:widowControl/>
              <w:spacing w:line="440" w:lineRule="exact"/>
              <w:jc w:val="left"/>
              <w:rPr>
                <w:rFonts w:hint="default"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1-6</w:t>
            </w:r>
          </w:p>
        </w:tc>
        <w:tc>
          <w:tcPr>
            <w:tcW w:w="1397"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人力资源系统运维</w:t>
            </w:r>
          </w:p>
        </w:tc>
        <w:tc>
          <w:tcPr>
            <w:tcW w:w="1622"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C16099900-其他信息技术咨询服务</w:t>
            </w:r>
          </w:p>
        </w:tc>
        <w:tc>
          <w:tcPr>
            <w:tcW w:w="879"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lang w:val="en-US" w:eastAsia="zh-CN"/>
              </w:rPr>
              <w:t>项</w:t>
            </w:r>
          </w:p>
        </w:tc>
        <w:tc>
          <w:tcPr>
            <w:tcW w:w="880"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lang w:val="en-US" w:eastAsia="zh-CN"/>
              </w:rPr>
              <w:t>1</w:t>
            </w:r>
          </w:p>
        </w:tc>
        <w:tc>
          <w:tcPr>
            <w:tcW w:w="1238" w:type="dxa"/>
            <w:shd w:val="clear" w:color="auto" w:fill="auto"/>
          </w:tcPr>
          <w:p>
            <w:pPr>
              <w:widowControl/>
              <w:spacing w:line="440" w:lineRule="exact"/>
              <w:jc w:val="left"/>
              <w:rPr>
                <w:rFonts w:hint="default"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4.2</w:t>
            </w:r>
          </w:p>
        </w:tc>
        <w:tc>
          <w:tcPr>
            <w:tcW w:w="1291"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rPr>
              <w:t>1</w:t>
            </w:r>
          </w:p>
        </w:tc>
        <w:tc>
          <w:tcPr>
            <w:tcW w:w="730" w:type="dxa"/>
            <w:shd w:val="clear" w:color="auto" w:fill="auto"/>
          </w:tcPr>
          <w:p>
            <w:pPr>
              <w:widowControl/>
              <w:spacing w:line="440" w:lineRule="exact"/>
              <w:jc w:val="left"/>
              <w:rPr>
                <w:rFonts w:hint="default"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1-7</w:t>
            </w:r>
          </w:p>
        </w:tc>
        <w:tc>
          <w:tcPr>
            <w:tcW w:w="1397"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不良事件系统维护</w:t>
            </w:r>
          </w:p>
        </w:tc>
        <w:tc>
          <w:tcPr>
            <w:tcW w:w="1622"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C16099900-其他信息技术咨询服务</w:t>
            </w:r>
          </w:p>
        </w:tc>
        <w:tc>
          <w:tcPr>
            <w:tcW w:w="879"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lang w:val="en-US" w:eastAsia="zh-CN"/>
              </w:rPr>
              <w:t>项</w:t>
            </w:r>
          </w:p>
        </w:tc>
        <w:tc>
          <w:tcPr>
            <w:tcW w:w="880"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lang w:val="en-US" w:eastAsia="zh-CN"/>
              </w:rPr>
              <w:t>1</w:t>
            </w:r>
          </w:p>
        </w:tc>
        <w:tc>
          <w:tcPr>
            <w:tcW w:w="1238" w:type="dxa"/>
            <w:shd w:val="clear" w:color="auto" w:fill="auto"/>
          </w:tcPr>
          <w:p>
            <w:pPr>
              <w:widowControl/>
              <w:spacing w:line="440" w:lineRule="exact"/>
              <w:jc w:val="left"/>
              <w:rPr>
                <w:rFonts w:hint="default"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0.9</w:t>
            </w:r>
          </w:p>
        </w:tc>
        <w:tc>
          <w:tcPr>
            <w:tcW w:w="1291"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w:t>
            </w:r>
          </w:p>
        </w:tc>
        <w:tc>
          <w:tcPr>
            <w:tcW w:w="730" w:type="dxa"/>
            <w:shd w:val="clear" w:color="auto" w:fill="auto"/>
          </w:tcPr>
          <w:p>
            <w:pPr>
              <w:widowControl/>
              <w:spacing w:line="440" w:lineRule="exact"/>
              <w:jc w:val="left"/>
              <w:rPr>
                <w:rFonts w:hint="default"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1-8</w:t>
            </w:r>
          </w:p>
        </w:tc>
        <w:tc>
          <w:tcPr>
            <w:tcW w:w="1397"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OA系统运维</w:t>
            </w:r>
          </w:p>
        </w:tc>
        <w:tc>
          <w:tcPr>
            <w:tcW w:w="1622"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C16099900-其他信息技术咨询服务</w:t>
            </w:r>
          </w:p>
        </w:tc>
        <w:tc>
          <w:tcPr>
            <w:tcW w:w="879"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lang w:val="en-US" w:eastAsia="zh-CN"/>
              </w:rPr>
              <w:t>项</w:t>
            </w:r>
          </w:p>
        </w:tc>
        <w:tc>
          <w:tcPr>
            <w:tcW w:w="880"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lang w:val="en-US" w:eastAsia="zh-CN"/>
              </w:rPr>
              <w:t>1</w:t>
            </w:r>
          </w:p>
        </w:tc>
        <w:tc>
          <w:tcPr>
            <w:tcW w:w="1238" w:type="dxa"/>
            <w:shd w:val="clear" w:color="auto" w:fill="auto"/>
          </w:tcPr>
          <w:p>
            <w:pPr>
              <w:widowControl/>
              <w:spacing w:line="440" w:lineRule="exact"/>
              <w:jc w:val="left"/>
              <w:rPr>
                <w:rFonts w:hint="default"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3.7</w:t>
            </w:r>
          </w:p>
        </w:tc>
        <w:tc>
          <w:tcPr>
            <w:tcW w:w="1291"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w:t>
            </w:r>
          </w:p>
        </w:tc>
        <w:tc>
          <w:tcPr>
            <w:tcW w:w="730" w:type="dxa"/>
            <w:shd w:val="clear" w:color="auto" w:fill="auto"/>
          </w:tcPr>
          <w:p>
            <w:pPr>
              <w:widowControl/>
              <w:spacing w:line="440" w:lineRule="exact"/>
              <w:jc w:val="left"/>
              <w:rPr>
                <w:rFonts w:hint="default"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1-9</w:t>
            </w:r>
          </w:p>
        </w:tc>
        <w:tc>
          <w:tcPr>
            <w:tcW w:w="1397"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心电网络软件维保</w:t>
            </w:r>
          </w:p>
        </w:tc>
        <w:tc>
          <w:tcPr>
            <w:tcW w:w="1622"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C16099900-其他信息技术咨询服务</w:t>
            </w:r>
          </w:p>
        </w:tc>
        <w:tc>
          <w:tcPr>
            <w:tcW w:w="879"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lang w:val="en-US" w:eastAsia="zh-CN"/>
              </w:rPr>
              <w:t>项</w:t>
            </w:r>
          </w:p>
        </w:tc>
        <w:tc>
          <w:tcPr>
            <w:tcW w:w="880"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lang w:val="en-US" w:eastAsia="zh-CN"/>
              </w:rPr>
              <w:t>1</w:t>
            </w:r>
          </w:p>
        </w:tc>
        <w:tc>
          <w:tcPr>
            <w:tcW w:w="1238" w:type="dxa"/>
            <w:shd w:val="clear" w:color="auto" w:fill="auto"/>
          </w:tcPr>
          <w:p>
            <w:pPr>
              <w:widowControl/>
              <w:spacing w:line="440" w:lineRule="exact"/>
              <w:jc w:val="left"/>
              <w:rPr>
                <w:rFonts w:hint="default"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1.59</w:t>
            </w:r>
          </w:p>
        </w:tc>
        <w:tc>
          <w:tcPr>
            <w:tcW w:w="1291"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w:t>
            </w:r>
          </w:p>
        </w:tc>
        <w:tc>
          <w:tcPr>
            <w:tcW w:w="730" w:type="dxa"/>
            <w:shd w:val="clear" w:color="auto" w:fill="auto"/>
          </w:tcPr>
          <w:p>
            <w:pPr>
              <w:widowControl/>
              <w:spacing w:line="440" w:lineRule="exact"/>
              <w:jc w:val="left"/>
              <w:rPr>
                <w:rFonts w:hint="default"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1-10</w:t>
            </w:r>
          </w:p>
        </w:tc>
        <w:tc>
          <w:tcPr>
            <w:tcW w:w="1397"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儿童早期发展管理平台维护</w:t>
            </w:r>
          </w:p>
        </w:tc>
        <w:tc>
          <w:tcPr>
            <w:tcW w:w="1622"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C16099900-其他信息技术咨询服务</w:t>
            </w:r>
          </w:p>
        </w:tc>
        <w:tc>
          <w:tcPr>
            <w:tcW w:w="879"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lang w:val="en-US" w:eastAsia="zh-CN"/>
              </w:rPr>
              <w:t>项</w:t>
            </w:r>
          </w:p>
        </w:tc>
        <w:tc>
          <w:tcPr>
            <w:tcW w:w="880"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lang w:val="en-US" w:eastAsia="zh-CN"/>
              </w:rPr>
              <w:t>1</w:t>
            </w:r>
          </w:p>
        </w:tc>
        <w:tc>
          <w:tcPr>
            <w:tcW w:w="1238" w:type="dxa"/>
            <w:shd w:val="clear" w:color="auto" w:fill="auto"/>
          </w:tcPr>
          <w:p>
            <w:pPr>
              <w:widowControl/>
              <w:spacing w:line="440" w:lineRule="exact"/>
              <w:jc w:val="left"/>
              <w:rPr>
                <w:rFonts w:hint="default"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1.8</w:t>
            </w:r>
          </w:p>
        </w:tc>
        <w:tc>
          <w:tcPr>
            <w:tcW w:w="1291"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w:t>
            </w:r>
          </w:p>
        </w:tc>
        <w:tc>
          <w:tcPr>
            <w:tcW w:w="730" w:type="dxa"/>
            <w:shd w:val="clear" w:color="auto" w:fill="auto"/>
          </w:tcPr>
          <w:p>
            <w:pPr>
              <w:widowControl/>
              <w:spacing w:line="440" w:lineRule="exact"/>
              <w:jc w:val="left"/>
              <w:rPr>
                <w:rFonts w:hint="default"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1-11</w:t>
            </w:r>
          </w:p>
        </w:tc>
        <w:tc>
          <w:tcPr>
            <w:tcW w:w="1397"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综合报告工作站</w:t>
            </w:r>
          </w:p>
        </w:tc>
        <w:tc>
          <w:tcPr>
            <w:tcW w:w="1622"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C16990000-其他信息技术服务</w:t>
            </w:r>
          </w:p>
        </w:tc>
        <w:tc>
          <w:tcPr>
            <w:tcW w:w="879"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lang w:val="en-US" w:eastAsia="zh-CN"/>
              </w:rPr>
              <w:t>项</w:t>
            </w:r>
          </w:p>
        </w:tc>
        <w:tc>
          <w:tcPr>
            <w:tcW w:w="880"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lang w:val="en-US" w:eastAsia="zh-CN"/>
              </w:rPr>
              <w:t>1</w:t>
            </w:r>
          </w:p>
        </w:tc>
        <w:tc>
          <w:tcPr>
            <w:tcW w:w="1238" w:type="dxa"/>
            <w:shd w:val="clear" w:color="auto" w:fill="auto"/>
          </w:tcPr>
          <w:p>
            <w:pPr>
              <w:widowControl/>
              <w:spacing w:line="440" w:lineRule="exact"/>
              <w:jc w:val="left"/>
              <w:rPr>
                <w:rFonts w:hint="default"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3.4</w:t>
            </w:r>
          </w:p>
        </w:tc>
        <w:tc>
          <w:tcPr>
            <w:tcW w:w="1291"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w:t>
            </w:r>
          </w:p>
        </w:tc>
        <w:tc>
          <w:tcPr>
            <w:tcW w:w="730" w:type="dxa"/>
            <w:shd w:val="clear" w:color="auto" w:fill="auto"/>
          </w:tcPr>
          <w:p>
            <w:pPr>
              <w:widowControl/>
              <w:spacing w:line="440" w:lineRule="exact"/>
              <w:jc w:val="left"/>
              <w:rPr>
                <w:rFonts w:hint="default"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1-12</w:t>
            </w:r>
          </w:p>
        </w:tc>
        <w:tc>
          <w:tcPr>
            <w:tcW w:w="1397"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病理系统年度维保服务</w:t>
            </w:r>
          </w:p>
        </w:tc>
        <w:tc>
          <w:tcPr>
            <w:tcW w:w="1622"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C16099900-其他信息技术咨询服务</w:t>
            </w:r>
          </w:p>
        </w:tc>
        <w:tc>
          <w:tcPr>
            <w:tcW w:w="879"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lang w:val="en-US" w:eastAsia="zh-CN"/>
              </w:rPr>
              <w:t>项</w:t>
            </w:r>
          </w:p>
        </w:tc>
        <w:tc>
          <w:tcPr>
            <w:tcW w:w="880" w:type="dxa"/>
            <w:shd w:val="clear" w:color="auto" w:fill="auto"/>
            <w:vAlign w:val="top"/>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lang w:val="en-US" w:eastAsia="zh-CN"/>
              </w:rPr>
              <w:t>1</w:t>
            </w:r>
          </w:p>
        </w:tc>
        <w:tc>
          <w:tcPr>
            <w:tcW w:w="1238" w:type="dxa"/>
            <w:shd w:val="clear" w:color="auto" w:fill="auto"/>
          </w:tcPr>
          <w:p>
            <w:pPr>
              <w:widowControl/>
              <w:spacing w:line="440" w:lineRule="exact"/>
              <w:jc w:val="left"/>
              <w:rPr>
                <w:rFonts w:hint="eastAsia"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2</w:t>
            </w:r>
          </w:p>
        </w:tc>
        <w:tc>
          <w:tcPr>
            <w:tcW w:w="1291"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shd w:val="clear" w:color="auto" w:fill="auto"/>
            <w:vAlign w:val="top"/>
          </w:tcPr>
          <w:p>
            <w:pPr>
              <w:widowControl/>
              <w:spacing w:line="440" w:lineRule="exact"/>
              <w:jc w:val="left"/>
              <w:rPr>
                <w:rFonts w:hint="default"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w:t>
            </w:r>
          </w:p>
        </w:tc>
        <w:tc>
          <w:tcPr>
            <w:tcW w:w="730" w:type="dxa"/>
            <w:shd w:val="clear" w:color="auto" w:fill="auto"/>
          </w:tcPr>
          <w:p>
            <w:pPr>
              <w:widowControl/>
              <w:spacing w:line="440" w:lineRule="exact"/>
              <w:jc w:val="left"/>
              <w:rPr>
                <w:rFonts w:hint="default" w:ascii="仿宋_GB2312" w:hAnsi="仿宋_GB2312" w:eastAsia="仿宋_GB2312" w:cs="仿宋_GB2312"/>
                <w:b/>
                <w:bCs/>
                <w:color w:val="000000"/>
                <w:sz w:val="21"/>
                <w:szCs w:val="21"/>
                <w:lang w:val="en-US" w:eastAsia="zh-CN"/>
              </w:rPr>
            </w:pPr>
            <w:r>
              <w:rPr>
                <w:rFonts w:hint="eastAsia" w:ascii="仿宋_GB2312" w:hAnsi="仿宋_GB2312" w:eastAsia="仿宋_GB2312" w:cs="仿宋_GB2312"/>
                <w:b/>
                <w:bCs/>
                <w:color w:val="000000"/>
                <w:sz w:val="21"/>
                <w:szCs w:val="21"/>
                <w:lang w:val="en-US" w:eastAsia="zh-CN"/>
              </w:rPr>
              <w:t>1-13</w:t>
            </w:r>
          </w:p>
        </w:tc>
        <w:tc>
          <w:tcPr>
            <w:tcW w:w="1397"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官网运维及系统迁移服务</w:t>
            </w:r>
          </w:p>
        </w:tc>
        <w:tc>
          <w:tcPr>
            <w:tcW w:w="1622" w:type="dxa"/>
            <w:shd w:val="clear" w:color="auto" w:fill="auto"/>
          </w:tcPr>
          <w:p>
            <w:pPr>
              <w:widowControl/>
              <w:spacing w:line="440" w:lineRule="exact"/>
              <w:jc w:val="left"/>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rPr>
              <w:t>C16070400-安全运维服务</w:t>
            </w:r>
          </w:p>
        </w:tc>
        <w:tc>
          <w:tcPr>
            <w:tcW w:w="879" w:type="dxa"/>
            <w:shd w:val="clear" w:color="auto" w:fill="auto"/>
            <w:vAlign w:val="top"/>
          </w:tcPr>
          <w:p>
            <w:pPr>
              <w:widowControl/>
              <w:spacing w:line="440" w:lineRule="exact"/>
              <w:jc w:val="left"/>
              <w:rPr>
                <w:rFonts w:hint="eastAsia" w:ascii="仿宋_GB2312" w:hAnsi="仿宋_GB2312" w:eastAsia="仿宋_GB2312" w:cs="仿宋_GB2312"/>
                <w:b/>
                <w:bCs/>
                <w:color w:val="000000"/>
                <w:kern w:val="2"/>
                <w:sz w:val="21"/>
                <w:szCs w:val="21"/>
                <w:lang w:val="en-US" w:eastAsia="zh-CN" w:bidi="ar-SA"/>
                <w14:ligatures w14:val="none"/>
              </w:rPr>
            </w:pPr>
            <w:r>
              <w:rPr>
                <w:rFonts w:hint="eastAsia" w:ascii="仿宋_GB2312" w:hAnsi="仿宋_GB2312" w:eastAsia="仿宋_GB2312" w:cs="仿宋_GB2312"/>
                <w:b/>
                <w:bCs/>
                <w:color w:val="000000"/>
                <w:sz w:val="21"/>
                <w:szCs w:val="21"/>
                <w:lang w:val="en-US" w:eastAsia="zh-CN"/>
              </w:rPr>
              <w:t>项</w:t>
            </w:r>
          </w:p>
        </w:tc>
        <w:tc>
          <w:tcPr>
            <w:tcW w:w="880" w:type="dxa"/>
            <w:shd w:val="clear" w:color="auto" w:fill="auto"/>
            <w:vAlign w:val="top"/>
          </w:tcPr>
          <w:p>
            <w:pPr>
              <w:widowControl/>
              <w:spacing w:line="440" w:lineRule="exact"/>
              <w:jc w:val="left"/>
              <w:rPr>
                <w:rFonts w:hint="eastAsia" w:ascii="仿宋_GB2312" w:hAnsi="仿宋_GB2312" w:eastAsia="仿宋_GB2312" w:cs="仿宋_GB2312"/>
                <w:b/>
                <w:bCs/>
                <w:color w:val="000000"/>
                <w:kern w:val="2"/>
                <w:sz w:val="21"/>
                <w:szCs w:val="21"/>
                <w:lang w:val="en-US" w:eastAsia="zh-CN" w:bidi="ar-SA"/>
                <w14:ligatures w14:val="none"/>
              </w:rPr>
            </w:pPr>
            <w:r>
              <w:rPr>
                <w:rFonts w:hint="eastAsia" w:ascii="仿宋_GB2312" w:hAnsi="仿宋_GB2312" w:eastAsia="仿宋_GB2312" w:cs="仿宋_GB2312"/>
                <w:b/>
                <w:bCs/>
                <w:color w:val="000000"/>
                <w:sz w:val="21"/>
                <w:szCs w:val="21"/>
                <w:lang w:val="en-US" w:eastAsia="zh-CN"/>
              </w:rPr>
              <w:t>1</w:t>
            </w:r>
          </w:p>
        </w:tc>
        <w:tc>
          <w:tcPr>
            <w:tcW w:w="1238" w:type="dxa"/>
            <w:shd w:val="clear" w:color="auto" w:fill="auto"/>
            <w:vAlign w:val="top"/>
          </w:tcPr>
          <w:p>
            <w:pPr>
              <w:widowControl/>
              <w:spacing w:line="440" w:lineRule="exact"/>
              <w:jc w:val="left"/>
              <w:rPr>
                <w:rFonts w:hint="default" w:ascii="仿宋_GB2312" w:hAnsi="仿宋_GB2312" w:eastAsia="仿宋_GB2312" w:cs="仿宋_GB2312"/>
                <w:b/>
                <w:bCs/>
                <w:color w:val="000000"/>
                <w:kern w:val="2"/>
                <w:sz w:val="21"/>
                <w:szCs w:val="21"/>
                <w:lang w:val="en-US" w:eastAsia="zh-CN" w:bidi="ar-SA"/>
                <w14:ligatures w14:val="none"/>
              </w:rPr>
            </w:pPr>
            <w:r>
              <w:rPr>
                <w:rFonts w:hint="eastAsia" w:ascii="仿宋_GB2312" w:hAnsi="仿宋_GB2312" w:eastAsia="仿宋_GB2312" w:cs="仿宋_GB2312"/>
                <w:b/>
                <w:bCs/>
                <w:color w:val="000000"/>
                <w:kern w:val="2"/>
                <w:sz w:val="21"/>
                <w:szCs w:val="21"/>
                <w:lang w:val="en-US" w:eastAsia="zh-CN" w:bidi="ar-SA"/>
                <w14:ligatures w14:val="none"/>
              </w:rPr>
              <w:t>3</w:t>
            </w:r>
          </w:p>
        </w:tc>
        <w:tc>
          <w:tcPr>
            <w:tcW w:w="1291" w:type="dxa"/>
            <w:shd w:val="clear" w:color="auto" w:fill="auto"/>
            <w:vAlign w:val="top"/>
          </w:tcPr>
          <w:p>
            <w:pPr>
              <w:widowControl/>
              <w:spacing w:line="440" w:lineRule="exact"/>
              <w:jc w:val="left"/>
              <w:rPr>
                <w:rFonts w:hint="eastAsia" w:ascii="仿宋_GB2312" w:hAnsi="仿宋_GB2312" w:eastAsia="仿宋_GB2312" w:cs="仿宋_GB2312"/>
                <w:b/>
                <w:bCs/>
                <w:color w:val="000000"/>
                <w:kern w:val="2"/>
                <w:sz w:val="21"/>
                <w:szCs w:val="21"/>
                <w:lang w:val="en-US" w:eastAsia="zh-CN" w:bidi="ar-SA"/>
                <w14:ligatures w14:val="none"/>
              </w:rPr>
            </w:pPr>
            <w:r>
              <w:rPr>
                <w:rFonts w:hint="eastAsia" w:ascii="仿宋_GB2312" w:hAnsi="仿宋_GB2312" w:eastAsia="仿宋_GB2312" w:cs="仿宋_GB2312"/>
                <w:b/>
                <w:bCs/>
                <w:color w:val="000000"/>
                <w:sz w:val="21"/>
                <w:szCs w:val="21"/>
              </w:rPr>
              <w:t>否</w:t>
            </w:r>
          </w:p>
        </w:tc>
      </w:tr>
    </w:tbl>
    <w:p>
      <w:pPr>
        <w:adjustRightInd w:val="0"/>
        <w:spacing w:line="360" w:lineRule="auto"/>
        <w:rPr>
          <w:rFonts w:hint="eastAsia" w:ascii="仿宋" w:hAnsi="仿宋" w:eastAsia="仿宋" w:cs="仿宋"/>
          <w:b/>
          <w:sz w:val="24"/>
        </w:rPr>
      </w:pPr>
    </w:p>
    <w:p>
      <w:pPr>
        <w:adjustRightInd w:val="0"/>
        <w:spacing w:line="360" w:lineRule="auto"/>
        <w:rPr>
          <w:rFonts w:hint="default" w:ascii="仿宋" w:hAnsi="仿宋" w:eastAsia="仿宋" w:cs="仿宋"/>
          <w:b/>
          <w:sz w:val="24"/>
          <w:lang w:val="en-US" w:eastAsia="zh-CN"/>
        </w:rPr>
      </w:pPr>
      <w:r>
        <w:rPr>
          <w:rFonts w:hint="eastAsia" w:ascii="仿宋" w:hAnsi="仿宋" w:eastAsia="仿宋" w:cs="仿宋"/>
          <w:b/>
          <w:sz w:val="24"/>
        </w:rPr>
        <w:t>二、技术要求</w:t>
      </w:r>
      <w:r>
        <w:rPr>
          <w:rFonts w:hint="eastAsia" w:ascii="仿宋" w:hAnsi="仿宋" w:eastAsia="仿宋" w:cs="仿宋"/>
          <w:b/>
          <w:sz w:val="24"/>
          <w:lang w:val="en-US" w:eastAsia="zh-CN"/>
        </w:rPr>
        <w:t>和商务要求</w:t>
      </w:r>
    </w:p>
    <w:tbl>
      <w:tblPr>
        <w:tblStyle w:val="12"/>
        <w:tblW w:w="8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8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87" w:type="dxa"/>
            <w:shd w:val="clear" w:color="auto" w:fill="auto"/>
            <w:vAlign w:val="center"/>
          </w:tcPr>
          <w:p>
            <w:pPr>
              <w:widowControl/>
              <w:tabs>
                <w:tab w:val="left" w:pos="3573"/>
              </w:tabs>
              <w:spacing w:line="4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技术要求</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（功能和质量要求）</w:t>
            </w:r>
          </w:p>
        </w:tc>
        <w:tc>
          <w:tcPr>
            <w:tcW w:w="8037" w:type="dxa"/>
            <w:shd w:val="clear" w:color="auto" w:fill="auto"/>
          </w:tcPr>
          <w:p>
            <w:pPr>
              <w:pStyle w:val="8"/>
              <w:keepNext w:val="0"/>
              <w:keepLines w:val="0"/>
              <w:pageBreakBefore w:val="0"/>
              <w:widowControl w:val="0"/>
              <w:numPr>
                <w:ilvl w:val="0"/>
                <w:numId w:val="0"/>
              </w:numPr>
              <w:kinsoku/>
              <w:wordWrap/>
              <w:overflowPunct/>
              <w:topLinePunct w:val="0"/>
              <w:autoSpaceDE/>
              <w:autoSpaceDN/>
              <w:bidi w:val="0"/>
              <w:adjustRightInd/>
              <w:snapToGrid w:val="0"/>
              <w:ind w:left="0" w:leftChars="0" w:firstLine="422" w:firstLineChars="200"/>
              <w:textAlignment w:val="auto"/>
              <w:rPr>
                <w:rFonts w:hint="eastAsia" w:ascii="宋体" w:hAnsi="宋体" w:eastAsia="宋体" w:cs="宋体"/>
                <w:b/>
                <w:bCs/>
                <w:sz w:val="21"/>
                <w:szCs w:val="21"/>
                <w:lang w:eastAsia="zh-CN"/>
              </w:rPr>
            </w:pPr>
            <w:r>
              <w:rPr>
                <w:rFonts w:hint="eastAsia" w:ascii="宋体" w:hAnsi="宋体" w:eastAsia="宋体" w:cs="宋体"/>
                <w:b/>
                <w:bCs/>
                <w:kern w:val="2"/>
                <w:sz w:val="21"/>
                <w:szCs w:val="21"/>
                <w:lang w:val="en-US" w:eastAsia="zh-CN" w:bidi="ar-SA"/>
                <w14:ligatures w14:val="standardContextual"/>
              </w:rPr>
              <w:t>一、</w:t>
            </w:r>
            <w:r>
              <w:rPr>
                <w:rFonts w:hint="eastAsia" w:ascii="宋体" w:hAnsi="宋体" w:eastAsia="宋体" w:cs="宋体"/>
                <w:sz w:val="21"/>
                <w:szCs w:val="21"/>
              </w:rPr>
              <w:t>★</w:t>
            </w:r>
            <w:r>
              <w:rPr>
                <w:rFonts w:hint="eastAsia" w:ascii="宋体" w:hAnsi="宋体" w:eastAsia="宋体" w:cs="宋体"/>
                <w:b/>
                <w:bCs/>
                <w:sz w:val="21"/>
                <w:szCs w:val="21"/>
                <w:lang w:eastAsia="zh-CN"/>
              </w:rPr>
              <w:t>智能影像系统维保</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完成智能影像系统维保，包含但不限于以下内容</w:t>
            </w:r>
            <w:r>
              <w:rPr>
                <w:rFonts w:hint="eastAsia" w:ascii="宋体" w:hAnsi="宋体" w:eastAsia="宋体" w:cs="宋体"/>
                <w:sz w:val="21"/>
                <w:szCs w:val="21"/>
                <w:lang w:eastAsia="zh-CN"/>
              </w:rPr>
              <w:t>：</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（一）影像采集模块</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修复智能财务影像管理系统对接税务系统、财务系统异常、多模式采集失效等问题。</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（二）影像预览模块</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处理缩略图、浮动预览、双屏预览黑屏、加载失败、显示错位等故障。</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（三）影像传输模块</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解决影像压缩传输中断、异步任务卡死等问题。</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（四）影像存储模块</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修复索引生成异常、业务实体关联丢失、数据库结构化存储报错问题，保障票据影像与业务单据一一绑定等。</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（五）影像安全模块</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维护影像访问权限、存储加密安全策略，修复权限失效、越权访问漏洞等问题。</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（六）影像接口模块</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调试业务数据交互接口，解决影像张数、类型数据传递失败、单据互通报错等问题。</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（七）OCR识别模块</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校准票据OCR文字提取模型，处理发票识别乱码、漏识别等问题，修复自动填单、稽核校验、数据分析功能失效等故障。</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（八）影像查询模块：</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修复分类检索、全局查询检索无结果、索引检索卡顿等问题。</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（九）影像输出模块：</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解决单张/批量打印模糊、下载失败、本地存档损坏等输出问题。</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0" w:leftChars="0" w:firstLine="422" w:firstLineChars="200"/>
              <w:textAlignment w:val="auto"/>
              <w:rPr>
                <w:rFonts w:hint="eastAsia" w:ascii="宋体" w:hAnsi="宋体" w:eastAsia="宋体" w:cs="宋体"/>
                <w:b/>
                <w:bCs/>
                <w:sz w:val="21"/>
                <w:szCs w:val="21"/>
                <w:lang w:eastAsia="zh-CN"/>
              </w:rPr>
            </w:pPr>
            <w:r>
              <w:rPr>
                <w:rFonts w:hint="eastAsia" w:ascii="宋体" w:hAnsi="宋体" w:eastAsia="宋体" w:cs="宋体"/>
                <w:b/>
                <w:bCs/>
                <w:kern w:val="2"/>
                <w:sz w:val="21"/>
                <w:szCs w:val="21"/>
                <w:lang w:val="en-US" w:eastAsia="zh-CN" w:bidi="ar-SA"/>
                <w14:ligatures w14:val="standardContextual"/>
              </w:rPr>
              <w:t>二、</w:t>
            </w:r>
            <w:r>
              <w:rPr>
                <w:rFonts w:hint="eastAsia" w:ascii="宋体" w:hAnsi="宋体" w:eastAsia="宋体" w:cs="宋体"/>
                <w:sz w:val="21"/>
                <w:szCs w:val="21"/>
              </w:rPr>
              <w:t>★</w:t>
            </w:r>
            <w:r>
              <w:rPr>
                <w:rFonts w:hint="eastAsia" w:ascii="宋体" w:hAnsi="宋体" w:eastAsia="宋体" w:cs="宋体"/>
                <w:b/>
                <w:bCs/>
                <w:sz w:val="21"/>
                <w:szCs w:val="21"/>
                <w:lang w:eastAsia="zh-CN"/>
              </w:rPr>
              <w:t>电子票据管理系统维护</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14:ligatures w14:val="standardContextual"/>
              </w:rPr>
              <w:t>（一）</w:t>
            </w:r>
            <w:r>
              <w:rPr>
                <w:rFonts w:hint="eastAsia" w:ascii="宋体" w:hAnsi="宋体" w:eastAsia="宋体" w:cs="宋体"/>
                <w:sz w:val="21"/>
                <w:szCs w:val="21"/>
                <w:lang w:val="en-US" w:eastAsia="zh-CN"/>
              </w:rPr>
              <w:t>运维服务范围</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1、投标人须针对以下已建成的系统及硬件提供一体化运维服务：</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2、软件平台运维： 医疗电子票据管理平台（含门急诊+住院基础信息管理、票号池管理、票据开具、红冲、打印、报表统计等模块）、电子票据档案管理系统、微信取票小程序及推送/查询接口。</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3、业务接口运维：与HIS系统（东华）接口、微信公众号/门户网站对接接口、财政电子票据系统接口、签名验证接口等。负责接口异常排查、数据交换监控及联调保障。</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4、硬件设备运维：数字签名服务器（吉大正元V1000-C-P6000）、应用服务器（浪潮</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NF5270M4）、票据自助打印终端（宏微HW系列，门诊/住院共4台）、终端打印机及扫码设备等。</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54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14:ligatures w14:val="standardContextual"/>
              </w:rPr>
              <w:t>5、</w:t>
            </w:r>
            <w:r>
              <w:rPr>
                <w:rFonts w:hint="eastAsia" w:ascii="宋体" w:hAnsi="宋体" w:eastAsia="宋体" w:cs="宋体"/>
                <w:sz w:val="21"/>
                <w:szCs w:val="21"/>
                <w:lang w:val="en-US" w:eastAsia="zh-CN"/>
              </w:rPr>
              <w:t>终端环境运维：收费窗口电脑操作系统、浏览器配置、票据打印外设的辅助技术支持。</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（二）运维要求</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6"/>
              <w:gridCol w:w="2160"/>
              <w:gridCol w:w="3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tcPr>
                <w:p>
                  <w:pPr>
                    <w:pStyle w:val="8"/>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服务类别</w:t>
                  </w:r>
                </w:p>
              </w:tc>
              <w:tc>
                <w:tcPr>
                  <w:tcW w:w="2160" w:type="dxa"/>
                </w:tcPr>
                <w:p>
                  <w:pPr>
                    <w:pStyle w:val="8"/>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关键运维事项</w:t>
                  </w:r>
                </w:p>
              </w:tc>
              <w:tc>
                <w:tcPr>
                  <w:tcW w:w="3853" w:type="dxa"/>
                </w:tcPr>
                <w:p>
                  <w:pPr>
                    <w:pStyle w:val="8"/>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vAlign w:val="top"/>
                </w:tcPr>
                <w:p>
                  <w:pPr>
                    <w:pStyle w:val="8"/>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日常故障处理</w:t>
                  </w:r>
                </w:p>
              </w:tc>
              <w:tc>
                <w:tcPr>
                  <w:tcW w:w="2160" w:type="dxa"/>
                  <w:vAlign w:val="top"/>
                </w:tcPr>
                <w:p>
                  <w:pPr>
                    <w:pStyle w:val="8"/>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软件平台故障、开票异常、签名失败、归档或打印报错</w:t>
                  </w:r>
                </w:p>
              </w:tc>
              <w:tc>
                <w:tcPr>
                  <w:tcW w:w="3853" w:type="dxa"/>
                  <w:vAlign w:val="top"/>
                </w:tcPr>
                <w:p>
                  <w:pPr>
                    <w:pStyle w:val="8"/>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提供问题根因分析报告。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vAlign w:val="top"/>
                </w:tcPr>
                <w:p>
                  <w:pPr>
                    <w:pStyle w:val="8"/>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接口运维</w:t>
                  </w:r>
                </w:p>
              </w:tc>
              <w:tc>
                <w:tcPr>
                  <w:tcW w:w="2160" w:type="dxa"/>
                  <w:vAlign w:val="top"/>
                </w:tcPr>
                <w:p>
                  <w:pPr>
                    <w:pStyle w:val="8"/>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HIS-票据接口、财政接口、微信公众号接口联调</w:t>
                  </w:r>
                </w:p>
              </w:tc>
              <w:tc>
                <w:tcPr>
                  <w:tcW w:w="3853" w:type="dxa"/>
                  <w:vAlign w:val="top"/>
                </w:tcPr>
                <w:p>
                  <w:pPr>
                    <w:pStyle w:val="8"/>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协助信息科排查因业务系统或网络导致的接口问题，保障数据不丢失，接口调用成功率≥99%。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1596" w:type="dxa"/>
                  <w:vAlign w:val="top"/>
                </w:tcPr>
                <w:p>
                  <w:pPr>
                    <w:pStyle w:val="8"/>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硬件维护</w:t>
                  </w:r>
                </w:p>
              </w:tc>
              <w:tc>
                <w:tcPr>
                  <w:tcW w:w="2160" w:type="dxa"/>
                  <w:vAlign w:val="top"/>
                </w:tcPr>
                <w:p>
                  <w:pPr>
                    <w:pStyle w:val="8"/>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签名服务器、应用服务器、自助机、打印机等</w:t>
                  </w:r>
                </w:p>
              </w:tc>
              <w:tc>
                <w:tcPr>
                  <w:tcW w:w="3853" w:type="dxa"/>
                  <w:vAlign w:val="top"/>
                </w:tcPr>
                <w:p>
                  <w:pPr>
                    <w:pStyle w:val="8"/>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定期巡检（每季度至少1次），硬件故障及时协调原厂或第三方维修，紧急故障72小时内替换备件恢复业务。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96" w:type="dxa"/>
                  <w:vAlign w:val="top"/>
                </w:tcPr>
                <w:p>
                  <w:pPr>
                    <w:pStyle w:val="8"/>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系统基础保障</w:t>
                  </w:r>
                </w:p>
              </w:tc>
              <w:tc>
                <w:tcPr>
                  <w:tcW w:w="2160" w:type="dxa"/>
                  <w:vAlign w:val="top"/>
                </w:tcPr>
                <w:p>
                  <w:pPr>
                    <w:pStyle w:val="8"/>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技术年结、账号权限维护、基础信息变更</w:t>
                  </w:r>
                </w:p>
              </w:tc>
              <w:tc>
                <w:tcPr>
                  <w:tcW w:w="3853" w:type="dxa"/>
                  <w:vAlign w:val="top"/>
                </w:tcPr>
                <w:p>
                  <w:pPr>
                    <w:pStyle w:val="8"/>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每年11月底前完成表空间扩充、年度票据模板同步、旧票回收；用户密码解锁/重置30分钟内完成。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vAlign w:val="top"/>
                </w:tcPr>
                <w:p>
                  <w:pPr>
                    <w:pStyle w:val="8"/>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升级与安全</w:t>
                  </w:r>
                </w:p>
              </w:tc>
              <w:tc>
                <w:tcPr>
                  <w:tcW w:w="2160" w:type="dxa"/>
                  <w:vAlign w:val="top"/>
                </w:tcPr>
                <w:p>
                  <w:pPr>
                    <w:pStyle w:val="8"/>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BUG修复、安全漏洞修复</w:t>
                  </w:r>
                </w:p>
              </w:tc>
              <w:tc>
                <w:tcPr>
                  <w:tcW w:w="3853" w:type="dxa"/>
                  <w:vAlign w:val="top"/>
                </w:tcPr>
                <w:p>
                  <w:pPr>
                    <w:pStyle w:val="8"/>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对发现的系统缺陷和安全漏洞免费修复，保障系统通过安全检测；涉及重大功能升级按优惠价协商。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vAlign w:val="top"/>
                </w:tcPr>
                <w:p>
                  <w:pPr>
                    <w:pStyle w:val="8"/>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咨询培训与巡检</w:t>
                  </w:r>
                </w:p>
              </w:tc>
              <w:tc>
                <w:tcPr>
                  <w:tcW w:w="2160" w:type="dxa"/>
                  <w:vAlign w:val="top"/>
                </w:tcPr>
                <w:p>
                  <w:pPr>
                    <w:pStyle w:val="8"/>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业务咨询、操作指导、年度巡检</w:t>
                  </w:r>
                </w:p>
              </w:tc>
              <w:tc>
                <w:tcPr>
                  <w:tcW w:w="3853" w:type="dxa"/>
                  <w:vAlign w:val="top"/>
                </w:tcPr>
                <w:p>
                  <w:pPr>
                    <w:pStyle w:val="8"/>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提供7×24小时业务咨询；出具季度巡检报告及优化建议。</w:t>
                  </w:r>
                </w:p>
              </w:tc>
            </w:tr>
          </w:tbl>
          <w:p>
            <w:pPr>
              <w:pStyle w:val="8"/>
              <w:keepNext w:val="0"/>
              <w:keepLines w:val="0"/>
              <w:pageBreakBefore w:val="0"/>
              <w:widowControl w:val="0"/>
              <w:numPr>
                <w:ilvl w:val="0"/>
                <w:numId w:val="0"/>
              </w:numPr>
              <w:kinsoku/>
              <w:wordWrap/>
              <w:overflowPunct/>
              <w:topLinePunct w:val="0"/>
              <w:autoSpaceDE/>
              <w:autoSpaceDN/>
              <w:bidi w:val="0"/>
              <w:adjustRightInd/>
              <w:snapToGrid w:val="0"/>
              <w:ind w:left="0" w:leftChars="0" w:firstLine="422" w:firstLineChars="200"/>
              <w:textAlignment w:val="auto"/>
              <w:rPr>
                <w:rFonts w:hint="eastAsia" w:ascii="宋体" w:hAnsi="宋体" w:eastAsia="宋体" w:cs="宋体"/>
                <w:b/>
                <w:bCs/>
                <w:sz w:val="21"/>
                <w:szCs w:val="21"/>
                <w:lang w:eastAsia="zh-CN"/>
              </w:rPr>
            </w:pPr>
            <w:r>
              <w:rPr>
                <w:rFonts w:hint="eastAsia" w:ascii="宋体" w:hAnsi="宋体" w:eastAsia="宋体" w:cs="宋体"/>
                <w:b/>
                <w:bCs/>
                <w:kern w:val="2"/>
                <w:sz w:val="21"/>
                <w:szCs w:val="21"/>
                <w:lang w:val="en-US" w:eastAsia="zh-CN" w:bidi="ar-SA"/>
                <w14:ligatures w14:val="standardContextual"/>
              </w:rPr>
              <w:t>三、</w:t>
            </w:r>
            <w:r>
              <w:rPr>
                <w:rFonts w:hint="eastAsia" w:ascii="宋体" w:hAnsi="宋体" w:eastAsia="宋体" w:cs="宋体"/>
                <w:sz w:val="21"/>
                <w:szCs w:val="21"/>
              </w:rPr>
              <w:t>★</w:t>
            </w:r>
            <w:r>
              <w:rPr>
                <w:rFonts w:hint="eastAsia" w:ascii="宋体" w:hAnsi="宋体" w:eastAsia="宋体" w:cs="宋体"/>
                <w:b/>
                <w:bCs/>
                <w:sz w:val="21"/>
                <w:szCs w:val="21"/>
                <w:lang w:eastAsia="zh-CN"/>
              </w:rPr>
              <w:t>跃医通系统维护</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服务内容：保障现有软件功能的正常运行、功能调优，适应性改造。</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（1）做好采购人信息系统的日常维护，保证软件系统的正常运行，并做好每次维护记录的反馈。</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（2）做好采购人网络、数据库的日常运行例检，出现瘫痪故障时及时开展抢修，确保采购人信息系统平稳运行。</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（3）做好采购人信息技术人员的持续性专业培训工作。</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（4）做好</w:t>
            </w:r>
            <w:r>
              <w:rPr>
                <w:rFonts w:hint="eastAsia" w:ascii="宋体" w:hAnsi="宋体" w:eastAsia="宋体" w:cs="宋体"/>
                <w:sz w:val="21"/>
                <w:szCs w:val="21"/>
                <w:lang w:val="en-US" w:eastAsia="zh-CN"/>
              </w:rPr>
              <w:t>采购人</w:t>
            </w:r>
            <w:r>
              <w:rPr>
                <w:rFonts w:hint="eastAsia" w:ascii="宋体" w:hAnsi="宋体" w:eastAsia="宋体" w:cs="宋体"/>
                <w:sz w:val="21"/>
                <w:szCs w:val="21"/>
                <w:lang w:eastAsia="zh-CN"/>
              </w:rPr>
              <w:t>的数据安全保密工作，严禁私自调用采购人数据做与业务不相干的工作；严禁在正式库上进行数据测试。</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（5）利用科学的运维工具，对接听电话内容、时间、故障内容、解决方式和时间等维护内容进行详细记录、制表，每年/季度定期向</w:t>
            </w:r>
            <w:r>
              <w:rPr>
                <w:rFonts w:hint="eastAsia" w:ascii="宋体" w:hAnsi="宋体" w:eastAsia="宋体" w:cs="宋体"/>
                <w:sz w:val="21"/>
                <w:szCs w:val="21"/>
                <w:lang w:val="en-US" w:eastAsia="zh-CN"/>
              </w:rPr>
              <w:t>采购人</w:t>
            </w:r>
            <w:r>
              <w:rPr>
                <w:rFonts w:hint="eastAsia" w:ascii="宋体" w:hAnsi="宋体" w:eastAsia="宋体" w:cs="宋体"/>
                <w:sz w:val="21"/>
                <w:szCs w:val="21"/>
                <w:lang w:eastAsia="zh-CN"/>
              </w:rPr>
              <w:t>汇报一次；对于常见问题须进行彻底解决，以免再次发生，并将这些解决方案建立文档，归入知识库。</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（6）对于紧急事件，运维组应填写《紧急事件处理报告》，在24小时之内提交给</w:t>
            </w:r>
            <w:r>
              <w:rPr>
                <w:rFonts w:hint="eastAsia" w:ascii="宋体" w:hAnsi="宋体" w:eastAsia="宋体" w:cs="宋体"/>
                <w:sz w:val="21"/>
                <w:szCs w:val="21"/>
                <w:lang w:val="en-US" w:eastAsia="zh-CN"/>
              </w:rPr>
              <w:t>采购人</w:t>
            </w:r>
            <w:r>
              <w:rPr>
                <w:rFonts w:hint="eastAsia" w:ascii="宋体" w:hAnsi="宋体" w:eastAsia="宋体" w:cs="宋体"/>
                <w:sz w:val="21"/>
                <w:szCs w:val="21"/>
                <w:lang w:eastAsia="zh-CN"/>
              </w:rPr>
              <w:t>。</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（7）每月收集该系统相关用户的意见，对意见进行整理归纳并形成文档，根据意见完成系统优化更新，持续完善系统功能，提升工作效率。</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（8）定期开展现场巡视，排查各应用系统运行问题，按周期轮流在各应用点收集使用者的问题与意见，建立问题台账并及时答复对应科室。</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（9）重要问题及时与开发工程师沟通并寻求解决方法。涉及需要修改软件重大问题的解决周期小于4周。满足以下任一情形即认定为重大问题：</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①</w:t>
            </w:r>
            <w:r>
              <w:rPr>
                <w:rFonts w:hint="eastAsia" w:ascii="宋体" w:hAnsi="宋体" w:eastAsia="宋体" w:cs="宋体"/>
                <w:sz w:val="21"/>
                <w:szCs w:val="21"/>
                <w:lang w:eastAsia="zh-CN"/>
              </w:rPr>
              <w:t>软件核心业务系统整体宕机、服务中断，采购人全部核心业务无法开展；</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②</w:t>
            </w:r>
            <w:r>
              <w:rPr>
                <w:rFonts w:hint="eastAsia" w:ascii="宋体" w:hAnsi="宋体" w:eastAsia="宋体" w:cs="宋体"/>
                <w:sz w:val="21"/>
                <w:szCs w:val="21"/>
                <w:lang w:eastAsia="zh-CN"/>
              </w:rPr>
              <w:t>系统关键业务数据出现丢失、错乱、不可逆损坏；</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③</w:t>
            </w:r>
            <w:r>
              <w:rPr>
                <w:rFonts w:hint="eastAsia" w:ascii="宋体" w:hAnsi="宋体" w:eastAsia="宋体" w:cs="宋体"/>
                <w:sz w:val="21"/>
                <w:szCs w:val="21"/>
                <w:lang w:eastAsia="zh-CN"/>
              </w:rPr>
              <w:t>系统存在安全漏洞，存在客户信息泄露、资金风险；</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④</w:t>
            </w:r>
            <w:r>
              <w:rPr>
                <w:rFonts w:hint="eastAsia" w:ascii="宋体" w:hAnsi="宋体" w:eastAsia="宋体" w:cs="宋体"/>
                <w:sz w:val="21"/>
                <w:szCs w:val="21"/>
                <w:lang w:eastAsia="zh-CN"/>
              </w:rPr>
              <w:t>故障持续影响采购人全部业务超过 2 小时，无临时应急替代方案。</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（10）定期对系统备份数据进行下载核查。</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（11）维护人员每天要及时填写工作日志，以确保所有的问题都有记录，并且从日志中总结经验性文档，供科室学习。</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（12）对于错误性、程序本身的Bug并影响业务流程的需求，在 48 小时内解决（此处可以根据售后同事处理的具体bug的类型来规定解决时间）。</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（13）提供新增合理业务变更需求的软件修改服务。确保</w:t>
            </w:r>
            <w:r>
              <w:rPr>
                <w:rFonts w:hint="eastAsia" w:ascii="宋体" w:hAnsi="宋体" w:eastAsia="宋体" w:cs="宋体"/>
                <w:sz w:val="21"/>
                <w:szCs w:val="21"/>
                <w:lang w:val="en-US" w:eastAsia="zh-CN"/>
              </w:rPr>
              <w:t>采购人</w:t>
            </w:r>
            <w:r>
              <w:rPr>
                <w:rFonts w:hint="eastAsia" w:ascii="宋体" w:hAnsi="宋体" w:eastAsia="宋体" w:cs="宋体"/>
                <w:sz w:val="21"/>
                <w:szCs w:val="21"/>
                <w:lang w:eastAsia="zh-CN"/>
              </w:rPr>
              <w:t>信息管理系统迅速、准确地跟上业务流程的变化，保证业务正常、稳定、高效地运转。</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（14）为</w:t>
            </w:r>
            <w:r>
              <w:rPr>
                <w:rFonts w:hint="eastAsia" w:ascii="宋体" w:hAnsi="宋体" w:eastAsia="宋体" w:cs="宋体"/>
                <w:sz w:val="21"/>
                <w:szCs w:val="21"/>
                <w:lang w:val="en-US" w:eastAsia="zh-CN"/>
              </w:rPr>
              <w:t>采购人</w:t>
            </w:r>
            <w:r>
              <w:rPr>
                <w:rFonts w:hint="eastAsia" w:ascii="宋体" w:hAnsi="宋体" w:eastAsia="宋体" w:cs="宋体"/>
                <w:sz w:val="21"/>
                <w:szCs w:val="21"/>
                <w:lang w:eastAsia="zh-CN"/>
              </w:rPr>
              <w:t>提供维护性技术资料，使</w:t>
            </w:r>
            <w:r>
              <w:rPr>
                <w:rFonts w:hint="eastAsia" w:ascii="宋体" w:hAnsi="宋体" w:eastAsia="宋体" w:cs="宋体"/>
                <w:sz w:val="21"/>
                <w:szCs w:val="21"/>
                <w:lang w:val="en-US" w:eastAsia="zh-CN"/>
              </w:rPr>
              <w:t>采购人</w:t>
            </w:r>
            <w:r>
              <w:rPr>
                <w:rFonts w:hint="eastAsia" w:ascii="宋体" w:hAnsi="宋体" w:eastAsia="宋体" w:cs="宋体"/>
                <w:sz w:val="21"/>
                <w:szCs w:val="21"/>
                <w:lang w:eastAsia="zh-CN"/>
              </w:rPr>
              <w:t>及时掌握最新的维护经验和技巧，了解自己所维护软件的一些预防性措施、获得最新的软件产品知识等。</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（15）提供产品更新通知服务，确保用户以优惠价格获得小版本更新的升级软件产品，同时包括新版本安装说明、新增功能说明与使用文档等。</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（16）为保障软件修改后的稳定性，供应商需搭建匹配</w:t>
            </w:r>
            <w:r>
              <w:rPr>
                <w:rFonts w:hint="eastAsia" w:ascii="宋体" w:hAnsi="宋体" w:eastAsia="宋体" w:cs="宋体"/>
                <w:sz w:val="21"/>
                <w:szCs w:val="21"/>
                <w:lang w:val="en-US" w:eastAsia="zh-CN"/>
              </w:rPr>
              <w:t>采购人</w:t>
            </w:r>
            <w:r>
              <w:rPr>
                <w:rFonts w:hint="eastAsia" w:ascii="宋体" w:hAnsi="宋体" w:eastAsia="宋体" w:cs="宋体"/>
                <w:sz w:val="21"/>
                <w:szCs w:val="21"/>
                <w:lang w:eastAsia="zh-CN"/>
              </w:rPr>
              <w:t>实际环境的模拟测试环境，软件完成较大变更后，必须通过模拟测试环境验证方可向</w:t>
            </w:r>
            <w:r>
              <w:rPr>
                <w:rFonts w:hint="eastAsia" w:ascii="宋体" w:hAnsi="宋体" w:eastAsia="宋体" w:cs="宋体"/>
                <w:sz w:val="21"/>
                <w:szCs w:val="21"/>
                <w:lang w:val="en-US" w:eastAsia="zh-CN"/>
              </w:rPr>
              <w:t>采购人</w:t>
            </w:r>
            <w:r>
              <w:rPr>
                <w:rFonts w:hint="eastAsia" w:ascii="宋体" w:hAnsi="宋体" w:eastAsia="宋体" w:cs="宋体"/>
                <w:sz w:val="21"/>
                <w:szCs w:val="21"/>
                <w:lang w:eastAsia="zh-CN"/>
              </w:rPr>
              <w:t>发布。</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（17）必要时，技术部可模拟医院实际环境，协助分析并解决问题。</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（18）供应商定期向</w:t>
            </w:r>
            <w:r>
              <w:rPr>
                <w:rFonts w:hint="eastAsia" w:ascii="宋体" w:hAnsi="宋体" w:eastAsia="宋体" w:cs="宋体"/>
                <w:sz w:val="21"/>
                <w:szCs w:val="21"/>
                <w:lang w:val="en-US" w:eastAsia="zh-CN"/>
              </w:rPr>
              <w:t>采购人</w:t>
            </w:r>
            <w:r>
              <w:rPr>
                <w:rFonts w:hint="eastAsia" w:ascii="宋体" w:hAnsi="宋体" w:eastAsia="宋体" w:cs="宋体"/>
                <w:sz w:val="21"/>
                <w:szCs w:val="21"/>
                <w:lang w:eastAsia="zh-CN"/>
              </w:rPr>
              <w:t>发送电子邮件、行业刊物等，以便</w:t>
            </w:r>
            <w:r>
              <w:rPr>
                <w:rFonts w:hint="eastAsia" w:ascii="宋体" w:hAnsi="宋体" w:eastAsia="宋体" w:cs="宋体"/>
                <w:sz w:val="21"/>
                <w:szCs w:val="21"/>
                <w:lang w:val="en-US" w:eastAsia="zh-CN"/>
              </w:rPr>
              <w:t>采购人</w:t>
            </w:r>
            <w:r>
              <w:rPr>
                <w:rFonts w:hint="eastAsia" w:ascii="宋体" w:hAnsi="宋体" w:eastAsia="宋体" w:cs="宋体"/>
                <w:sz w:val="21"/>
                <w:szCs w:val="21"/>
                <w:lang w:eastAsia="zh-CN"/>
              </w:rPr>
              <w:t>及时掌握供应商最新产品的操作方法及行业新闻动态。</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（19）数据保护及灾难恢复：协助进行灾难恢复；数据安全性评估、灾难事件分析。</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（20）可用性审计：每季度由开发工程师对所安装的系统进行全面跟踪检查，分析潜在问题及其发展趋势，并前瞻性地提出预防措施。</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（21）性能调优：随着数据量的急剧累积，在服务器、数据库、网络及工作站各个环节，均有可能出现瓶颈，系统需要不断地优化，才能保障整体性能。</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（22）技术顾问：全面了解</w:t>
            </w:r>
            <w:r>
              <w:rPr>
                <w:rFonts w:hint="eastAsia" w:ascii="宋体" w:hAnsi="宋体" w:eastAsia="宋体" w:cs="宋体"/>
                <w:sz w:val="21"/>
                <w:szCs w:val="21"/>
                <w:lang w:val="en-US" w:eastAsia="zh-CN"/>
              </w:rPr>
              <w:t>采购人</w:t>
            </w:r>
            <w:r>
              <w:rPr>
                <w:rFonts w:hint="eastAsia" w:ascii="宋体" w:hAnsi="宋体" w:eastAsia="宋体" w:cs="宋体"/>
                <w:sz w:val="21"/>
                <w:szCs w:val="21"/>
                <w:lang w:eastAsia="zh-CN"/>
              </w:rPr>
              <w:t xml:space="preserve">的应用状况，关注所有技术服务，免费提供信息化规划指导、技术咨询。 </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（23）定期巡检：每季度提供一次主动现场服务，开展监测诊断，现场修复已发生的小故障，积极预防潜在问题（含计算机病毒防护），并记录巡检结果。</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（24）软件缺陷修复与版本更新：快速解决因程序缺陷或错误给用户带来的各类使用问题，提供升级安装程序，保障现有软件模块稳定运行。</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（25）跃医通系统的相关数据须按照一卡通统一要求完成同步上传。</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0" w:leftChars="0" w:firstLine="422" w:firstLineChars="200"/>
              <w:textAlignment w:val="auto"/>
              <w:rPr>
                <w:rFonts w:hint="eastAsia" w:ascii="宋体" w:hAnsi="宋体" w:eastAsia="宋体" w:cs="宋体"/>
                <w:b/>
                <w:bCs/>
                <w:sz w:val="21"/>
                <w:szCs w:val="21"/>
                <w:lang w:eastAsia="zh-CN"/>
              </w:rPr>
            </w:pPr>
            <w:r>
              <w:rPr>
                <w:rFonts w:hint="eastAsia" w:ascii="宋体" w:hAnsi="宋体" w:eastAsia="宋体" w:cs="宋体"/>
                <w:b/>
                <w:bCs/>
                <w:kern w:val="2"/>
                <w:sz w:val="21"/>
                <w:szCs w:val="21"/>
                <w:lang w:val="en-US" w:eastAsia="zh-CN" w:bidi="ar-SA"/>
                <w14:ligatures w14:val="standardContextual"/>
              </w:rPr>
              <w:t>四、</w:t>
            </w:r>
            <w:r>
              <w:rPr>
                <w:rFonts w:hint="eastAsia" w:ascii="宋体" w:hAnsi="宋体" w:eastAsia="宋体" w:cs="宋体"/>
                <w:b/>
                <w:bCs/>
                <w:sz w:val="21"/>
                <w:szCs w:val="21"/>
                <w:lang w:eastAsia="zh-CN"/>
              </w:rPr>
              <w:t>医务精细化管理系统维保</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（一）维保服务范围</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DMIAES医院管理智能评估及分析系统，包括：1.技术服务。2.系统调优。3.故障排除。4.升级服务。5.定期巡查。6.售后运维服务方式。</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（二）维保服务要求</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1.技术服务</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1、提供用户培训：培训的内容包括但不限于对系统的整体讲解、PPT概念演示、系统实际操作以及考核。</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2、提供详尽的操作手册：提供的操作手册中对系统的各项功能进行了详细的描述，并给出了简单的实例，用户可以根据操作手册中的步骤进行联系，在遇到问题的时候，可以查找操作手册的相关部分寻求答案。</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3、系统在关键位置提示帮助信息：为了帮助用户更好的使用系统，维护系统功能的帮助提示信息。</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4、提供远程技术支持：用户在遇到自行无法解决的问题时，可以联系中科软技术支持工程师寻求帮助。</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5、持续改进：维保期间不断的收集用户在使用系统时遇到的问题，并对系统在易用性方面进行持续的改进。</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2.系统调优</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1、▲在维保期间，针对用户提出的各项问题进行集中的整理与分析，对于系统错误类的问题及时进行修正。</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2、根据前瞻性原则的要求，对系统运行效率，用户体验以及其它方面进行持续改进。</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3、服务期间因对接业务接口更新或变更造成数据无法提取问题，对接口进行优化，保证数据统计准确性和系统可用性。</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3.故障排除</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 ▲按照故障的严重性划分为四个级别，分别定义为特别重大(Ⅰ级）、重大(Ⅱ级）、较大(Ⅲ级）、一般(Ⅳ级）。</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特别重大(Ⅰ级），会使客户主业务中断，比如应用服务器停顿等；</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重大(Ⅱ级），对客户业务有影响，但不会造成业务中断；</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较大(Ⅲ级），属于影响不大的普通问题；</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一般(Ⅳ级），属于普通咨询类的问题。</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2、▲对于Ⅰ级请求，服务保障人员必须立刻响应，立即组织恢复系统正常运行，并1小时之内反馈采购人，4小时内解决问题；</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3、▲对于Ⅱ级请求，反馈采购人的时间要求是1小时之内，12小时内解决问题；</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4、▲对于Ⅲ级请求，反馈采购人的时间要求是2小时之内，48小时内解决问题；</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5、★对于Ⅳ级请求，反馈采购人时间的要求2小时之内，一周内解决问题。</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4.升级服务</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1、维保期内，根据收集到的用户反馈进行分析，对系统进行持续的改进，对于系统平台提供升级服务。</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5.定期巡查</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w:t>
            </w:r>
            <w:bookmarkStart w:id="0" w:name="OLE_LINK2"/>
            <w:r>
              <w:rPr>
                <w:rFonts w:hint="eastAsia" w:ascii="宋体" w:hAnsi="宋体" w:eastAsia="宋体" w:cs="宋体"/>
                <w:sz w:val="21"/>
                <w:szCs w:val="21"/>
                <w:lang w:eastAsia="zh-CN"/>
              </w:rPr>
              <w:t>▲</w:t>
            </w:r>
            <w:bookmarkEnd w:id="0"/>
            <w:r>
              <w:rPr>
                <w:rFonts w:hint="eastAsia" w:ascii="宋体" w:hAnsi="宋体" w:eastAsia="宋体" w:cs="宋体"/>
                <w:sz w:val="21"/>
                <w:szCs w:val="21"/>
                <w:lang w:eastAsia="zh-CN"/>
              </w:rPr>
              <w:t>每季度进行巡查，包括应用程序状态、服务器的运行状态、业务数据的保存和生成情况等。巡查中发现系统存在问题或潜在问题，将及时通知用户，并按照故障排除相关要求启动故障排除流程。</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6.售后运维服务方式</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1、▲现场技术支持</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对于系统遇到远程技术支持无法解决的问题或因网络情况无法进行远程技术支持时，技术支持工程师将到用户现场维护。</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2、远程技术支持</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2.1 提供7*24小时的电话支持服务。</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2.2 提供工作时间段（工作日8:00~17:30）即时通信服务，支持QQ、微信等。通过即时通信工具可以联系技术支持工程师，随时解决问题。</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2.3 提供远程桌面协助服务帮助用户解决问题。</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2.4 提供专用邮箱用于接收用户发送的技术支持需求邮件，每日专人负责处理邮件，根据具体问题选择邮件回复或电话回复。</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3、维护文档输出要求：</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3.1 ▲维保期内，中标人记录用户服务支持记录，并作为年度维护报告组成部分提交。</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3.2 ▲对于I级故障，故障恢复后24小时内输出故障处理报告。</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3.3 ▲对于II级故障，故障恢复后5个工作日内输出故障处理报告。</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3.4 每季度巡检后，输出巡检报告，并作为年度维护报告组成部分提交。</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0" w:leftChars="0" w:firstLine="422" w:firstLineChars="200"/>
              <w:textAlignment w:val="auto"/>
              <w:rPr>
                <w:rFonts w:hint="eastAsia" w:ascii="宋体" w:hAnsi="宋体" w:eastAsia="宋体" w:cs="宋体"/>
                <w:b/>
                <w:bCs/>
                <w:sz w:val="21"/>
                <w:szCs w:val="21"/>
                <w:lang w:eastAsia="zh-CN"/>
              </w:rPr>
            </w:pPr>
            <w:r>
              <w:rPr>
                <w:rFonts w:hint="eastAsia" w:ascii="宋体" w:hAnsi="宋体" w:eastAsia="宋体" w:cs="宋体"/>
                <w:b/>
                <w:bCs/>
                <w:kern w:val="2"/>
                <w:sz w:val="21"/>
                <w:szCs w:val="21"/>
                <w:lang w:val="en-US" w:eastAsia="zh-CN" w:bidi="ar-SA"/>
                <w14:ligatures w14:val="standardContextual"/>
              </w:rPr>
              <w:t>五、</w:t>
            </w:r>
            <w:r>
              <w:rPr>
                <w:rFonts w:hint="eastAsia" w:ascii="宋体" w:hAnsi="宋体" w:eastAsia="宋体" w:cs="宋体"/>
                <w:b/>
                <w:bCs/>
                <w:sz w:val="21"/>
                <w:szCs w:val="21"/>
                <w:lang w:eastAsia="zh-CN"/>
              </w:rPr>
              <w:t>科研教学管理系统维保</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一</w:t>
            </w:r>
            <w:r>
              <w:rPr>
                <w:rFonts w:hint="eastAsia" w:ascii="宋体" w:hAnsi="宋体" w:eastAsia="宋体" w:cs="宋体"/>
                <w:sz w:val="21"/>
                <w:szCs w:val="21"/>
                <w:lang w:eastAsia="zh-CN"/>
              </w:rPr>
              <w:t>）</w:t>
            </w:r>
            <w:r>
              <w:rPr>
                <w:rFonts w:hint="eastAsia" w:ascii="宋体" w:hAnsi="宋体" w:eastAsia="宋体" w:cs="宋体"/>
                <w:sz w:val="21"/>
                <w:szCs w:val="21"/>
              </w:rPr>
              <w:t>★</w:t>
            </w:r>
            <w:r>
              <w:rPr>
                <w:rFonts w:hint="eastAsia" w:ascii="宋体" w:hAnsi="宋体" w:eastAsia="宋体" w:cs="宋体"/>
                <w:sz w:val="21"/>
                <w:szCs w:val="21"/>
                <w:lang w:eastAsia="zh-CN"/>
              </w:rPr>
              <w:t>运维覆盖范围</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投标人须对以下已建及升级后的科研教学管理系统所有功能模块提供一体化运维、故障修复、性能优化、接口保障及用户支持，确保各模块正常运行：</w:t>
            </w:r>
          </w:p>
          <w:tbl>
            <w:tblPr>
              <w:tblStyle w:val="13"/>
              <w:tblW w:w="7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6"/>
              <w:gridCol w:w="5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6" w:type="dxa"/>
                </w:tcPr>
                <w:p>
                  <w:pPr>
                    <w:pStyle w:val="8"/>
                    <w:keepNext w:val="0"/>
                    <w:keepLines w:val="0"/>
                    <w:pageBreakBefore w:val="0"/>
                    <w:widowControl w:val="0"/>
                    <w:numPr>
                      <w:ilvl w:val="0"/>
                      <w:numId w:val="0"/>
                    </w:numPr>
                    <w:kinsoku/>
                    <w:wordWrap/>
                    <w:overflowPunct/>
                    <w:topLinePunct w:val="0"/>
                    <w:autoSpaceDE/>
                    <w:autoSpaceDN/>
                    <w:bidi w:val="0"/>
                    <w:adjustRightInd/>
                    <w:snapToGrid w:val="0"/>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模块名称</w:t>
                  </w:r>
                </w:p>
              </w:tc>
              <w:tc>
                <w:tcPr>
                  <w:tcW w:w="5474" w:type="dxa"/>
                </w:tcPr>
                <w:p>
                  <w:pPr>
                    <w:pStyle w:val="8"/>
                    <w:keepNext w:val="0"/>
                    <w:keepLines w:val="0"/>
                    <w:pageBreakBefore w:val="0"/>
                    <w:widowControl w:val="0"/>
                    <w:numPr>
                      <w:ilvl w:val="0"/>
                      <w:numId w:val="0"/>
                    </w:numPr>
                    <w:kinsoku/>
                    <w:wordWrap/>
                    <w:overflowPunct/>
                    <w:topLinePunct w:val="0"/>
                    <w:autoSpaceDE/>
                    <w:autoSpaceDN/>
                    <w:bidi w:val="0"/>
                    <w:adjustRightInd/>
                    <w:snapToGrid w:val="0"/>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运维覆盖内容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2266"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门户管理</w:t>
                  </w:r>
                </w:p>
              </w:tc>
              <w:tc>
                <w:tcPr>
                  <w:tcW w:w="5474" w:type="dxa"/>
                  <w:vAlign w:val="top"/>
                </w:tcPr>
                <w:p>
                  <w:pPr>
                    <w:pStyle w:val="22"/>
                    <w:spacing w:before="151" w:line="188" w:lineRule="auto"/>
                    <w:ind w:left="140"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科研动态、规章制度、科技文件公布、系统信息概览、待办事项提醒等门户维护。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6"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纵向项目管理</w:t>
                  </w:r>
                </w:p>
              </w:tc>
              <w:tc>
                <w:tcPr>
                  <w:tcW w:w="5474"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国自然/省市级项目全流程：立项填报、审核、变更、结题、经费到账</w:t>
                  </w:r>
                  <w:r>
                    <w:rPr>
                      <w:rFonts w:hint="eastAsia" w:ascii="宋体" w:hAnsi="宋体" w:eastAsia="宋体" w:cs="宋体"/>
                      <w:kern w:val="2"/>
                      <w:sz w:val="21"/>
                      <w:szCs w:val="21"/>
                      <w:lang w:val="en-US" w:eastAsia="zh" w:bidi="ar-SA"/>
                      <w14:ligatures w14:val="standardContextual"/>
                    </w:rPr>
                    <w:t>、中期考核、</w:t>
                  </w:r>
                  <w:r>
                    <w:rPr>
                      <w:rFonts w:hint="eastAsia" w:ascii="宋体" w:hAnsi="宋体" w:eastAsia="宋体" w:cs="宋体"/>
                      <w:kern w:val="2"/>
                      <w:sz w:val="21"/>
                      <w:szCs w:val="21"/>
                      <w:lang w:val="en-US" w:eastAsia="zh-CN" w:bidi="ar-SA"/>
                      <w14:ligatures w14:val="standardContextual"/>
                    </w:rPr>
                    <w:t>成果关联；伦理批件上传；日志记录。</w:t>
                  </w:r>
                  <w:r>
                    <w:rPr>
                      <w:rFonts w:hint="eastAsia" w:ascii="宋体" w:hAnsi="宋体" w:eastAsia="宋体" w:cs="宋体"/>
                      <w:kern w:val="2"/>
                      <w:sz w:val="21"/>
                      <w:szCs w:val="21"/>
                      <w:lang w:val="en-US" w:eastAsia="zh" w:bidi="ar-SA"/>
                      <w14:ligatures w14:val="standardContextual"/>
                    </w:rPr>
                    <w:t>各时间段提醒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6"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横向项目管理</w:t>
                  </w:r>
                </w:p>
              </w:tc>
              <w:tc>
                <w:tcPr>
                  <w:tcW w:w="5474"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项目登记、备案、结题申请、委托单位资料上传、成果清单提取。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6"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院内项目管理</w:t>
                  </w:r>
                </w:p>
              </w:tc>
              <w:tc>
                <w:tcPr>
                  <w:tcW w:w="5474"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申报、科室审核、专家评审、中期考核、结题及过程管理。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6"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临床研究管理</w:t>
                  </w:r>
                </w:p>
              </w:tc>
              <w:tc>
                <w:tcPr>
                  <w:tcW w:w="5474"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备案登记，与国家卫健委系统一致性，学术审查、科学性审查、伦理审查及定期检查。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6"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成果管理</w:t>
                  </w:r>
                </w:p>
              </w:tc>
              <w:tc>
                <w:tcPr>
                  <w:tcW w:w="5474"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论文/著作/专利/获奖/指南共识/成果转化等成果申请、审批、深度标引（作者署名、收录等）。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6"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创新团队管理</w:t>
                  </w:r>
                </w:p>
              </w:tc>
              <w:tc>
                <w:tcPr>
                  <w:tcW w:w="5474"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团队带头人、成员、研究课题管理，成果产出统计与考核。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6"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专家库管理</w:t>
                  </w:r>
                </w:p>
              </w:tc>
              <w:tc>
                <w:tcPr>
                  <w:tcW w:w="5474"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院内/院外专家维护，信息查询，临时账号支持。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6"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在线评审</w:t>
                  </w:r>
                </w:p>
              </w:tc>
              <w:tc>
                <w:tcPr>
                  <w:tcW w:w="5474"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自定义评审流程、打分表，专家在线查看评审内容并打分。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6"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经费管理</w:t>
                  </w:r>
                </w:p>
              </w:tc>
              <w:tc>
                <w:tcPr>
                  <w:tcW w:w="5474"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预算调整/审核、到账登记、报销管理、经费统计、与财务系统对接动态获取。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2266"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科技成果转化</w:t>
                  </w:r>
                </w:p>
              </w:tc>
              <w:tc>
                <w:tcPr>
                  <w:tcW w:w="5474"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成果类别、级别管理及统计分析，管理员增删改查。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6"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学术影响力</w:t>
                  </w:r>
                </w:p>
              </w:tc>
              <w:tc>
                <w:tcPr>
                  <w:tcW w:w="5474"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学术会议、学术任职、期刊任职、合作交流、来院进修等申请与审核流程。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6"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科研绩效考评</w:t>
                  </w:r>
                </w:p>
              </w:tc>
              <w:tc>
                <w:tcPr>
                  <w:tcW w:w="5474"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依据《科研教学工作考评及奖励办法》自动打分、奖励计算、评定科室/个人绩效，数据筛选输出、打印。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6"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进修管理</w:t>
                  </w:r>
                </w:p>
              </w:tc>
              <w:tc>
                <w:tcPr>
                  <w:tcW w:w="5474"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录取报道、岗前教育、进修计划、入科排班、带教记录、教学活动、考勤、出科评价全流程。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66"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统计分析</w:t>
                  </w:r>
                </w:p>
              </w:tc>
              <w:tc>
                <w:tcPr>
                  <w:tcW w:w="5474"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项目/成果统计查询、报表及图形展示（柱状、饼图等），自定义统计模块，个体数据统计。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6"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系统管理</w:t>
                  </w:r>
                </w:p>
              </w:tc>
              <w:tc>
                <w:tcPr>
                  <w:tcW w:w="5474"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组织人员、角色权限、系统日志、快捷菜单、通知公告、  Excel批量导入导出、角色切换。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6"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科研诚信管理</w:t>
                  </w:r>
                </w:p>
              </w:tc>
              <w:tc>
                <w:tcPr>
                  <w:tcW w:w="5474"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个人/科室诚信档案、专家诚信管理、诚信公示。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6"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系统维护自定义</w:t>
                  </w:r>
                </w:p>
              </w:tc>
              <w:tc>
                <w:tcPr>
                  <w:tcW w:w="5474"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菜单、搜索条件、列表录入、流程、履历、报表等自定义配置。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6"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教学与伦理模块</w:t>
                  </w:r>
                </w:p>
              </w:tc>
              <w:tc>
                <w:tcPr>
                  <w:tcW w:w="5474"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保留原有教学工作量、教学任务、伦理审批等功能，不作删减，保障完整运行。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6"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接口及数据共享</w:t>
                  </w:r>
                </w:p>
              </w:tc>
              <w:tc>
                <w:tcPr>
                  <w:tcW w:w="5474" w:type="dxa"/>
                  <w:vAlign w:val="top"/>
                </w:tcPr>
                <w:p>
                  <w:pPr>
                    <w:pStyle w:val="22"/>
                    <w:spacing w:before="152" w:line="187" w:lineRule="auto"/>
                    <w:ind w:left="151"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与统一身份认证、财务系统、人事系统、数据中心对接，提供API接口及数据字典。</w:t>
                  </w:r>
                </w:p>
              </w:tc>
            </w:tr>
          </w:tbl>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（二）功能调整</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1、简化科研成果填写流程：针对临床老师反馈“填写繁琐耗时” ，实现快捷填报、模板导入、智能预填（自动带出科室、作者顺序）、批量编辑及移动端适配，显著提升填报效率。</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2.增加科教奖金计算功能：在现有积分计算基础上，按采购人《科研教学工作考评及奖励办</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法》配置奖金计算规则（系数、单价、科室系数），自动生成个人/科室科教奖金明细及汇总表，支持导出财务系统接口文件。</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3.学术任职：自动匹配是否是采购人认定学协会。 </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4.其他因业务规则微调、报表格式变更、界面易用性优化等小规模需求（单个工作量≤3人日），配合完成与院内财务、人事等系统的数据交互对接，均纳入免费调整范围。</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（三）</w:t>
            </w:r>
            <w:r>
              <w:rPr>
                <w:rFonts w:hint="eastAsia" w:ascii="宋体" w:hAnsi="宋体" w:eastAsia="宋体" w:cs="宋体"/>
                <w:sz w:val="21"/>
                <w:szCs w:val="21"/>
              </w:rPr>
              <w:t>★</w:t>
            </w:r>
            <w:r>
              <w:rPr>
                <w:rFonts w:hint="eastAsia" w:ascii="宋体" w:hAnsi="宋体" w:eastAsia="宋体" w:cs="宋体"/>
                <w:sz w:val="21"/>
                <w:szCs w:val="21"/>
                <w:lang w:val="en-US" w:eastAsia="zh-CN"/>
              </w:rPr>
              <w:t>基础运维需求</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6"/>
              <w:gridCol w:w="5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tcPr>
                <w:p>
                  <w:pPr>
                    <w:pStyle w:val="8"/>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服务项</w:t>
                  </w:r>
                </w:p>
              </w:tc>
              <w:tc>
                <w:tcPr>
                  <w:tcW w:w="5713" w:type="dxa"/>
                </w:tcPr>
                <w:p>
                  <w:pPr>
                    <w:pStyle w:val="8"/>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896" w:type="dxa"/>
                  <w:vAlign w:val="top"/>
                </w:tcPr>
                <w:p>
                  <w:pPr>
                    <w:pStyle w:val="22"/>
                    <w:spacing w:before="151" w:line="188" w:lineRule="auto"/>
                    <w:ind w:left="143"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故障处理</w:t>
                  </w:r>
                </w:p>
              </w:tc>
              <w:tc>
                <w:tcPr>
                  <w:tcW w:w="5713" w:type="dxa"/>
                  <w:vAlign w:val="top"/>
                </w:tcPr>
                <w:p>
                  <w:pPr>
                    <w:pStyle w:val="22"/>
                    <w:keepNext w:val="0"/>
                    <w:keepLines w:val="0"/>
                    <w:pageBreakBefore w:val="0"/>
                    <w:widowControl w:val="0"/>
                    <w:kinsoku/>
                    <w:wordWrap/>
                    <w:overflowPunct/>
                    <w:topLinePunct w:val="0"/>
                    <w:autoSpaceDE/>
                    <w:autoSpaceDN/>
                    <w:bidi w:val="0"/>
                    <w:adjustRightInd/>
                    <w:snapToGrid/>
                    <w:spacing w:before="150" w:line="213" w:lineRule="auto"/>
                    <w:ind w:left="154" w:leftChars="0" w:right="237" w:rightChars="0" w:hanging="13" w:firstLineChars="0"/>
                    <w:textAlignment w:val="auto"/>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紧急故障（系统瘫痪、核心功能不可用） 2小时内修复； 一般故障24小时内解决；系统年可用率≥99.5%。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896" w:type="dxa"/>
                  <w:vAlign w:val="top"/>
                </w:tcPr>
                <w:p>
                  <w:pPr>
                    <w:pStyle w:val="22"/>
                    <w:spacing w:before="152" w:line="208" w:lineRule="auto"/>
                    <w:ind w:left="142" w:leftChars="0" w:right="273" w:righ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巡检与备份</w:t>
                  </w:r>
                </w:p>
              </w:tc>
              <w:tc>
                <w:tcPr>
                  <w:tcW w:w="5713" w:type="dxa"/>
                  <w:vAlign w:val="top"/>
                </w:tcPr>
                <w:p>
                  <w:pPr>
                    <w:pStyle w:val="22"/>
                    <w:keepNext w:val="0"/>
                    <w:keepLines w:val="0"/>
                    <w:pageBreakBefore w:val="0"/>
                    <w:widowControl w:val="0"/>
                    <w:kinsoku/>
                    <w:wordWrap/>
                    <w:overflowPunct/>
                    <w:topLinePunct w:val="0"/>
                    <w:autoSpaceDE/>
                    <w:autoSpaceDN/>
                    <w:bidi w:val="0"/>
                    <w:adjustRightInd/>
                    <w:snapToGrid/>
                    <w:spacing w:before="153" w:line="206" w:lineRule="auto"/>
                    <w:ind w:left="135" w:leftChars="0" w:right="162" w:rightChars="0"/>
                    <w:textAlignment w:val="auto"/>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每季度对系统、数据库、中间件进行巡检；每日增量备份、每周全量备份，每半年演练一次数据恢复。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896" w:type="dxa"/>
                  <w:vAlign w:val="top"/>
                </w:tcPr>
                <w:p>
                  <w:pPr>
                    <w:pStyle w:val="22"/>
                    <w:spacing w:before="157" w:line="187" w:lineRule="auto"/>
                    <w:ind w:left="143"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安全加固</w:t>
                  </w:r>
                </w:p>
              </w:tc>
              <w:tc>
                <w:tcPr>
                  <w:tcW w:w="5713" w:type="dxa"/>
                  <w:vAlign w:val="top"/>
                </w:tcPr>
                <w:p>
                  <w:pPr>
                    <w:pStyle w:val="22"/>
                    <w:keepNext w:val="0"/>
                    <w:keepLines w:val="0"/>
                    <w:pageBreakBefore w:val="0"/>
                    <w:widowControl w:val="0"/>
                    <w:kinsoku/>
                    <w:wordWrap/>
                    <w:overflowPunct/>
                    <w:topLinePunct w:val="0"/>
                    <w:autoSpaceDE/>
                    <w:autoSpaceDN/>
                    <w:bidi w:val="0"/>
                    <w:adjustRightInd/>
                    <w:snapToGrid/>
                    <w:spacing w:before="155" w:line="207" w:lineRule="auto"/>
                    <w:ind w:left="135" w:leftChars="0" w:right="147" w:rightChars="0" w:firstLine="1" w:firstLineChars="0"/>
                    <w:textAlignment w:val="auto"/>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高危漏洞发现后24小时内完成修复，系统具备防篡改、防注入、防口令猜测等安全措施，定期扫描。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896" w:type="dxa"/>
                  <w:vAlign w:val="top"/>
                </w:tcPr>
                <w:p>
                  <w:pPr>
                    <w:pStyle w:val="22"/>
                    <w:spacing w:before="158" w:line="187" w:lineRule="auto"/>
                    <w:ind w:left="144" w:lef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用户支持</w:t>
                  </w:r>
                </w:p>
              </w:tc>
              <w:tc>
                <w:tcPr>
                  <w:tcW w:w="5713" w:type="dxa"/>
                  <w:vAlign w:val="top"/>
                </w:tcPr>
                <w:p>
                  <w:pPr>
                    <w:pStyle w:val="22"/>
                    <w:keepNext w:val="0"/>
                    <w:keepLines w:val="0"/>
                    <w:pageBreakBefore w:val="0"/>
                    <w:widowControl w:val="0"/>
                    <w:kinsoku/>
                    <w:wordWrap/>
                    <w:overflowPunct/>
                    <w:topLinePunct w:val="0"/>
                    <w:autoSpaceDE/>
                    <w:autoSpaceDN/>
                    <w:bidi w:val="0"/>
                    <w:adjustRightInd/>
                    <w:snapToGrid/>
                    <w:spacing w:before="158" w:line="187" w:lineRule="auto"/>
                    <w:ind w:left="135" w:leftChars="0"/>
                    <w:textAlignment w:val="auto"/>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提供7×24小时在线咨询（电话/微信/邮件），每年至少组织1次全院培训及操作手册更新。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896" w:type="dxa"/>
                  <w:vAlign w:val="top"/>
                </w:tcPr>
                <w:p>
                  <w:pPr>
                    <w:pStyle w:val="22"/>
                    <w:spacing w:before="161" w:line="206" w:lineRule="auto"/>
                    <w:ind w:left="143" w:leftChars="0" w:right="273" w:rightChars="0"/>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接口与对接</w:t>
                  </w:r>
                </w:p>
              </w:tc>
              <w:tc>
                <w:tcPr>
                  <w:tcW w:w="5713" w:type="dxa"/>
                  <w:vAlign w:val="top"/>
                </w:tcPr>
                <w:p>
                  <w:pPr>
                    <w:pStyle w:val="22"/>
                    <w:keepNext w:val="0"/>
                    <w:keepLines w:val="0"/>
                    <w:pageBreakBefore w:val="0"/>
                    <w:widowControl w:val="0"/>
                    <w:kinsoku/>
                    <w:wordWrap/>
                    <w:overflowPunct/>
                    <w:topLinePunct w:val="0"/>
                    <w:autoSpaceDE/>
                    <w:autoSpaceDN/>
                    <w:bidi w:val="0"/>
                    <w:adjustRightInd/>
                    <w:snapToGrid/>
                    <w:spacing w:before="158" w:line="188" w:lineRule="auto"/>
                    <w:ind w:left="134" w:leftChars="0"/>
                    <w:textAlignment w:val="auto"/>
                    <w:rPr>
                      <w:rFonts w:hint="eastAsia" w:ascii="宋体" w:hAnsi="宋体" w:eastAsia="宋体" w:cs="宋体"/>
                      <w:kern w:val="2"/>
                      <w:sz w:val="21"/>
                      <w:szCs w:val="21"/>
                      <w:lang w:val="en-US" w:eastAsia="zh-CN" w:bidi="ar-SA"/>
                      <w14:ligatures w14:val="standardContextual"/>
                    </w:rPr>
                  </w:pPr>
                  <w:r>
                    <w:rPr>
                      <w:rFonts w:hint="eastAsia" w:ascii="宋体" w:hAnsi="宋体" w:eastAsia="宋体" w:cs="宋体"/>
                      <w:kern w:val="2"/>
                      <w:sz w:val="21"/>
                      <w:szCs w:val="21"/>
                      <w:lang w:val="en-US" w:eastAsia="zh-CN" w:bidi="ar-SA"/>
                      <w14:ligatures w14:val="standardContextual"/>
                    </w:rPr>
                    <w:t>保障与财务、人事、数据中心等接口稳定性，接口异常2小时内响应并协调解决。</w:t>
                  </w:r>
                </w:p>
              </w:tc>
            </w:tr>
          </w:tbl>
          <w:p>
            <w:pPr>
              <w:pStyle w:val="8"/>
              <w:keepNext w:val="0"/>
              <w:keepLines w:val="0"/>
              <w:pageBreakBefore w:val="0"/>
              <w:widowControl w:val="0"/>
              <w:numPr>
                <w:ilvl w:val="0"/>
                <w:numId w:val="0"/>
              </w:numPr>
              <w:kinsoku/>
              <w:wordWrap/>
              <w:overflowPunct/>
              <w:topLinePunct w:val="0"/>
              <w:autoSpaceDE/>
              <w:autoSpaceDN/>
              <w:bidi w:val="0"/>
              <w:adjustRightInd/>
              <w:snapToGrid w:val="0"/>
              <w:ind w:left="0" w:leftChars="0" w:firstLine="422" w:firstLineChars="200"/>
              <w:textAlignment w:val="auto"/>
              <w:rPr>
                <w:rFonts w:hint="eastAsia" w:ascii="宋体" w:hAnsi="宋体" w:eastAsia="宋体" w:cs="宋体"/>
                <w:b/>
                <w:bCs/>
                <w:sz w:val="21"/>
                <w:szCs w:val="21"/>
                <w:lang w:eastAsia="zh-CN"/>
              </w:rPr>
            </w:pPr>
            <w:r>
              <w:rPr>
                <w:rFonts w:hint="eastAsia" w:ascii="宋体" w:hAnsi="宋体" w:eastAsia="宋体" w:cs="宋体"/>
                <w:b/>
                <w:bCs/>
                <w:kern w:val="2"/>
                <w:sz w:val="21"/>
                <w:szCs w:val="21"/>
                <w:lang w:val="en-US" w:eastAsia="zh-CN" w:bidi="ar-SA"/>
                <w14:ligatures w14:val="standardContextual"/>
              </w:rPr>
              <w:t>六、</w:t>
            </w:r>
            <w:r>
              <w:rPr>
                <w:rFonts w:hint="eastAsia" w:ascii="宋体" w:hAnsi="宋体" w:eastAsia="宋体" w:cs="宋体"/>
                <w:sz w:val="21"/>
                <w:szCs w:val="21"/>
              </w:rPr>
              <w:t>★</w:t>
            </w:r>
            <w:r>
              <w:rPr>
                <w:rFonts w:hint="eastAsia" w:ascii="宋体" w:hAnsi="宋体" w:eastAsia="宋体" w:cs="宋体"/>
                <w:b/>
                <w:bCs/>
                <w:sz w:val="21"/>
                <w:szCs w:val="21"/>
                <w:lang w:eastAsia="zh-CN"/>
              </w:rPr>
              <w:t>人力资源系统运维</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咨询服务：对</w:t>
            </w:r>
            <w:r>
              <w:rPr>
                <w:rFonts w:hint="eastAsia" w:ascii="宋体" w:hAnsi="宋体" w:eastAsia="宋体" w:cs="宋体"/>
                <w:sz w:val="21"/>
                <w:szCs w:val="21"/>
                <w:lang w:val="en-US" w:eastAsia="zh-CN"/>
              </w:rPr>
              <w:t>人力资源</w:t>
            </w:r>
            <w:r>
              <w:rPr>
                <w:rFonts w:hint="eastAsia" w:ascii="宋体" w:hAnsi="宋体" w:eastAsia="宋体" w:cs="宋体"/>
                <w:sz w:val="21"/>
                <w:szCs w:val="21"/>
                <w:lang w:eastAsia="zh-CN"/>
              </w:rPr>
              <w:t>系统操作过程中的咨询、疑问、建议进行解答。</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维护培训：对业务部门人员及主管系统人员进行系统操作、维护培训。</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业务变更：对于系统简单的业务变更，如机构调整、流程、工资账套等。</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巡检服务：每季度</w:t>
            </w:r>
            <w:r>
              <w:rPr>
                <w:rFonts w:hint="eastAsia" w:ascii="宋体" w:hAnsi="宋体" w:eastAsia="宋体" w:cs="宋体"/>
                <w:sz w:val="21"/>
                <w:szCs w:val="21"/>
                <w:lang w:val="en-US" w:eastAsia="zh-CN"/>
              </w:rPr>
              <w:t>巡检</w:t>
            </w:r>
            <w:r>
              <w:rPr>
                <w:rFonts w:hint="eastAsia" w:ascii="宋体" w:hAnsi="宋体" w:eastAsia="宋体" w:cs="宋体"/>
                <w:sz w:val="21"/>
                <w:szCs w:val="21"/>
                <w:lang w:eastAsia="zh-CN"/>
              </w:rPr>
              <w:t>，了解系统模块运行情况，提供常见问题的解决办法，巡检结束后给采购人提供巡检报告。</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故障排除：软件应用过程中出现功能故障时，协助查找、排除软件故障，保证系统功能正常运行。</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软件更新：对程序BUG、程序错误提供定期的修复补丁包服务，定期优化软件功能和性能，在厂商推出同版本的新升级程序后，对采购人系统进行免费升级。</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7、</w:t>
            </w:r>
            <w:r>
              <w:rPr>
                <w:rFonts w:hint="eastAsia" w:ascii="宋体" w:hAnsi="宋体" w:eastAsia="宋体" w:cs="宋体"/>
                <w:sz w:val="21"/>
                <w:szCs w:val="21"/>
                <w:lang w:eastAsia="zh-CN"/>
              </w:rPr>
              <w:t>日常维护：每次维护服务后需建立维护记录并归档。</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8、</w:t>
            </w:r>
            <w:r>
              <w:rPr>
                <w:rFonts w:hint="eastAsia" w:ascii="宋体" w:hAnsi="宋体" w:eastAsia="宋体" w:cs="宋体"/>
                <w:sz w:val="21"/>
                <w:szCs w:val="21"/>
                <w:lang w:eastAsia="zh-CN"/>
              </w:rPr>
              <w:t>应急服务：出现紧急情况时，保证在半小时内启动应急服务，协调安排相关工作人员跟进处理相关紧急情况。提供完整的应急方案，并根据采购人实际情况进行修订。</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9、</w:t>
            </w:r>
            <w:r>
              <w:rPr>
                <w:rFonts w:hint="eastAsia" w:ascii="宋体" w:hAnsi="宋体" w:eastAsia="宋体" w:cs="宋体"/>
                <w:sz w:val="21"/>
                <w:szCs w:val="21"/>
                <w:lang w:eastAsia="zh-CN"/>
              </w:rPr>
              <w:t>应用迁移：协助进行应用迁移，提供必要的支持和指导。</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0" w:leftChars="0" w:firstLine="422" w:firstLineChars="200"/>
              <w:textAlignment w:val="auto"/>
              <w:rPr>
                <w:rFonts w:hint="eastAsia" w:ascii="宋体" w:hAnsi="宋体" w:eastAsia="宋体" w:cs="宋体"/>
                <w:b/>
                <w:bCs/>
                <w:sz w:val="21"/>
                <w:szCs w:val="21"/>
                <w:lang w:eastAsia="zh-CN"/>
              </w:rPr>
            </w:pPr>
            <w:r>
              <w:rPr>
                <w:rFonts w:hint="eastAsia" w:ascii="宋体" w:hAnsi="宋体" w:eastAsia="宋体" w:cs="宋体"/>
                <w:b/>
                <w:bCs/>
                <w:kern w:val="2"/>
                <w:sz w:val="21"/>
                <w:szCs w:val="21"/>
                <w:lang w:val="en-US" w:eastAsia="zh-CN" w:bidi="ar-SA"/>
                <w14:ligatures w14:val="standardContextual"/>
              </w:rPr>
              <w:t>七、</w:t>
            </w:r>
            <w:r>
              <w:rPr>
                <w:rFonts w:hint="eastAsia" w:ascii="宋体" w:hAnsi="宋体" w:eastAsia="宋体" w:cs="宋体"/>
                <w:sz w:val="21"/>
                <w:szCs w:val="21"/>
              </w:rPr>
              <w:t>★</w:t>
            </w:r>
            <w:r>
              <w:rPr>
                <w:rFonts w:hint="eastAsia" w:ascii="宋体" w:hAnsi="宋体" w:eastAsia="宋体" w:cs="宋体"/>
                <w:b/>
                <w:bCs/>
                <w:sz w:val="21"/>
                <w:szCs w:val="21"/>
                <w:lang w:eastAsia="zh-CN"/>
              </w:rPr>
              <w:t>不良事件系统维护</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需要完成</w:t>
            </w:r>
            <w:bookmarkStart w:id="1" w:name="OLE_LINK3"/>
            <w:r>
              <w:rPr>
                <w:rFonts w:hint="eastAsia" w:ascii="宋体" w:hAnsi="宋体" w:eastAsia="宋体" w:cs="宋体"/>
                <w:sz w:val="21"/>
                <w:szCs w:val="21"/>
                <w:lang w:eastAsia="zh-CN"/>
              </w:rPr>
              <w:t>整个不良事件管理系统</w:t>
            </w:r>
            <w:r>
              <w:rPr>
                <w:rFonts w:hint="eastAsia" w:ascii="宋体" w:hAnsi="宋体" w:eastAsia="宋体" w:cs="宋体"/>
                <w:sz w:val="21"/>
                <w:szCs w:val="21"/>
                <w:lang w:val="en-US" w:eastAsia="zh-CN"/>
              </w:rPr>
              <w:t>及</w:t>
            </w:r>
            <w:r>
              <w:rPr>
                <w:rFonts w:hint="eastAsia" w:ascii="宋体" w:hAnsi="宋体" w:eastAsia="宋体" w:cs="宋体"/>
                <w:sz w:val="21"/>
                <w:szCs w:val="21"/>
                <w:lang w:eastAsia="zh-CN"/>
              </w:rPr>
              <w:t>投诉管理系统的维护</w:t>
            </w:r>
            <w:bookmarkEnd w:id="1"/>
            <w:r>
              <w:rPr>
                <w:rFonts w:hint="eastAsia" w:ascii="宋体" w:hAnsi="宋体" w:eastAsia="宋体" w:cs="宋体"/>
                <w:sz w:val="21"/>
                <w:szCs w:val="21"/>
                <w:lang w:eastAsia="zh-CN"/>
              </w:rPr>
              <w:t>，主要维护内容如下：</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1.提供系统咨询服务，包含业务咨询、系统操作咨询。</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提供系统维护服务，包含系统人员维护、事件维护、项目维护、人员维护、流程维护、事件模板和导出列表维护等，当行业政策或采购人需求发生变化，修改软件以适应政策或需求，如调整超出维保范围，双方另行协商。</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3.提供系统巡检服务，定期巡检系统及所在服务器，包含系统运行情况，资源占用情况，系统日志等，如有异常及时通知采购人并处理，如有需要，配合</w:t>
            </w:r>
            <w:r>
              <w:rPr>
                <w:rFonts w:hint="eastAsia" w:ascii="宋体" w:hAnsi="宋体" w:eastAsia="宋体" w:cs="宋体"/>
                <w:sz w:val="21"/>
                <w:szCs w:val="21"/>
                <w:lang w:val="en-US" w:eastAsia="zh-CN"/>
              </w:rPr>
              <w:t>采购人</w:t>
            </w:r>
            <w:r>
              <w:rPr>
                <w:rFonts w:hint="eastAsia" w:ascii="宋体" w:hAnsi="宋体" w:eastAsia="宋体" w:cs="宋体"/>
                <w:sz w:val="21"/>
                <w:szCs w:val="21"/>
                <w:lang w:eastAsia="zh-CN"/>
              </w:rPr>
              <w:t>进行系统迁移及配置服务。</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4.提供系统升级服务，系统有最新版本，征求</w:t>
            </w:r>
            <w:r>
              <w:rPr>
                <w:rFonts w:hint="eastAsia" w:ascii="宋体" w:hAnsi="宋体" w:eastAsia="宋体" w:cs="宋体"/>
                <w:sz w:val="21"/>
                <w:szCs w:val="21"/>
                <w:lang w:val="en-US" w:eastAsia="zh-CN"/>
              </w:rPr>
              <w:t>采购人</w:t>
            </w:r>
            <w:r>
              <w:rPr>
                <w:rFonts w:hint="eastAsia" w:ascii="宋体" w:hAnsi="宋体" w:eastAsia="宋体" w:cs="宋体"/>
                <w:sz w:val="21"/>
                <w:szCs w:val="21"/>
                <w:lang w:eastAsia="zh-CN"/>
              </w:rPr>
              <w:t>同意后，免费更新系统至最新版本。</w:t>
            </w:r>
          </w:p>
          <w:p>
            <w:pPr>
              <w:pStyle w:val="8"/>
              <w:keepNext w:val="0"/>
              <w:keepLines w:val="0"/>
              <w:pageBreakBefore w:val="0"/>
              <w:widowControl w:val="0"/>
              <w:numPr>
                <w:ilvl w:val="0"/>
                <w:numId w:val="0"/>
              </w:numPr>
              <w:kinsoku/>
              <w:wordWrap/>
              <w:overflowPunct/>
              <w:topLinePunct w:val="0"/>
              <w:autoSpaceDE/>
              <w:autoSpaceDN/>
              <w:bidi w:val="0"/>
              <w:adjustRightInd/>
              <w:snapToGrid w:val="0"/>
              <w:ind w:left="0" w:leftChars="0" w:firstLine="422" w:firstLineChars="200"/>
              <w:textAlignment w:val="auto"/>
              <w:rPr>
                <w:rFonts w:hint="eastAsia" w:ascii="宋体" w:hAnsi="宋体" w:eastAsia="宋体" w:cs="宋体"/>
                <w:b/>
                <w:bCs/>
                <w:sz w:val="21"/>
                <w:szCs w:val="21"/>
                <w:lang w:eastAsia="zh-CN"/>
              </w:rPr>
            </w:pPr>
            <w:r>
              <w:rPr>
                <w:rFonts w:hint="eastAsia" w:ascii="宋体" w:hAnsi="宋体" w:eastAsia="宋体" w:cs="宋体"/>
                <w:b/>
                <w:bCs/>
                <w:kern w:val="2"/>
                <w:sz w:val="21"/>
                <w:szCs w:val="21"/>
                <w:lang w:val="en-US" w:eastAsia="zh-CN" w:bidi="ar-SA"/>
                <w14:ligatures w14:val="standardContextual"/>
              </w:rPr>
              <w:t>八、</w:t>
            </w:r>
            <w:r>
              <w:rPr>
                <w:rFonts w:hint="eastAsia" w:ascii="宋体" w:hAnsi="宋体" w:eastAsia="宋体" w:cs="宋体"/>
                <w:sz w:val="21"/>
                <w:szCs w:val="21"/>
              </w:rPr>
              <w:t>★</w:t>
            </w:r>
            <w:r>
              <w:rPr>
                <w:rFonts w:hint="eastAsia" w:ascii="宋体" w:hAnsi="宋体" w:eastAsia="宋体" w:cs="宋体"/>
                <w:b/>
                <w:bCs/>
                <w:sz w:val="21"/>
                <w:szCs w:val="21"/>
                <w:lang w:eastAsia="zh-CN"/>
              </w:rPr>
              <w:t>OA系统运维</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根据要求提供OA办公系统（含移动端＋电脑端）技术支撑、产品缺陷修复、制作安全漏洞补丁以及同系列版本升级服务等，以保证系统稳定、性能最优。</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（一）预防性维护服务</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b/>
            </w:r>
            <w:r>
              <w:rPr>
                <w:rFonts w:hint="eastAsia" w:ascii="宋体" w:hAnsi="宋体" w:eastAsia="宋体" w:cs="宋体"/>
                <w:sz w:val="21"/>
                <w:szCs w:val="21"/>
                <w:lang w:eastAsia="zh-CN"/>
              </w:rPr>
              <w:t>根据系统日常维护服务计划或提供定期预防性维护服务。目的是为了提高系统的稳定性、可靠性与资源分配效率，把系统故障的可能性降低到最低，解系统软件问题，系统保持良好的运行状态。主要内容如下：</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1.季度巡检：对服务器、系统进行现场测试，确保服务器、系统稳定运行,并出具巡检报告。 </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2.服务器管理：对服务器的维护和排错，包括使用管理工具维护服务器、数据库、产品组件配置等。</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（二）纠错性维护</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系统出现错误情况进行维护服务。主要针对运行中的异常情况，如：服务器崩溃、数据库损坏、微信升级移动办公不能使用等情况，目的是及时排除问题，恢复系统的正常运行。</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OA系统运行出现故障（含软硬件环境、安装部署、应用配置、性能、软件包、微信官方升级致移动端不可用等场景），及时排查根因、出具故障排除方案，全程闭环解决问题。若经排查确认故障为软硬件环境类问题（含服务器硬件故障、操作系统/数据库等基础环境异常、网络链路/端口策略异常、第三方配套服务故障等），将配合</w:t>
            </w:r>
            <w:r>
              <w:rPr>
                <w:rFonts w:hint="eastAsia" w:ascii="宋体" w:hAnsi="宋体" w:eastAsia="宋体" w:cs="宋体"/>
                <w:sz w:val="21"/>
                <w:szCs w:val="21"/>
                <w:lang w:val="en-US" w:eastAsia="zh-CN"/>
              </w:rPr>
              <w:t>采购人</w:t>
            </w:r>
            <w:r>
              <w:rPr>
                <w:rFonts w:hint="eastAsia" w:ascii="宋体" w:hAnsi="宋体" w:eastAsia="宋体" w:cs="宋体"/>
                <w:sz w:val="21"/>
                <w:szCs w:val="21"/>
                <w:lang w:eastAsia="zh-CN"/>
              </w:rPr>
              <w:t xml:space="preserve">及第三方团队，提供全流程技术支撑，保障方案落地。 </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针对系统故障，提供故障的问题评估和测评分析报告，提出解决方案和排错步骤，并提供实时解决支撑服务。</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（三）产品缺陷与安全漏洞</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b/>
            </w:r>
            <w:r>
              <w:rPr>
                <w:rFonts w:hint="eastAsia" w:ascii="宋体" w:hAnsi="宋体" w:eastAsia="宋体" w:cs="宋体"/>
                <w:sz w:val="21"/>
                <w:szCs w:val="21"/>
                <w:lang w:eastAsia="zh-CN"/>
              </w:rPr>
              <w:t>1.产品缺陷修复服务：针对前期运行使用中未发现的产品缺陷（含标准产品缺陷和定制化产品缺陷）进行产品缺陷修复，保持产品正常功能使用。</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2.安全漏洞修复服务：针对OA系统出现的安全漏洞，及时制作安全补丁对系统及时修复，防止被黑客攻击。</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3.版本升级服务：在服务期内，免费提供同系列产品的中、小版本升级服务（不包含定制模块）。</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4.定制化产品服务：每年在业务处理阶段，到现场配合</w:t>
            </w:r>
            <w:r>
              <w:rPr>
                <w:rFonts w:hint="eastAsia" w:ascii="宋体" w:hAnsi="宋体" w:eastAsia="宋体" w:cs="宋体"/>
                <w:sz w:val="21"/>
                <w:szCs w:val="21"/>
                <w:lang w:val="en-US" w:eastAsia="zh-CN"/>
              </w:rPr>
              <w:t>采购人</w:t>
            </w:r>
            <w:r>
              <w:rPr>
                <w:rFonts w:hint="eastAsia" w:ascii="宋体" w:hAnsi="宋体" w:eastAsia="宋体" w:cs="宋体"/>
                <w:sz w:val="21"/>
                <w:szCs w:val="21"/>
                <w:lang w:eastAsia="zh-CN"/>
              </w:rPr>
              <w:t>进行业务处理（包含对业务部门的技术指导、培训）；使用过程中有问题到现场沟通处理。</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（四）其它增值服务等</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1.提供系统自助服务：问答中心库，知识库，案例库等，帮助自行查找解决方案，不限次数。</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2.在线课堂：在线课堂根据产品系列分别整理典型培训课程。</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3.培训服务：提供管理员专项技能培训服务。</w:t>
            </w:r>
          </w:p>
          <w:p>
            <w:pPr>
              <w:pStyle w:val="8"/>
              <w:numPr>
                <w:ilvl w:val="0"/>
                <w:numId w:val="0"/>
              </w:numPr>
              <w:ind w:left="0" w:leftChars="0" w:firstLine="420" w:firstLineChars="0"/>
              <w:rPr>
                <w:rFonts w:hint="eastAsia" w:ascii="宋体" w:hAnsi="宋体" w:eastAsia="宋体" w:cs="宋体"/>
                <w:b/>
                <w:bCs/>
                <w:sz w:val="21"/>
                <w:szCs w:val="21"/>
                <w:lang w:eastAsia="zh-CN"/>
              </w:rPr>
            </w:pPr>
            <w:r>
              <w:rPr>
                <w:rFonts w:hint="eastAsia" w:ascii="宋体" w:hAnsi="宋体" w:eastAsia="宋体" w:cs="宋体"/>
                <w:b/>
                <w:bCs/>
                <w:kern w:val="2"/>
                <w:sz w:val="21"/>
                <w:szCs w:val="21"/>
                <w:lang w:val="en-US" w:eastAsia="zh-CN" w:bidi="ar-SA"/>
                <w14:ligatures w14:val="standardContextual"/>
              </w:rPr>
              <w:t>九、</w:t>
            </w:r>
            <w:r>
              <w:rPr>
                <w:rFonts w:hint="eastAsia" w:ascii="宋体" w:hAnsi="宋体" w:eastAsia="宋体" w:cs="宋体"/>
                <w:sz w:val="21"/>
                <w:szCs w:val="21"/>
              </w:rPr>
              <w:t>★</w:t>
            </w:r>
            <w:r>
              <w:rPr>
                <w:rFonts w:hint="eastAsia" w:ascii="宋体" w:hAnsi="宋体" w:eastAsia="宋体" w:cs="宋体"/>
                <w:b/>
                <w:bCs/>
                <w:sz w:val="21"/>
                <w:szCs w:val="21"/>
                <w:lang w:eastAsia="zh-CN"/>
              </w:rPr>
              <w:t>心电网络软件维保</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需要完成整个心电网络系统的维护，主要维护内容如下：</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1.结合国家颁布最新文件要求，及时完善功能模块优化。对在建软件的合理需求进行优化完善。保证升级到最新的软件版本。</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2．产品安装服务，因升级软件版本或其他情况，需要重新安装应用软件及相应设置的服务。</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3．数据传输异常处理服务。处理心电网络系统程序错误导致的数据传输异常；对网络不稳定、代码错误、硬件故障或其他原因导致的医保数据传输失败，协助采购人找到原因并进行处理。</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4、协助</w:t>
            </w:r>
            <w:r>
              <w:rPr>
                <w:rFonts w:hint="eastAsia" w:ascii="宋体" w:hAnsi="宋体" w:eastAsia="宋体" w:cs="宋体"/>
                <w:sz w:val="21"/>
                <w:szCs w:val="21"/>
                <w:lang w:val="en-US" w:eastAsia="zh-CN"/>
              </w:rPr>
              <w:t>采购人</w:t>
            </w:r>
            <w:r>
              <w:rPr>
                <w:rFonts w:hint="eastAsia" w:ascii="宋体" w:hAnsi="宋体" w:eastAsia="宋体" w:cs="宋体"/>
                <w:sz w:val="21"/>
                <w:szCs w:val="21"/>
                <w:lang w:eastAsia="zh-CN"/>
              </w:rPr>
              <w:t>完成自助签到、自助打印功能的相关设置。</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5．操作使用指导服务。为了提升</w:t>
            </w:r>
            <w:r>
              <w:rPr>
                <w:rFonts w:hint="eastAsia" w:ascii="宋体" w:hAnsi="宋体" w:eastAsia="宋体" w:cs="宋体"/>
                <w:sz w:val="21"/>
                <w:szCs w:val="21"/>
                <w:lang w:val="en-US" w:eastAsia="zh-CN"/>
              </w:rPr>
              <w:t>采购人</w:t>
            </w:r>
            <w:r>
              <w:rPr>
                <w:rFonts w:hint="eastAsia" w:ascii="宋体" w:hAnsi="宋体" w:eastAsia="宋体" w:cs="宋体"/>
                <w:sz w:val="21"/>
                <w:szCs w:val="21"/>
                <w:lang w:eastAsia="zh-CN"/>
              </w:rPr>
              <w:t>及临床科室操作人员对心电网络系统的熟习程度，提供相关心电网络系统操作使用的咨询或指导服务。</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6．日常故障处理服务。因</w:t>
            </w:r>
            <w:r>
              <w:rPr>
                <w:rFonts w:hint="eastAsia" w:ascii="宋体" w:hAnsi="宋体" w:eastAsia="宋体" w:cs="宋体"/>
                <w:sz w:val="21"/>
                <w:szCs w:val="21"/>
                <w:lang w:val="en-US" w:eastAsia="zh-CN"/>
              </w:rPr>
              <w:t>采购人</w:t>
            </w:r>
            <w:r>
              <w:rPr>
                <w:rFonts w:hint="eastAsia" w:ascii="宋体" w:hAnsi="宋体" w:eastAsia="宋体" w:cs="宋体"/>
                <w:sz w:val="21"/>
                <w:szCs w:val="21"/>
                <w:lang w:eastAsia="zh-CN"/>
              </w:rPr>
              <w:t>业务要求，对软件进行调整与设置；或因操作失误、程序故障等原因而需提供的故障清除服务。</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7. SQL SERVER 数据库性能优化服务。心电网络系统运行反应速度或吞吐量不能满足需要，对日常业务有一定影响的情况下，或者局部系统反应慢，对数据库当前性能情况进行评价。</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8．数据库安全检查服务。每季度对数据库系统的支撑环境进行检查，找出存在的潜在隐患。</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9．应用服务器安全检查服务。每季度对应用服务器系统的支撑环境进行检查，找出存在的潜在隐患。</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10．重大安全隐患预警通知服务。针对数据安全巡检结果，进行重大安全隐患预警通知服务。</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11．产品相关培训资料服务。通过微信、电子邮件等方式提供产品相关培训资料。</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12．心电网络平台建设资料服务。结合采购人实际情况，提供心电网络平台建设参考资料。</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13．服务问题清单服务。通过微信或电子邮件方式提供当季度的服务问题及产品需求清单。</w:t>
            </w:r>
          </w:p>
          <w:p>
            <w:pPr>
              <w:pStyle w:val="8"/>
              <w:keepNext w:val="0"/>
              <w:keepLines w:val="0"/>
              <w:pageBreakBefore w:val="0"/>
              <w:widowControl w:val="0"/>
              <w:numPr>
                <w:ilvl w:val="0"/>
                <w:numId w:val="0"/>
              </w:numPr>
              <w:kinsoku/>
              <w:wordWrap/>
              <w:overflowPunct/>
              <w:topLinePunct w:val="0"/>
              <w:autoSpaceDE/>
              <w:autoSpaceDN/>
              <w:bidi w:val="0"/>
              <w:adjustRightInd/>
              <w:snapToGrid w:val="0"/>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14.为心电图检查设置可测量值，超出参考范围有明显提示。</w:t>
            </w:r>
          </w:p>
          <w:p>
            <w:pPr>
              <w:pStyle w:val="8"/>
              <w:numPr>
                <w:ilvl w:val="0"/>
                <w:numId w:val="0"/>
              </w:numPr>
              <w:ind w:left="0" w:leftChars="0" w:firstLine="420" w:firstLineChars="0"/>
              <w:rPr>
                <w:rFonts w:hint="eastAsia" w:ascii="宋体" w:hAnsi="宋体" w:eastAsia="宋体" w:cs="宋体"/>
                <w:b/>
                <w:bCs/>
                <w:sz w:val="21"/>
                <w:szCs w:val="21"/>
                <w:lang w:eastAsia="zh-CN"/>
              </w:rPr>
            </w:pPr>
            <w:r>
              <w:rPr>
                <w:rFonts w:hint="eastAsia" w:ascii="宋体" w:hAnsi="宋体" w:eastAsia="宋体" w:cs="宋体"/>
                <w:b/>
                <w:bCs/>
                <w:kern w:val="2"/>
                <w:sz w:val="21"/>
                <w:szCs w:val="21"/>
                <w:lang w:val="en-US" w:eastAsia="zh-CN" w:bidi="ar-SA"/>
                <w14:ligatures w14:val="standardContextual"/>
              </w:rPr>
              <w:t>十、</w:t>
            </w:r>
            <w:r>
              <w:rPr>
                <w:rFonts w:hint="eastAsia" w:ascii="宋体" w:hAnsi="宋体" w:eastAsia="宋体" w:cs="宋体"/>
                <w:sz w:val="21"/>
                <w:szCs w:val="21"/>
                <w:lang w:eastAsia="zh-CN"/>
              </w:rPr>
              <w:t>★</w:t>
            </w:r>
            <w:r>
              <w:rPr>
                <w:rFonts w:hint="eastAsia" w:ascii="宋体" w:hAnsi="宋体" w:eastAsia="宋体" w:cs="宋体"/>
                <w:b/>
                <w:bCs/>
                <w:sz w:val="21"/>
                <w:szCs w:val="21"/>
                <w:lang w:eastAsia="zh-CN"/>
              </w:rPr>
              <w:t>儿童早期发展管理平台维护</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1.</w:t>
            </w:r>
            <w:r>
              <w:rPr>
                <w:rFonts w:hint="eastAsia" w:ascii="宋体" w:hAnsi="宋体" w:eastAsia="宋体" w:cs="宋体"/>
                <w:sz w:val="21"/>
                <w:szCs w:val="21"/>
                <w:lang w:eastAsia="zh-CN"/>
              </w:rPr>
              <w:tab/>
            </w:r>
            <w:r>
              <w:rPr>
                <w:rFonts w:hint="eastAsia" w:ascii="宋体" w:hAnsi="宋体" w:eastAsia="宋体" w:cs="宋体"/>
                <w:sz w:val="21"/>
                <w:szCs w:val="21"/>
                <w:lang w:eastAsia="zh-CN"/>
              </w:rPr>
              <w:t>维护目标针对儿早软件系统，提供维护服务，保证系统全面正常的运行，包括保证软件产品正常运行所需的预防性维护，日常维护支持，查找问题的根源，解决软件产品本身的问题，协助用户解决其他问题，保证系统正常运行。</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2.维护内容</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2.1.系统内置≥500个专业模板维护，支持个性化模板定制。</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2.2.系统内置≥30种专业的儿童心理行为测评工具维护。</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2.3.早产儿、高危儿、体弱儿等≥60种专案管理维护。</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2.4.手机自助建档、预约、测评等功能维护，支持家长手机端接收并查看儿早系统下发的病历和测评报告等体检报告。</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2.5.消息通知相关功能维护：体检短信提醒（微信消息提醒），高危儿短信提醒（微信消息提醒）等功能。</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2.6.采购人的群组配置，实现采购人之间转诊、分级诊疗，上下级采购人数据共享以及上级查看统计所属下级的数据情况。</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2.7.早产儿统计报表、高危儿统计报表、档案统计报表、测评统计等数据报表。</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2.8.基于电子病历技术，支持用户专用模板的快速定制。</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2.9.数据交换相关功能维护：保障内网和儿早服务之间的数据交换。</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2.10.系统对接相关功能维护：从HIS，LIS 中采集数据，减少数据的重复录入。</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2.11.院外管理相关功能维护：减少手工工作量，促进门诊量的增加。</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2.12.输入输出相关功能维护：系统支持刷卡输入，条码扫描输入，等多种输入模式。</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2.13.系统安全相关功能：用户关键信息在数据库中加密存储，减少泄密风险。</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2.14.软件功能升级：含问题修复升级、功能升级等。</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2.15.其他使用中问题答疑，故障定位、修复。</w:t>
            </w:r>
          </w:p>
          <w:p>
            <w:pPr>
              <w:pStyle w:val="8"/>
              <w:numPr>
                <w:ilvl w:val="0"/>
                <w:numId w:val="0"/>
              </w:numPr>
              <w:ind w:left="0" w:leftChars="0" w:firstLine="420" w:firstLineChars="0"/>
              <w:rPr>
                <w:rFonts w:hint="eastAsia" w:ascii="宋体" w:hAnsi="宋体" w:eastAsia="宋体" w:cs="宋体"/>
                <w:b/>
                <w:bCs/>
                <w:sz w:val="21"/>
                <w:szCs w:val="21"/>
                <w:lang w:eastAsia="zh-CN"/>
              </w:rPr>
            </w:pPr>
            <w:r>
              <w:rPr>
                <w:rFonts w:hint="eastAsia" w:ascii="宋体" w:hAnsi="宋体" w:eastAsia="宋体" w:cs="宋体"/>
                <w:b/>
                <w:bCs/>
                <w:kern w:val="2"/>
                <w:sz w:val="21"/>
                <w:szCs w:val="21"/>
                <w:lang w:val="en-US" w:eastAsia="zh-CN" w:bidi="ar-SA"/>
                <w14:ligatures w14:val="standardContextual"/>
              </w:rPr>
              <w:t>十一、</w:t>
            </w:r>
            <w:r>
              <w:rPr>
                <w:rFonts w:hint="eastAsia" w:ascii="宋体" w:hAnsi="宋体" w:eastAsia="宋体" w:cs="宋体"/>
                <w:b/>
                <w:bCs/>
                <w:sz w:val="21"/>
                <w:szCs w:val="21"/>
                <w:lang w:eastAsia="zh-CN"/>
              </w:rPr>
              <w:t>综合报告工作站</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★能够无缝对接采购人现有病理信息系统。</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可查看病例的基本信息、临床诊断信息、大体标本的照片和描述、取材的明细记录等内容。录入镜下所见、病理诊断、免疫组化结果、液基细胞学等诊断报告项目。报告常用词、报告格式自定义功能。使用光学摄像头或带标准TWAIN32接口的数码摄像头，可实时浏览、采集和保存镜下图像，可对图像进行多种处理、测量、标注功能。</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根据登录用户身份，至少可自动提示“我的未审核报告”、“我的未打印报告”、“我的未写报告”、“我的延期报告”、“我的申请复片”、“我的待复片”、“我的收藏夹”、“科内会诊”、“需随访病例”、“我的外借返回病例”列表。</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其他检查里可查看补充报告，查看补充报告时能查看补充报告的镜下所见、特殊检查内容和特检医嘱等内容。在查看病人的历史检查时可浏览对应病理号的镜下图像及取材明细。可查看取材明细列表，在列表中可进行淋巴结转移情况标记，并将标记说明一键快速导入到病理诊断中。在查看取材明细时，碰到任务来源是“冰冻”时，系统自动变为红色进行提示。</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提供完整的冰冻质控管理功能：针对同一病理号（或冰冻号）多次的独立冰冻报告，在发放冰冻报告时系统需保证同一病理号前面的冰冻报告已发放。冰冻超时报告可提示医生进行“迟发原因”的输入，可自定义迟发原因并进行下拉框选择。需提供“冰冻-石蜡”诊断对照功能，可进行冰冻诊断符合率的统计。可进行冰冻制片时间的统计，还可进行冰冻制片超时的统计。可进行术中快速病理诊断及时率的统计（包括多台同时送检且时间在45分钟之内的情况的特殊处理）。</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适应病理报告三级医生负责制，提供定向复片、多级复片功能，初诊意见和复片意见单独保存备查。上级医生可对初诊意见进行结果评价，可以统计复片数和复片准确率。</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7、</w:t>
            </w:r>
            <w:r>
              <w:rPr>
                <w:rFonts w:hint="eastAsia" w:ascii="宋体" w:hAnsi="宋体" w:eastAsia="宋体" w:cs="宋体"/>
                <w:sz w:val="21"/>
                <w:szCs w:val="21"/>
                <w:lang w:eastAsia="zh-CN"/>
              </w:rPr>
              <w:t>针对七类小标本和二十类大标本肿瘤疾病，提供预设好的肿瘤疾病“结构化报告”标准报告模版。采用包括TBS2004在内的多种分级报告系统，用户点选选项即可快速输出液基细胞学报告。</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8、</w:t>
            </w:r>
            <w:r>
              <w:rPr>
                <w:rFonts w:hint="eastAsia" w:ascii="宋体" w:hAnsi="宋体" w:eastAsia="宋体" w:cs="宋体"/>
                <w:sz w:val="21"/>
                <w:szCs w:val="21"/>
                <w:lang w:eastAsia="zh-CN"/>
              </w:rPr>
              <w:t>报告打印时能设置病例库对“阴阳性”“临床符合”“冰冻符合”进行检查，如果无内容不能打印。</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9、</w:t>
            </w:r>
            <w:r>
              <w:rPr>
                <w:rFonts w:hint="eastAsia" w:ascii="宋体" w:hAnsi="宋体" w:eastAsia="宋体" w:cs="宋体"/>
                <w:sz w:val="21"/>
                <w:szCs w:val="21"/>
                <w:lang w:eastAsia="zh-CN"/>
              </w:rPr>
              <w:t>★病理诊断结果冲突监控提示功能：如男性病例出现“宫颈、卵巢等”描述、女性病例出现“阴茎、睾丸等”描述时，系统自动进行弹框提醒。还可对标本名称和病理诊断中左右进行判断，如有冲突，系统将自行弹框提醒。病理诊断结果智能匹配提示功能：用户可自定义特殊词汇和相应提示内容，在病理诊断中出现这些词汇时，系统自动进行弹框提示。病理诊断结果智能预警功能：如病理诊断出现“癌”、 “瘤”、“阳性”，则字体将变红提醒。</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10、</w:t>
            </w:r>
            <w:r>
              <w:rPr>
                <w:rFonts w:hint="eastAsia" w:ascii="宋体" w:hAnsi="宋体" w:eastAsia="宋体" w:cs="宋体"/>
                <w:sz w:val="21"/>
                <w:szCs w:val="21"/>
                <w:lang w:eastAsia="zh-CN"/>
              </w:rPr>
              <w:t>可发出内部医嘱要求，包括重切、深切、补取、免疫组化等，发出的内部医嘱在相应的工作站点上有相应提示，可查看内部医嘱相应的执行情况（医嘱状态）和结果。医生开技术医嘱时，可批量选择蜡块号，来进行批量重切或深切。</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11、</w:t>
            </w:r>
            <w:r>
              <w:rPr>
                <w:rFonts w:hint="eastAsia" w:ascii="宋体" w:hAnsi="宋体" w:eastAsia="宋体" w:cs="宋体"/>
                <w:sz w:val="21"/>
                <w:szCs w:val="21"/>
                <w:lang w:eastAsia="zh-CN"/>
              </w:rPr>
              <w:t>★提供免疫组化预开单及开单审核管理功能。医生开免疫组化医嘱时，如果该住院病人已出院，系统需自动提示。医生开免疫组化医嘱时，系统需显示历史特检医嘱开单信息，系统还会自动匹配本科室已开展的标记物项目，如果无此标记物项目，则系统弹出相关提示并阻止开单。</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12、</w:t>
            </w:r>
            <w:r>
              <w:rPr>
                <w:rFonts w:hint="eastAsia" w:ascii="宋体" w:hAnsi="宋体" w:eastAsia="宋体" w:cs="宋体"/>
                <w:sz w:val="21"/>
                <w:szCs w:val="21"/>
                <w:lang w:eastAsia="zh-CN"/>
              </w:rPr>
              <w:t>提供单独的特检医嘱查询列表，可按照医嘱类型、医嘱状态及申请医生来查找已开免疫组化医嘱的病例，从医嘱查询页双击病理号列或特检号列就能打开这一病例。可将免疫组化结果快速导入到“特殊检查”、“病理诊断”或“补充报告结果”中，导入时可自定义标记物排序。</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12、</w:t>
            </w:r>
            <w:r>
              <w:rPr>
                <w:rFonts w:hint="eastAsia" w:ascii="宋体" w:hAnsi="宋体" w:eastAsia="宋体" w:cs="宋体"/>
                <w:sz w:val="21"/>
                <w:szCs w:val="21"/>
                <w:lang w:eastAsia="zh-CN"/>
              </w:rPr>
              <w:t>★提供同一病理号（或免疫号）不限次数的独立免疫组化补充报告，每一份免疫组化补充报告单独记录报告医生、审核医生、报告时间等项目，每一份免疫组化补充报告可单独进行审核并提供给临床进行查看。补充报告可以单独提交复片或取消提交复片。</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提供报告应发时间管理，用户可自定义不同标本类型对应的报告应发时间，并能自定义接收标本时间分隔点。系统采用特殊颜色来标记“最后一天”、“报告超期”、“报告延期”等报告发放时间状态。</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14、</w:t>
            </w:r>
            <w:r>
              <w:rPr>
                <w:rFonts w:hint="eastAsia" w:ascii="宋体" w:hAnsi="宋体" w:eastAsia="宋体" w:cs="宋体"/>
                <w:sz w:val="21"/>
                <w:szCs w:val="21"/>
                <w:lang w:eastAsia="zh-CN"/>
              </w:rPr>
              <w:t>开免疫组化等内部医嘱时可指定系统进行报告发放时间到期提醒，同时可打印“缓发报告通知单”。内部医嘱状态可自动关联到“缓发报告原因”，并提供给临床进行查看。</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提供常规免疫组化和鉴别诊断类免疫组化自动关联“缓发报告原因”的差异化处理。提供病理报告审核后的“犹豫期”自定义设定，并可自定义设定临床查看审核后的病理报告的“缓冲期”。</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15、</w:t>
            </w:r>
            <w:r>
              <w:rPr>
                <w:rFonts w:hint="eastAsia" w:ascii="宋体" w:hAnsi="宋体" w:eastAsia="宋体" w:cs="宋体"/>
                <w:sz w:val="21"/>
                <w:szCs w:val="21"/>
                <w:lang w:eastAsia="zh-CN"/>
              </w:rPr>
              <w:t>可发出科内会诊申请，系统会自动加入“科内会诊”列表并进行提示，其他医生登录系统后可以快速定位这些会诊病例，可增加、修改、删除自己的科内会诊意见。可对病例进行随访标记，系统会自动加入“需随访病例”列表并进行提示，可录入并保存随访结果，并可继续随访或结束随访。可对感兴趣的病例进行自定义收藏分类管理，系统会自动加入到“我的收藏夹”列表并进行提示，医生可以导出自己的收藏夹病例列表。</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16、</w:t>
            </w:r>
            <w:r>
              <w:rPr>
                <w:rFonts w:hint="eastAsia" w:ascii="宋体" w:hAnsi="宋体" w:eastAsia="宋体" w:cs="宋体"/>
                <w:sz w:val="21"/>
                <w:szCs w:val="21"/>
                <w:lang w:eastAsia="zh-CN"/>
              </w:rPr>
              <w:t>可根据多个条件来组合查询或统计病例、可进行模糊查询或精确查询。可提供“拼音码”来查询姓名。查询或统计出的结果可以导出为EXCEL文件，用户可自定义导出项目字段。可控制每个医生病理报告的查询天数。</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17、</w:t>
            </w:r>
            <w:r>
              <w:rPr>
                <w:rFonts w:hint="eastAsia" w:ascii="宋体" w:hAnsi="宋体" w:eastAsia="宋体" w:cs="宋体"/>
                <w:sz w:val="21"/>
                <w:szCs w:val="21"/>
                <w:lang w:eastAsia="zh-CN"/>
              </w:rPr>
              <w:t>提供按照“部位”、“病名”关键词区分的疾病索引管理，并进行精确的疾病种类统计。提供多种病理科工作量统计报表，包括医生工作量、技师工作量、科室工作量、技术医嘱工作量、特检医嘱工作量、临床送检工作量、外院送检工作量等。提供多种符合率统计报表，包括冰冻诊断符合率、临床诊断符合率、会诊符合率等。 提供多种报告时间统计报表，包括冰冻报告发放时间统计、未发报告统计、超期报告统计、报告实际发放天数统计、报告实际发放天数汇总。</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18、</w:t>
            </w:r>
            <w:r>
              <w:rPr>
                <w:rFonts w:hint="eastAsia" w:ascii="宋体" w:hAnsi="宋体" w:eastAsia="宋体" w:cs="宋体"/>
                <w:sz w:val="21"/>
                <w:szCs w:val="21"/>
                <w:lang w:eastAsia="zh-CN"/>
              </w:rPr>
              <w:t>提供同一病人的“小标本—大标本”或“细胞学—常规”诊断对照功能，并能导出为EXCEL文件。</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19、</w:t>
            </w:r>
            <w:r>
              <w:rPr>
                <w:rFonts w:hint="eastAsia" w:ascii="宋体" w:hAnsi="宋体" w:eastAsia="宋体" w:cs="宋体"/>
                <w:sz w:val="21"/>
                <w:szCs w:val="21"/>
                <w:lang w:eastAsia="zh-CN"/>
              </w:rPr>
              <w:t>★提供报告格式自动扩页功能，以适应内容较多的病理报告或尸检病理报告。可按照病例库权限组来设置不同用户可查看、修改的病例库，以适应不同用户差异化的权限要求。同时，可提供每日病理报告签收单管理，通过扫描病理报告单上的条码，自动按照“病区”或“送检科室”排序整理报告签收单进行打印，用于临床接收病理报告后签字返回病理科进行存档。</w:t>
            </w:r>
          </w:p>
          <w:p>
            <w:pPr>
              <w:pStyle w:val="8"/>
              <w:numPr>
                <w:ilvl w:val="0"/>
                <w:numId w:val="0"/>
              </w:numPr>
              <w:ind w:left="0" w:leftChars="0" w:firstLine="420" w:firstLineChars="0"/>
              <w:rPr>
                <w:rFonts w:hint="eastAsia" w:ascii="宋体" w:hAnsi="宋体" w:eastAsia="宋体" w:cs="宋体"/>
                <w:sz w:val="21"/>
                <w:szCs w:val="21"/>
                <w:lang w:eastAsia="zh-CN"/>
              </w:rPr>
            </w:pPr>
            <w:r>
              <w:rPr>
                <w:rFonts w:hint="eastAsia" w:ascii="宋体" w:hAnsi="宋体" w:eastAsia="宋体" w:cs="宋体"/>
                <w:kern w:val="2"/>
                <w:sz w:val="21"/>
                <w:szCs w:val="21"/>
                <w:lang w:val="en-US" w:eastAsia="zh-CN" w:bidi="ar-SA"/>
                <w14:ligatures w14:val="standardContextual"/>
              </w:rPr>
              <w:t>十二、</w:t>
            </w:r>
            <w:r>
              <w:rPr>
                <w:rFonts w:hint="eastAsia" w:ascii="宋体" w:hAnsi="宋体" w:eastAsia="宋体" w:cs="宋体"/>
                <w:sz w:val="21"/>
                <w:szCs w:val="21"/>
              </w:rPr>
              <w:t>★</w:t>
            </w:r>
            <w:r>
              <w:rPr>
                <w:rFonts w:hint="eastAsia" w:ascii="宋体" w:hAnsi="宋体" w:eastAsia="宋体" w:cs="宋体"/>
                <w:sz w:val="21"/>
                <w:szCs w:val="21"/>
                <w:lang w:eastAsia="zh-CN"/>
              </w:rPr>
              <w:t>病理系统年度维保服务</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（1）为保障系统稳定运行、满足临床诊疗与管理工作需求，现需采购年度维保服务。系统品牌：朗珈。 系统模块/站点数量见下图。</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drawing>
                <wp:inline distT="0" distB="0" distL="114300" distR="114300">
                  <wp:extent cx="4105910" cy="1586230"/>
                  <wp:effectExtent l="0" t="0" r="8890" b="13970"/>
                  <wp:docPr id="1" name="图片 1" descr="f6d3456cb9690fbd0f0460674273f8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6d3456cb9690fbd0f0460674273f80e"/>
                          <pic:cNvPicPr>
                            <a:picLocks noChangeAspect="1"/>
                          </pic:cNvPicPr>
                        </pic:nvPicPr>
                        <pic:blipFill>
                          <a:blip r:embed="rId5"/>
                          <a:stretch>
                            <a:fillRect/>
                          </a:stretch>
                        </pic:blipFill>
                        <pic:spPr>
                          <a:xfrm>
                            <a:off x="0" y="0"/>
                            <a:ext cx="4105910" cy="1586230"/>
                          </a:xfrm>
                          <a:prstGeom prst="rect">
                            <a:avLst/>
                          </a:prstGeom>
                          <a:noFill/>
                          <a:ln>
                            <a:noFill/>
                          </a:ln>
                        </pic:spPr>
                      </pic:pic>
                    </a:graphicData>
                  </a:graphic>
                </wp:inline>
              </w:drawing>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（2）服务内容：响应并处置各类故障、对系统功能进行升级优化、确保系统持续稳定运行；有效保障数据安全；同时提供专业技术培训；确保病理诊断工作高效、合规开展。</w:t>
            </w:r>
          </w:p>
          <w:p>
            <w:pPr>
              <w:pStyle w:val="8"/>
              <w:numPr>
                <w:ilvl w:val="0"/>
                <w:numId w:val="0"/>
              </w:numPr>
              <w:ind w:left="0" w:leftChars="0" w:firstLine="420" w:firstLineChars="0"/>
              <w:rPr>
                <w:rFonts w:hint="eastAsia" w:ascii="宋体" w:hAnsi="宋体" w:eastAsia="宋体" w:cs="宋体"/>
                <w:b/>
                <w:bCs/>
                <w:sz w:val="21"/>
                <w:szCs w:val="21"/>
                <w:lang w:eastAsia="zh-CN"/>
              </w:rPr>
            </w:pPr>
            <w:r>
              <w:rPr>
                <w:rFonts w:hint="eastAsia" w:ascii="宋体" w:hAnsi="宋体" w:eastAsia="宋体" w:cs="宋体"/>
                <w:b/>
                <w:bCs/>
                <w:kern w:val="2"/>
                <w:sz w:val="21"/>
                <w:szCs w:val="21"/>
                <w:lang w:val="en-US" w:eastAsia="zh-CN" w:bidi="ar-SA"/>
                <w14:ligatures w14:val="standardContextual"/>
              </w:rPr>
              <w:t>十三、</w:t>
            </w:r>
            <w:r>
              <w:rPr>
                <w:rFonts w:hint="eastAsia" w:ascii="宋体" w:hAnsi="宋体" w:eastAsia="宋体" w:cs="宋体"/>
                <w:b/>
                <w:bCs/>
                <w:sz w:val="21"/>
                <w:szCs w:val="21"/>
                <w:lang w:eastAsia="zh-CN"/>
              </w:rPr>
              <w:t>官网运维及</w:t>
            </w:r>
            <w:r>
              <w:rPr>
                <w:rFonts w:hint="eastAsia" w:ascii="宋体" w:hAnsi="宋体" w:eastAsia="宋体" w:cs="宋体"/>
                <w:b/>
                <w:bCs/>
                <w:sz w:val="21"/>
                <w:szCs w:val="21"/>
                <w:lang w:val="en-US" w:eastAsia="zh-CN"/>
              </w:rPr>
              <w:t>系统迁移服务</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一</w:t>
            </w:r>
            <w:r>
              <w:rPr>
                <w:rFonts w:hint="eastAsia" w:ascii="宋体" w:hAnsi="宋体" w:eastAsia="宋体" w:cs="宋体"/>
                <w:sz w:val="21"/>
                <w:szCs w:val="21"/>
                <w:lang w:eastAsia="zh-CN"/>
              </w:rPr>
              <w:t>）法规要求</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为切实提升网络和信息安全能力，信息系统应满足国家、行业、医院等安全相关的要求，包括但不限于以下法规（均以最新文号为准）：</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（1）《中华人民共和国网络安全法》</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（2）《关键信息基础设施安全保护条例》</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（3）《中华人民共和国个人信息保护法》</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（4）《移动互联网应用程序信息服务管理规定》</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（5）《生成式人工智能服务管理暂行办法》</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（6）《未成年人网络保护条例》</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（7）《网络数据安全管理条例》</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（8）《个人信息保护合规审计管理办法》</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（9）《中华人民共和国保守国家秘密法》</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（10）《中华人民共和国密码法》</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（11）《网络安全等级保护条例》</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（12）《医疗卫生机构网络安全管理办法》</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（13）《医疗质量安全核心制度要点》</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（14）《国家网络身份认证公共服务管理办法》</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（15）《网络暴力信息治理规定》</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（16）《互联网信息服务管理办法》</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（17）《互联网用户账号信息管理规定》</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（18）《人脸识别技术应用安全管理办法》</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（19）《中华人民共和国数据安全法》</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20</w:t>
            </w:r>
            <w:r>
              <w:rPr>
                <w:rFonts w:hint="eastAsia" w:ascii="宋体" w:hAnsi="宋体" w:eastAsia="宋体" w:cs="宋体"/>
                <w:sz w:val="21"/>
                <w:szCs w:val="21"/>
                <w:lang w:eastAsia="zh-CN"/>
              </w:rPr>
              <w:t>）《信息技术服务</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运行维护</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第8部分：采购人信息系统管理要求》</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二</w:t>
            </w:r>
            <w:r>
              <w:rPr>
                <w:rFonts w:hint="eastAsia" w:ascii="宋体" w:hAnsi="宋体" w:eastAsia="宋体" w:cs="宋体"/>
                <w:sz w:val="21"/>
                <w:szCs w:val="21"/>
                <w:lang w:eastAsia="zh-CN"/>
              </w:rPr>
              <w:t>）技术要求</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1、</w:t>
            </w:r>
            <w:r>
              <w:rPr>
                <w:rFonts w:hint="eastAsia" w:ascii="宋体" w:hAnsi="宋体" w:eastAsia="宋体" w:cs="宋体"/>
                <w:sz w:val="21"/>
                <w:szCs w:val="21"/>
              </w:rPr>
              <w:t>★</w:t>
            </w:r>
            <w:r>
              <w:rPr>
                <w:rFonts w:hint="eastAsia" w:ascii="宋体" w:hAnsi="宋体" w:eastAsia="宋体" w:cs="宋体"/>
                <w:sz w:val="21"/>
                <w:szCs w:val="21"/>
                <w:lang w:eastAsia="zh-CN"/>
              </w:rPr>
              <w:t>本次服务的对象为采购人现有官网（地址为www.fybj.net），系统原开发公司为四川</w:t>
            </w:r>
            <w:r>
              <w:rPr>
                <w:rFonts w:hint="eastAsia" w:ascii="宋体" w:hAnsi="宋体" w:eastAsia="宋体" w:cs="宋体"/>
                <w:sz w:val="21"/>
                <w:szCs w:val="21"/>
                <w:lang w:val="en-US" w:eastAsia="zh-CN"/>
              </w:rPr>
              <w:t>锐</w:t>
            </w:r>
            <w:r>
              <w:rPr>
                <w:rFonts w:hint="eastAsia" w:ascii="宋体" w:hAnsi="宋体" w:eastAsia="宋体" w:cs="宋体"/>
                <w:sz w:val="21"/>
                <w:szCs w:val="21"/>
                <w:lang w:eastAsia="zh-CN"/>
              </w:rPr>
              <w:t>狐网络科技有限公司，系统框架、平台源代码均为该公司自主研发。供应服务商须取得系统开发公司的授权书（由供应商自行获取，如产生相关费用，由供应商自行承担），便于系统维护、故障处理。</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2、</w:t>
            </w:r>
            <w:r>
              <w:rPr>
                <w:rFonts w:hint="eastAsia" w:ascii="宋体" w:hAnsi="宋体" w:eastAsia="宋体" w:cs="宋体"/>
                <w:sz w:val="21"/>
                <w:szCs w:val="21"/>
              </w:rPr>
              <w:t>★</w:t>
            </w:r>
            <w:r>
              <w:rPr>
                <w:rFonts w:hint="eastAsia" w:ascii="宋体" w:hAnsi="宋体" w:eastAsia="宋体" w:cs="宋体"/>
                <w:sz w:val="21"/>
                <w:szCs w:val="21"/>
                <w:lang w:eastAsia="zh-CN"/>
              </w:rPr>
              <w:t>本次服务期间，涉及系统升级、新需求研制、漏洞修复等，若需要原开发公司协助并产生服务费，由供应商自行承担。</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3、</w:t>
            </w:r>
            <w:r>
              <w:rPr>
                <w:rFonts w:hint="eastAsia" w:ascii="宋体" w:hAnsi="宋体" w:eastAsia="宋体" w:cs="宋体"/>
                <w:sz w:val="21"/>
                <w:szCs w:val="21"/>
              </w:rPr>
              <w:t>★</w:t>
            </w:r>
            <w:r>
              <w:rPr>
                <w:rFonts w:hint="eastAsia" w:ascii="宋体" w:hAnsi="宋体" w:eastAsia="宋体" w:cs="宋体"/>
                <w:sz w:val="21"/>
                <w:szCs w:val="21"/>
                <w:lang w:eastAsia="zh-CN"/>
              </w:rPr>
              <w:t>按照采购人信息化建设的整体要求，对系统进行迁移，从现有部署的云上，迁移到采购人统一的资源池中（院内虚拟化平台或者统一规划的运营商云平台），在迁移过程中，须制定完备迁移方案，确保数据的完整性、保密性。</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4、</w:t>
            </w:r>
            <w:r>
              <w:rPr>
                <w:rFonts w:hint="eastAsia" w:ascii="宋体" w:hAnsi="宋体" w:eastAsia="宋体" w:cs="宋体"/>
                <w:sz w:val="21"/>
                <w:szCs w:val="21"/>
              </w:rPr>
              <w:t>★</w:t>
            </w:r>
            <w:r>
              <w:rPr>
                <w:rFonts w:hint="eastAsia" w:ascii="宋体" w:hAnsi="宋体" w:eastAsia="宋体" w:cs="宋体"/>
                <w:sz w:val="21"/>
                <w:szCs w:val="21"/>
                <w:lang w:eastAsia="zh-CN"/>
              </w:rPr>
              <w:t>对系统中所有的静态文件请求地址进行优化，原则上只能请求本地资源，减少攻击风险。</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5、提供域名续费服务，续费期限最少1年。</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三</w:t>
            </w:r>
            <w:r>
              <w:rPr>
                <w:rFonts w:hint="eastAsia" w:ascii="宋体" w:hAnsi="宋体" w:eastAsia="宋体" w:cs="宋体"/>
                <w:sz w:val="21"/>
                <w:szCs w:val="21"/>
                <w:lang w:eastAsia="zh-CN"/>
              </w:rPr>
              <w:t>）</w:t>
            </w:r>
            <w:r>
              <w:rPr>
                <w:rFonts w:hint="eastAsia" w:ascii="宋体" w:hAnsi="宋体" w:eastAsia="宋体" w:cs="宋体"/>
                <w:sz w:val="21"/>
                <w:szCs w:val="21"/>
              </w:rPr>
              <w:t>★</w:t>
            </w:r>
            <w:r>
              <w:rPr>
                <w:rFonts w:hint="eastAsia" w:ascii="宋体" w:hAnsi="宋体" w:eastAsia="宋体" w:cs="宋体"/>
                <w:sz w:val="21"/>
                <w:szCs w:val="21"/>
                <w:lang w:eastAsia="zh-CN"/>
              </w:rPr>
              <w:t>运维安全</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人员安全</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1.1</w:t>
            </w:r>
            <w:r>
              <w:rPr>
                <w:rFonts w:hint="eastAsia" w:ascii="宋体" w:hAnsi="宋体" w:eastAsia="宋体" w:cs="宋体"/>
                <w:sz w:val="21"/>
                <w:szCs w:val="21"/>
                <w:lang w:eastAsia="zh-CN"/>
              </w:rPr>
              <w:t>遵守采购人信息系统管理规定、机房管理规定、应急管理规定、第三方和外包人员管理规定，接受采购人不定期组织的安全培训和考核。</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1.2</w:t>
            </w:r>
            <w:r>
              <w:rPr>
                <w:rFonts w:hint="eastAsia" w:ascii="宋体" w:hAnsi="宋体" w:eastAsia="宋体" w:cs="宋体"/>
                <w:sz w:val="21"/>
                <w:szCs w:val="21"/>
                <w:lang w:eastAsia="zh-CN"/>
              </w:rPr>
              <w:t xml:space="preserve"> 原则上应指派熟悉系统业务功能、熟悉采购人应用环境的工程师进行运维服务，在运维不顺畅的情况下，采购人有权要求投标人更换工程师。</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1.3</w:t>
            </w:r>
            <w:r>
              <w:rPr>
                <w:rFonts w:hint="eastAsia" w:ascii="宋体" w:hAnsi="宋体" w:eastAsia="宋体" w:cs="宋体"/>
                <w:sz w:val="21"/>
                <w:szCs w:val="21"/>
                <w:lang w:eastAsia="zh-CN"/>
              </w:rPr>
              <w:t>所有运维人员应具备无犯罪记录证明，并由中标人不定期开展背景调查。</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数据安全</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2.1</w:t>
            </w:r>
            <w:r>
              <w:rPr>
                <w:rFonts w:hint="eastAsia" w:ascii="宋体" w:hAnsi="宋体" w:eastAsia="宋体" w:cs="宋体"/>
                <w:sz w:val="21"/>
                <w:szCs w:val="21"/>
                <w:lang w:eastAsia="zh-CN"/>
              </w:rPr>
              <w:t xml:space="preserve"> 支撑采购人开展攻防演练、等保测评、供应链检测，并在72小时内完成中高风险的缺陷修复。若系统漏洞导致采购人系统故障或数据泄露，中标运维团队须在 1 小时内启动应急响应预案，3 小时内到达现场（本地运维场景）或远程接管故障系统（异地运维场景），并每 2 小时向采购人通报一次处置进展，直至故障修复。</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2.2</w:t>
            </w:r>
            <w:r>
              <w:rPr>
                <w:rFonts w:hint="eastAsia" w:ascii="宋体" w:hAnsi="宋体" w:eastAsia="宋体" w:cs="宋体"/>
                <w:sz w:val="21"/>
                <w:szCs w:val="21"/>
                <w:lang w:eastAsia="zh-CN"/>
              </w:rPr>
              <w:t>开展业务数据备份恢复工作，每季度不少于一次，并具有完整的操作记录、记录文件，确保数据的安全性、完整性，重要数据丢失不超过2小时。</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2.3</w:t>
            </w:r>
            <w:r>
              <w:rPr>
                <w:rFonts w:hint="eastAsia" w:ascii="宋体" w:hAnsi="宋体" w:eastAsia="宋体" w:cs="宋体"/>
                <w:sz w:val="21"/>
                <w:szCs w:val="21"/>
                <w:lang w:eastAsia="zh-CN"/>
              </w:rPr>
              <w:t>严格控制并采取必要措施对采购人在用系统中所有运行日志、业务数据、系统源代码及其他专有信息、内部管理和其他商业秘密及资料、其他敏感信息等进行保密，不得在未经采购人审批同意下篡改日志、拷贝数据、对外传播。</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2.4</w:t>
            </w:r>
            <w:r>
              <w:rPr>
                <w:rFonts w:hint="eastAsia" w:ascii="宋体" w:hAnsi="宋体" w:eastAsia="宋体" w:cs="宋体"/>
                <w:sz w:val="21"/>
                <w:szCs w:val="21"/>
                <w:lang w:eastAsia="zh-CN"/>
              </w:rPr>
              <w:t>提供数据库采集、统计服务，在采购人有对应系统的数据采集、统计需求时，最迟在1周内提供结果数据。</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2.5</w:t>
            </w:r>
            <w:r>
              <w:rPr>
                <w:rFonts w:hint="eastAsia" w:ascii="宋体" w:hAnsi="宋体" w:eastAsia="宋体" w:cs="宋体"/>
                <w:sz w:val="21"/>
                <w:szCs w:val="21"/>
                <w:lang w:eastAsia="zh-CN"/>
              </w:rPr>
              <w:t>无条件将系统中所有的管理员账号、数据库口令账号、系统部署图、系统吞度量等应用数据以安全的方式告知采购人，并在密码发生变更时第一时间同步给采购人。</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日常安全</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3.1</w:t>
            </w:r>
            <w:r>
              <w:rPr>
                <w:rFonts w:hint="eastAsia" w:ascii="宋体" w:hAnsi="宋体" w:eastAsia="宋体" w:cs="宋体"/>
                <w:sz w:val="21"/>
                <w:szCs w:val="21"/>
                <w:lang w:eastAsia="zh-CN"/>
              </w:rPr>
              <w:t xml:space="preserve"> 常态化安全巡检，每月不少于1次，并在重大节假日前配合采购人做好安全防护、安全巡检等工作以及节假日保障，每月月初5个工作日内提交中标人签字盖章后的上月运维报告。</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3.2</w:t>
            </w:r>
            <w:r>
              <w:rPr>
                <w:rFonts w:hint="eastAsia" w:ascii="宋体" w:hAnsi="宋体" w:eastAsia="宋体" w:cs="宋体"/>
                <w:sz w:val="21"/>
                <w:szCs w:val="21"/>
                <w:lang w:eastAsia="zh-CN"/>
              </w:rPr>
              <w:t>日常技术支撑，对使用过程中出现的技术问题、业务问题进行解答，包括现场服务、7*24小时线上或者电话服务，并在必要时提供培训。</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3.3</w:t>
            </w:r>
            <w:r>
              <w:rPr>
                <w:rFonts w:hint="eastAsia" w:ascii="宋体" w:hAnsi="宋体" w:eastAsia="宋体" w:cs="宋体"/>
                <w:sz w:val="21"/>
                <w:szCs w:val="21"/>
                <w:lang w:eastAsia="zh-CN"/>
              </w:rPr>
              <w:t>定期汇报交流，每季度不少于一次，向采购人对近期的运维情况进行汇报，并对运维困难、前沿技术、业务动态等进行交流。</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3.4</w:t>
            </w:r>
            <w:r>
              <w:rPr>
                <w:rFonts w:hint="eastAsia" w:ascii="宋体" w:hAnsi="宋体" w:eastAsia="宋体" w:cs="宋体"/>
                <w:sz w:val="21"/>
                <w:szCs w:val="21"/>
                <w:lang w:eastAsia="zh-CN"/>
              </w:rPr>
              <w:t xml:space="preserve"> 小微业务</w:t>
            </w:r>
            <w:r>
              <w:rPr>
                <w:rFonts w:hint="eastAsia" w:ascii="宋体" w:hAnsi="宋体" w:eastAsia="宋体" w:cs="宋体"/>
                <w:sz w:val="21"/>
                <w:szCs w:val="21"/>
                <w:lang w:val="en-US" w:eastAsia="zh-CN"/>
              </w:rPr>
              <w:t>(工作量不超过1周)</w:t>
            </w:r>
            <w:r>
              <w:rPr>
                <w:rFonts w:hint="eastAsia" w:ascii="宋体" w:hAnsi="宋体" w:eastAsia="宋体" w:cs="宋体"/>
                <w:sz w:val="21"/>
                <w:szCs w:val="21"/>
                <w:lang w:eastAsia="zh-CN"/>
              </w:rPr>
              <w:t>的调整，对采购人提出的业务优化、交互调整、性能提升等，中标人需在一周内提供改进方案、半月内完成整改，在充分测试验证并报备采购人同意后再开展升级。</w:t>
            </w:r>
          </w:p>
          <w:p>
            <w:pPr>
              <w:pStyle w:val="8"/>
              <w:numPr>
                <w:ilvl w:val="0"/>
                <w:numId w:val="0"/>
              </w:numPr>
              <w:ind w:left="420" w:leftChars="0"/>
              <w:rPr>
                <w:rFonts w:hint="eastAsia" w:ascii="宋体" w:hAnsi="宋体" w:eastAsia="宋体" w:cs="宋体"/>
                <w:sz w:val="21"/>
                <w:szCs w:val="21"/>
                <w:lang w:eastAsia="zh-CN"/>
              </w:rPr>
            </w:pPr>
            <w:r>
              <w:rPr>
                <w:rFonts w:hint="eastAsia" w:ascii="宋体" w:hAnsi="宋体" w:eastAsia="宋体" w:cs="宋体"/>
                <w:sz w:val="21"/>
                <w:szCs w:val="21"/>
                <w:lang w:val="en-US" w:eastAsia="zh-CN"/>
              </w:rPr>
              <w:t>3.5</w:t>
            </w:r>
            <w:r>
              <w:rPr>
                <w:rFonts w:hint="eastAsia" w:ascii="宋体" w:hAnsi="宋体" w:eastAsia="宋体" w:cs="宋体"/>
                <w:sz w:val="21"/>
                <w:szCs w:val="21"/>
                <w:lang w:eastAsia="zh-CN"/>
              </w:rPr>
              <w:t>运维手段合规，在运维过程中，原则上使用采购人提供的VPN+堡垒机的方式进行运维，不得违规接入任何具有存储功能的电子设备，不得对采购人的网络进行探测与破坏，不得携带病毒文件到采购人的各类信息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87" w:type="dxa"/>
            <w:shd w:val="clear" w:color="auto" w:fill="auto"/>
            <w:vAlign w:val="center"/>
          </w:tcPr>
          <w:p>
            <w:pPr>
              <w:widowControl/>
              <w:tabs>
                <w:tab w:val="left" w:pos="3573"/>
              </w:tabs>
              <w:spacing w:line="4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商务要求</w:t>
            </w:r>
          </w:p>
        </w:tc>
        <w:tc>
          <w:tcPr>
            <w:tcW w:w="8037" w:type="dxa"/>
            <w:shd w:val="clear" w:color="auto" w:fill="auto"/>
            <w:vAlign w:val="center"/>
          </w:tcPr>
          <w:p>
            <w:pPr>
              <w:widowControl/>
              <w:tabs>
                <w:tab w:val="left" w:pos="3573"/>
              </w:tabs>
              <w:spacing w:line="440" w:lineRule="exact"/>
              <w:rPr>
                <w:rFonts w:hint="eastAsia" w:ascii="宋体" w:hAnsi="宋体" w:eastAsia="宋体" w:cs="宋体"/>
                <w:sz w:val="21"/>
                <w:szCs w:val="21"/>
              </w:rPr>
            </w:pPr>
            <w:r>
              <w:rPr>
                <w:rFonts w:hint="eastAsia" w:ascii="宋体" w:hAnsi="宋体" w:eastAsia="宋体" w:cs="宋体"/>
                <w:sz w:val="21"/>
                <w:szCs w:val="21"/>
              </w:rPr>
              <w:t>商务要求全为实质性要求。</w:t>
            </w:r>
          </w:p>
          <w:p>
            <w:pPr>
              <w:widowControl/>
              <w:tabs>
                <w:tab w:val="left" w:pos="3573"/>
              </w:tabs>
              <w:spacing w:line="440" w:lineRule="exac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服务</w:t>
            </w:r>
            <w:r>
              <w:rPr>
                <w:rFonts w:hint="eastAsia" w:ascii="宋体" w:hAnsi="宋体" w:eastAsia="宋体" w:cs="宋体"/>
                <w:sz w:val="21"/>
                <w:szCs w:val="21"/>
              </w:rPr>
              <w:t xml:space="preserve">期及地点 </w:t>
            </w:r>
          </w:p>
          <w:p>
            <w:pPr>
              <w:widowControl/>
              <w:tabs>
                <w:tab w:val="left" w:pos="3573"/>
              </w:tabs>
              <w:spacing w:line="440" w:lineRule="exac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服务期限</w:t>
            </w:r>
            <w:r>
              <w:rPr>
                <w:rFonts w:hint="eastAsia" w:ascii="宋体" w:hAnsi="宋体" w:eastAsia="宋体" w:cs="宋体"/>
                <w:sz w:val="21"/>
                <w:szCs w:val="21"/>
              </w:rPr>
              <w:t>：</w:t>
            </w:r>
            <w:r>
              <w:rPr>
                <w:rFonts w:hint="eastAsia" w:ascii="宋体" w:hAnsi="宋体" w:eastAsia="宋体" w:cs="宋体"/>
                <w:sz w:val="21"/>
                <w:szCs w:val="21"/>
                <w:lang w:val="en-US" w:eastAsia="zh-CN"/>
              </w:rPr>
              <w:t>自合同签订生效之日起1年</w:t>
            </w:r>
            <w:r>
              <w:rPr>
                <w:rFonts w:hint="eastAsia" w:ascii="宋体" w:hAnsi="宋体" w:eastAsia="宋体" w:cs="宋体"/>
                <w:sz w:val="21"/>
                <w:szCs w:val="21"/>
              </w:rPr>
              <w:t xml:space="preserve">。 </w:t>
            </w:r>
            <w:bookmarkStart w:id="3" w:name="_GoBack"/>
            <w:bookmarkEnd w:id="3"/>
          </w:p>
          <w:p>
            <w:pPr>
              <w:widowControl/>
              <w:tabs>
                <w:tab w:val="left" w:pos="3573"/>
              </w:tabs>
              <w:spacing w:line="440" w:lineRule="exac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服务</w:t>
            </w:r>
            <w:r>
              <w:rPr>
                <w:rFonts w:hint="eastAsia" w:ascii="宋体" w:hAnsi="宋体" w:eastAsia="宋体" w:cs="宋体"/>
                <w:sz w:val="21"/>
                <w:szCs w:val="21"/>
              </w:rPr>
              <w:t xml:space="preserve">地点： 四川省妇幼保健院 </w:t>
            </w:r>
          </w:p>
          <w:p>
            <w:pPr>
              <w:widowControl/>
              <w:tabs>
                <w:tab w:val="left" w:pos="3573"/>
              </w:tabs>
              <w:spacing w:line="440" w:lineRule="exact"/>
              <w:rPr>
                <w:rFonts w:hint="eastAsia" w:ascii="宋体" w:hAnsi="宋体" w:eastAsia="宋体" w:cs="宋体"/>
                <w:sz w:val="21"/>
                <w:szCs w:val="21"/>
              </w:rPr>
            </w:pPr>
            <w:bookmarkStart w:id="2" w:name="OLE_LINK4"/>
            <w:r>
              <w:rPr>
                <w:rFonts w:hint="eastAsia" w:ascii="宋体" w:hAnsi="宋体" w:eastAsia="宋体" w:cs="宋体"/>
                <w:sz w:val="21"/>
                <w:szCs w:val="21"/>
              </w:rPr>
              <w:t>2.付款方式</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合同签订后，支付合同总金额的40%，一年服务期满且经采购人验收合格后支付合同总金额的60%</w:t>
            </w:r>
            <w:r>
              <w:rPr>
                <w:rFonts w:hint="eastAsia" w:ascii="宋体" w:hAnsi="宋体" w:eastAsia="宋体" w:cs="宋体"/>
                <w:sz w:val="21"/>
                <w:szCs w:val="21"/>
              </w:rPr>
              <w:t>。</w:t>
            </w:r>
            <w:r>
              <w:rPr>
                <w:rFonts w:hint="eastAsia" w:ascii="宋体" w:hAnsi="宋体" w:eastAsia="宋体" w:cs="宋体"/>
                <w:sz w:val="21"/>
                <w:szCs w:val="21"/>
                <w:lang w:val="en-US" w:eastAsia="zh-CN"/>
              </w:rPr>
              <w:t>每次</w:t>
            </w:r>
            <w:r>
              <w:rPr>
                <w:rFonts w:hint="eastAsia" w:ascii="宋体" w:hAnsi="宋体" w:eastAsia="宋体" w:cs="宋体"/>
                <w:sz w:val="21"/>
                <w:szCs w:val="21"/>
              </w:rPr>
              <w:t>款项支付前，</w:t>
            </w:r>
            <w:r>
              <w:rPr>
                <w:rFonts w:hint="eastAsia" w:ascii="宋体" w:hAnsi="宋体" w:eastAsia="宋体" w:cs="宋体"/>
                <w:sz w:val="21"/>
                <w:szCs w:val="21"/>
                <w:lang w:val="en-US" w:eastAsia="zh-CN"/>
              </w:rPr>
              <w:t>中标人</w:t>
            </w:r>
            <w:r>
              <w:rPr>
                <w:rFonts w:hint="eastAsia" w:ascii="宋体" w:hAnsi="宋体" w:eastAsia="宋体" w:cs="宋体"/>
                <w:sz w:val="21"/>
                <w:szCs w:val="21"/>
              </w:rPr>
              <w:t>须开具合法有效</w:t>
            </w:r>
            <w:r>
              <w:rPr>
                <w:rFonts w:hint="eastAsia" w:ascii="宋体" w:hAnsi="宋体" w:eastAsia="宋体" w:cs="宋体"/>
                <w:sz w:val="21"/>
                <w:szCs w:val="21"/>
                <w:lang w:val="en-US" w:eastAsia="zh-CN"/>
              </w:rPr>
              <w:t>等</w:t>
            </w:r>
            <w:r>
              <w:rPr>
                <w:rFonts w:hint="eastAsia" w:ascii="宋体" w:hAnsi="宋体" w:eastAsia="宋体" w:cs="宋体"/>
                <w:sz w:val="21"/>
                <w:szCs w:val="21"/>
              </w:rPr>
              <w:t>额发票，否则</w:t>
            </w:r>
            <w:r>
              <w:rPr>
                <w:rFonts w:hint="eastAsia" w:ascii="宋体" w:hAnsi="宋体" w:eastAsia="宋体" w:cs="宋体"/>
                <w:sz w:val="21"/>
                <w:szCs w:val="21"/>
                <w:lang w:eastAsia="zh-CN"/>
              </w:rPr>
              <w:t>采购人</w:t>
            </w:r>
            <w:r>
              <w:rPr>
                <w:rFonts w:hint="eastAsia" w:ascii="宋体" w:hAnsi="宋体" w:eastAsia="宋体" w:cs="宋体"/>
                <w:sz w:val="21"/>
                <w:szCs w:val="21"/>
              </w:rPr>
              <w:t>有权顺延付款，</w:t>
            </w:r>
            <w:r>
              <w:rPr>
                <w:rFonts w:hint="eastAsia" w:ascii="宋体" w:hAnsi="宋体" w:eastAsia="宋体" w:cs="宋体"/>
                <w:sz w:val="21"/>
                <w:szCs w:val="21"/>
                <w:lang w:val="en-US" w:eastAsia="zh-CN"/>
              </w:rPr>
              <w:t>且</w:t>
            </w:r>
            <w:r>
              <w:rPr>
                <w:rFonts w:hint="eastAsia" w:ascii="宋体" w:hAnsi="宋体" w:eastAsia="宋体" w:cs="宋体"/>
                <w:sz w:val="21"/>
                <w:szCs w:val="21"/>
              </w:rPr>
              <w:t>不承担逾期付款责任。</w:t>
            </w:r>
          </w:p>
          <w:bookmarkEnd w:id="2"/>
          <w:p>
            <w:pPr>
              <w:widowControl/>
              <w:tabs>
                <w:tab w:val="left" w:pos="3573"/>
              </w:tabs>
              <w:spacing w:line="440" w:lineRule="exact"/>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．报价要求</w:t>
            </w:r>
          </w:p>
          <w:p>
            <w:pPr>
              <w:widowControl/>
              <w:tabs>
                <w:tab w:val="left" w:pos="3573"/>
              </w:tabs>
              <w:spacing w:line="440" w:lineRule="exact"/>
              <w:rPr>
                <w:rFonts w:hint="eastAsia" w:ascii="宋体" w:hAnsi="宋体" w:eastAsia="宋体" w:cs="宋体"/>
                <w:sz w:val="21"/>
                <w:szCs w:val="21"/>
              </w:rPr>
            </w:pPr>
            <w:r>
              <w:rPr>
                <w:rFonts w:hint="eastAsia" w:ascii="宋体" w:hAnsi="宋体" w:eastAsia="宋体" w:cs="宋体"/>
                <w:sz w:val="21"/>
                <w:szCs w:val="21"/>
              </w:rPr>
              <w:t>本次报价包含完成本项目的所有费用，采购人不再额外支付任何费用。</w:t>
            </w:r>
          </w:p>
          <w:p>
            <w:pPr>
              <w:widowControl/>
              <w:tabs>
                <w:tab w:val="left" w:pos="3573"/>
              </w:tabs>
              <w:spacing w:line="440" w:lineRule="exact"/>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．验收标准</w:t>
            </w:r>
          </w:p>
          <w:p>
            <w:pPr>
              <w:widowControl/>
              <w:tabs>
                <w:tab w:val="left" w:pos="3573"/>
              </w:tabs>
              <w:spacing w:line="440" w:lineRule="exact"/>
              <w:rPr>
                <w:rFonts w:hint="eastAsia" w:ascii="宋体" w:hAnsi="宋体" w:eastAsia="宋体" w:cs="宋体"/>
                <w:sz w:val="21"/>
                <w:szCs w:val="21"/>
              </w:rPr>
            </w:pPr>
            <w:r>
              <w:rPr>
                <w:rFonts w:hint="eastAsia" w:ascii="宋体" w:hAnsi="宋体" w:eastAsia="宋体" w:cs="宋体"/>
                <w:sz w:val="21"/>
                <w:szCs w:val="21"/>
              </w:rPr>
              <w:t>（1）严格按照《财政部关</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于进一步加强政府采购需求和履约验收管理的指导意见》(财库〔2016〕205 号)的要求进行验收。 </w:t>
            </w:r>
          </w:p>
          <w:p>
            <w:pPr>
              <w:widowControl/>
              <w:tabs>
                <w:tab w:val="left" w:pos="3573"/>
              </w:tabs>
              <w:spacing w:line="440" w:lineRule="exact"/>
              <w:rPr>
                <w:rFonts w:hint="eastAsia" w:ascii="宋体" w:hAnsi="宋体" w:eastAsia="宋体" w:cs="宋体"/>
                <w:sz w:val="21"/>
                <w:szCs w:val="21"/>
              </w:rPr>
            </w:pPr>
            <w:r>
              <w:rPr>
                <w:rFonts w:hint="eastAsia" w:ascii="宋体" w:hAnsi="宋体" w:eastAsia="宋体" w:cs="宋体"/>
                <w:sz w:val="21"/>
                <w:szCs w:val="21"/>
              </w:rPr>
              <w:t>（2）以采购文件技术参数及要求、</w:t>
            </w:r>
            <w:r>
              <w:rPr>
                <w:rFonts w:hint="eastAsia" w:ascii="宋体" w:hAnsi="宋体" w:eastAsia="宋体" w:cs="宋体"/>
                <w:sz w:val="21"/>
                <w:szCs w:val="21"/>
                <w:lang w:val="en-US" w:eastAsia="zh-CN"/>
              </w:rPr>
              <w:t>供应商</w:t>
            </w:r>
            <w:r>
              <w:rPr>
                <w:rFonts w:hint="eastAsia" w:ascii="宋体" w:hAnsi="宋体" w:eastAsia="宋体" w:cs="宋体"/>
                <w:sz w:val="21"/>
                <w:szCs w:val="21"/>
              </w:rPr>
              <w:t>的响应文件及承诺、相关国家或行业标准为准。</w:t>
            </w:r>
          </w:p>
          <w:p>
            <w:pPr>
              <w:widowControl/>
              <w:tabs>
                <w:tab w:val="left" w:pos="3573"/>
              </w:tabs>
              <w:spacing w:line="440" w:lineRule="exact"/>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．服务要求</w:t>
            </w:r>
          </w:p>
          <w:p>
            <w:pPr>
              <w:widowControl/>
              <w:tabs>
                <w:tab w:val="left" w:pos="3573"/>
              </w:tabs>
              <w:spacing w:line="440" w:lineRule="exac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如子模块有明确要求服务响应时间及处理完成时间要求的按具体要求执行；如没有明确，</w:t>
            </w:r>
            <w:r>
              <w:rPr>
                <w:rFonts w:hint="eastAsia" w:ascii="宋体" w:hAnsi="宋体" w:eastAsia="宋体" w:cs="宋体"/>
                <w:sz w:val="21"/>
                <w:szCs w:val="21"/>
              </w:rPr>
              <w:t>服务期内，</w:t>
            </w:r>
            <w:r>
              <w:rPr>
                <w:rFonts w:hint="eastAsia" w:ascii="宋体" w:hAnsi="宋体" w:eastAsia="宋体" w:cs="宋体"/>
                <w:sz w:val="21"/>
                <w:szCs w:val="21"/>
                <w:lang w:val="en-US" w:eastAsia="zh-CN"/>
              </w:rPr>
              <w:t>中标供应商</w:t>
            </w:r>
            <w:r>
              <w:rPr>
                <w:rFonts w:hint="eastAsia" w:ascii="宋体" w:hAnsi="宋体" w:eastAsia="宋体" w:cs="宋体"/>
                <w:sz w:val="21"/>
                <w:szCs w:val="21"/>
              </w:rPr>
              <w:t>在15分钟内电话响应，2小时内到达现场，一般故障4小时内处理完成</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其他故障8小时内处理完成</w:t>
            </w:r>
            <w:r>
              <w:rPr>
                <w:rFonts w:hint="eastAsia" w:ascii="宋体" w:hAnsi="宋体" w:eastAsia="宋体" w:cs="宋体"/>
                <w:sz w:val="21"/>
                <w:szCs w:val="21"/>
              </w:rPr>
              <w:t>。</w:t>
            </w:r>
          </w:p>
          <w:p>
            <w:pPr>
              <w:widowControl/>
              <w:tabs>
                <w:tab w:val="left" w:pos="3573"/>
              </w:tabs>
              <w:spacing w:line="440" w:lineRule="exac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服务期结束后，验收完成前，</w:t>
            </w:r>
            <w:r>
              <w:rPr>
                <w:rFonts w:hint="eastAsia" w:ascii="宋体" w:hAnsi="宋体" w:eastAsia="宋体" w:cs="宋体"/>
                <w:sz w:val="21"/>
                <w:szCs w:val="21"/>
              </w:rPr>
              <w:t>提供年度服务报告。</w:t>
            </w:r>
          </w:p>
          <w:p>
            <w:pPr>
              <w:widowControl/>
              <w:tabs>
                <w:tab w:val="left" w:pos="3573"/>
              </w:tabs>
              <w:spacing w:line="440" w:lineRule="exact"/>
              <w:rPr>
                <w:rFonts w:hint="eastAsia" w:ascii="宋体" w:hAnsi="宋体" w:eastAsia="宋体" w:cs="宋体"/>
                <w:sz w:val="21"/>
                <w:szCs w:val="21"/>
              </w:rPr>
            </w:pPr>
            <w:r>
              <w:rPr>
                <w:rFonts w:hint="eastAsia" w:ascii="宋体" w:hAnsi="宋体" w:eastAsia="宋体" w:cs="宋体"/>
                <w:sz w:val="21"/>
                <w:szCs w:val="21"/>
              </w:rPr>
              <w:t>（3）服务期内，如果因供应商原因造成采购人违反国家卫生行政管理部门或上级相关行政部门的规定被上级部门约谈、通报及处罚等情况发生，采购人有权对供应商进行以下处理：①要求供应商承担采购人实际损失；②同时，每发生一次，要求供应商承担成交金额的5%的违约金；情节严重的，每次供应商需承担成交金额的10%的违约金；③供应商承担损失金额及违约金都将从合同款中扣除，扣除后不足部分由供应商补足。</w:t>
            </w:r>
          </w:p>
          <w:p>
            <w:pPr>
              <w:widowControl/>
              <w:tabs>
                <w:tab w:val="left" w:pos="3573"/>
              </w:tabs>
              <w:spacing w:line="440" w:lineRule="exact"/>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 知识产权</w:t>
            </w:r>
          </w:p>
          <w:p>
            <w:pPr>
              <w:widowControl/>
              <w:tabs>
                <w:tab w:val="left" w:pos="3573"/>
              </w:tabs>
              <w:spacing w:line="440" w:lineRule="exact"/>
              <w:rPr>
                <w:rFonts w:hint="eastAsia" w:ascii="宋体" w:hAnsi="宋体" w:eastAsia="宋体" w:cs="宋体"/>
                <w:sz w:val="21"/>
                <w:szCs w:val="21"/>
                <w:lang w:eastAsia="zh-CN"/>
              </w:rPr>
            </w:pPr>
            <w:r>
              <w:rPr>
                <w:rFonts w:hint="eastAsia" w:ascii="宋体" w:hAnsi="宋体" w:eastAsia="宋体" w:cs="宋体"/>
                <w:sz w:val="21"/>
                <w:szCs w:val="21"/>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合同合作过程中产生的成果知识产权归</w:t>
            </w:r>
            <w:r>
              <w:rPr>
                <w:rFonts w:hint="eastAsia" w:ascii="宋体" w:hAnsi="宋体" w:eastAsia="宋体" w:cs="宋体"/>
                <w:sz w:val="21"/>
                <w:szCs w:val="21"/>
                <w:lang w:val="en-US" w:eastAsia="zh-CN"/>
              </w:rPr>
              <w:t>采购人</w:t>
            </w:r>
            <w:r>
              <w:rPr>
                <w:rFonts w:hint="eastAsia" w:ascii="宋体" w:hAnsi="宋体" w:eastAsia="宋体" w:cs="宋体"/>
                <w:sz w:val="21"/>
                <w:szCs w:val="21"/>
              </w:rPr>
              <w:t>所有</w:t>
            </w:r>
            <w:r>
              <w:rPr>
                <w:rFonts w:hint="eastAsia" w:ascii="宋体" w:hAnsi="宋体" w:eastAsia="宋体" w:cs="宋体"/>
                <w:sz w:val="21"/>
                <w:szCs w:val="21"/>
                <w:lang w:eastAsia="zh-CN"/>
              </w:rPr>
              <w:t>。</w:t>
            </w:r>
          </w:p>
          <w:p>
            <w:pPr>
              <w:widowControl/>
              <w:tabs>
                <w:tab w:val="left" w:pos="3573"/>
              </w:tabs>
              <w:spacing w:line="440" w:lineRule="exac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7、服务期内，根据采购人业务需求，可要求现场驻场服务，平均每月不超过三天。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87" w:type="dxa"/>
            <w:shd w:val="clear" w:color="auto" w:fill="auto"/>
            <w:vAlign w:val="center"/>
          </w:tcPr>
          <w:p>
            <w:pPr>
              <w:widowControl/>
              <w:spacing w:line="4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其他需求</w:t>
            </w:r>
          </w:p>
          <w:p>
            <w:pPr>
              <w:widowControl/>
              <w:tabs>
                <w:tab w:val="left" w:pos="3573"/>
              </w:tabs>
              <w:spacing w:line="440" w:lineRule="exact"/>
              <w:jc w:val="center"/>
              <w:rPr>
                <w:rFonts w:hint="eastAsia" w:ascii="宋体" w:hAnsi="宋体" w:eastAsia="宋体" w:cs="宋体"/>
                <w:color w:val="000000"/>
                <w:sz w:val="21"/>
                <w:szCs w:val="21"/>
              </w:rPr>
            </w:pPr>
          </w:p>
        </w:tc>
        <w:tc>
          <w:tcPr>
            <w:tcW w:w="8037" w:type="dxa"/>
            <w:shd w:val="clear" w:color="auto" w:fill="auto"/>
            <w:vAlign w:val="center"/>
          </w:tcPr>
          <w:p>
            <w:pPr>
              <w:widowControl/>
              <w:tabs>
                <w:tab w:val="left" w:pos="3573"/>
              </w:tabs>
              <w:spacing w:line="440" w:lineRule="exact"/>
              <w:rPr>
                <w:rFonts w:hint="eastAsia" w:ascii="宋体" w:hAnsi="宋体" w:eastAsia="宋体" w:cs="宋体"/>
                <w:sz w:val="21"/>
                <w:szCs w:val="21"/>
              </w:rPr>
            </w:pPr>
            <w:r>
              <w:rPr>
                <w:rFonts w:hint="eastAsia" w:ascii="宋体" w:hAnsi="宋体" w:eastAsia="宋体" w:cs="宋体"/>
                <w:sz w:val="21"/>
                <w:szCs w:val="21"/>
              </w:rPr>
              <w:t>1、在中国境内注册并具有独立法人资格或具有独立民事责任的合法企业；</w:t>
            </w:r>
          </w:p>
          <w:p>
            <w:pPr>
              <w:widowControl/>
              <w:tabs>
                <w:tab w:val="left" w:pos="3573"/>
              </w:tabs>
              <w:spacing w:line="440" w:lineRule="exact"/>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、参会</w:t>
            </w:r>
            <w:r>
              <w:rPr>
                <w:rFonts w:hint="eastAsia" w:ascii="宋体" w:hAnsi="宋体" w:eastAsia="宋体" w:cs="宋体"/>
                <w:sz w:val="21"/>
                <w:szCs w:val="21"/>
                <w:lang w:val="en-US" w:eastAsia="zh-CN"/>
              </w:rPr>
              <w:t>供应商</w:t>
            </w:r>
            <w:r>
              <w:rPr>
                <w:rFonts w:hint="eastAsia" w:ascii="宋体" w:hAnsi="宋体" w:eastAsia="宋体" w:cs="宋体"/>
                <w:sz w:val="21"/>
                <w:szCs w:val="21"/>
              </w:rPr>
              <w:t>应提供以下资料（所有资格文件均需加盖</w:t>
            </w:r>
            <w:r>
              <w:rPr>
                <w:rFonts w:hint="eastAsia" w:ascii="宋体" w:hAnsi="宋体" w:eastAsia="宋体" w:cs="宋体"/>
                <w:sz w:val="21"/>
                <w:szCs w:val="21"/>
                <w:lang w:val="en-US" w:eastAsia="zh-CN"/>
              </w:rPr>
              <w:t>投标人</w:t>
            </w:r>
            <w:r>
              <w:rPr>
                <w:rFonts w:hint="eastAsia" w:ascii="宋体" w:hAnsi="宋体" w:eastAsia="宋体" w:cs="宋体"/>
                <w:sz w:val="21"/>
                <w:szCs w:val="21"/>
              </w:rPr>
              <w:t>鲜章）：</w:t>
            </w:r>
          </w:p>
          <w:p>
            <w:pPr>
              <w:widowControl/>
              <w:tabs>
                <w:tab w:val="left" w:pos="3573"/>
              </w:tabs>
              <w:spacing w:line="440" w:lineRule="exact"/>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有效的营业执照（副本）复印件。</w:t>
            </w:r>
          </w:p>
          <w:p>
            <w:pPr>
              <w:widowControl/>
              <w:tabs>
                <w:tab w:val="left" w:pos="3573"/>
              </w:tabs>
              <w:spacing w:line="440" w:lineRule="exact"/>
              <w:rPr>
                <w:rFonts w:hint="eastAsia" w:ascii="宋体" w:hAnsi="宋体" w:eastAsia="宋体" w:cs="宋体"/>
                <w:sz w:val="21"/>
                <w:szCs w:val="21"/>
              </w:rPr>
            </w:pPr>
            <w:r>
              <w:rPr>
                <w:rFonts w:hint="eastAsia" w:ascii="宋体" w:hAnsi="宋体" w:eastAsia="宋体" w:cs="宋体"/>
                <w:sz w:val="21"/>
                <w:szCs w:val="21"/>
                <w:lang w:val="en-US" w:eastAsia="zh-CN"/>
              </w:rPr>
              <w:t>2.2</w:t>
            </w:r>
            <w:r>
              <w:rPr>
                <w:rFonts w:hint="eastAsia" w:ascii="宋体" w:hAnsi="宋体" w:eastAsia="宋体" w:cs="宋体"/>
                <w:sz w:val="21"/>
                <w:szCs w:val="21"/>
              </w:rPr>
              <w:t>授权参加本次采购活动的</w:t>
            </w:r>
            <w:r>
              <w:rPr>
                <w:rFonts w:hint="eastAsia" w:ascii="宋体" w:hAnsi="宋体" w:eastAsia="宋体" w:cs="宋体"/>
                <w:sz w:val="21"/>
                <w:szCs w:val="21"/>
                <w:lang w:val="en-US" w:eastAsia="zh-CN"/>
              </w:rPr>
              <w:t>供应商</w:t>
            </w:r>
            <w:r>
              <w:rPr>
                <w:rFonts w:hint="eastAsia" w:ascii="宋体" w:hAnsi="宋体" w:eastAsia="宋体" w:cs="宋体"/>
                <w:sz w:val="21"/>
                <w:szCs w:val="21"/>
              </w:rPr>
              <w:t>代表证明。(</w:t>
            </w:r>
            <w:r>
              <w:rPr>
                <w:rFonts w:hint="eastAsia" w:ascii="宋体" w:hAnsi="宋体" w:eastAsia="宋体" w:cs="宋体"/>
                <w:sz w:val="21"/>
                <w:szCs w:val="21"/>
                <w:lang w:val="en-US" w:eastAsia="zh-CN"/>
              </w:rPr>
              <w:t>供应商</w:t>
            </w:r>
            <w:r>
              <w:rPr>
                <w:rFonts w:hint="eastAsia" w:ascii="宋体" w:hAnsi="宋体" w:eastAsia="宋体" w:cs="宋体"/>
                <w:sz w:val="21"/>
                <w:szCs w:val="21"/>
              </w:rPr>
              <w:t>代表为“授权代表”时，提供授权委托书及身份证复印件；</w:t>
            </w:r>
            <w:r>
              <w:rPr>
                <w:rFonts w:hint="eastAsia" w:ascii="宋体" w:hAnsi="宋体" w:eastAsia="宋体" w:cs="宋体"/>
                <w:sz w:val="21"/>
                <w:szCs w:val="21"/>
                <w:lang w:val="en-US" w:eastAsia="zh-CN"/>
              </w:rPr>
              <w:t>供应商</w:t>
            </w:r>
            <w:r>
              <w:rPr>
                <w:rFonts w:hint="eastAsia" w:ascii="宋体" w:hAnsi="宋体" w:eastAsia="宋体" w:cs="宋体"/>
                <w:sz w:val="21"/>
                <w:szCs w:val="21"/>
              </w:rPr>
              <w:t>代表为“法定代表人（单位负责人）”时，提供法定代表人（单位负责人）身份证复印件)</w:t>
            </w:r>
          </w:p>
          <w:p>
            <w:pPr>
              <w:widowControl/>
              <w:tabs>
                <w:tab w:val="left" w:pos="3573"/>
              </w:tabs>
              <w:spacing w:line="440" w:lineRule="exact"/>
              <w:rPr>
                <w:rFonts w:hint="eastAsia" w:ascii="宋体" w:hAnsi="宋体" w:eastAsia="宋体" w:cs="宋体"/>
                <w:sz w:val="21"/>
                <w:szCs w:val="21"/>
              </w:rPr>
            </w:pPr>
            <w:r>
              <w:rPr>
                <w:rFonts w:hint="eastAsia" w:ascii="宋体" w:hAnsi="宋体" w:eastAsia="宋体" w:cs="宋体"/>
                <w:sz w:val="21"/>
                <w:szCs w:val="21"/>
                <w:lang w:val="en-US" w:eastAsia="zh-CN"/>
              </w:rPr>
              <w:t>2.3</w:t>
            </w:r>
            <w:r>
              <w:rPr>
                <w:rFonts w:hint="eastAsia" w:ascii="宋体" w:hAnsi="宋体" w:eastAsia="宋体" w:cs="宋体"/>
                <w:sz w:val="21"/>
                <w:szCs w:val="21"/>
              </w:rPr>
              <w:t>具有良好的商业信誉和健全的财务会计制度，提供承诺函。</w:t>
            </w:r>
          </w:p>
          <w:p>
            <w:pPr>
              <w:widowControl/>
              <w:tabs>
                <w:tab w:val="left" w:pos="3573"/>
              </w:tabs>
              <w:spacing w:line="440" w:lineRule="exact"/>
              <w:rPr>
                <w:rFonts w:hint="eastAsia" w:ascii="宋体" w:hAnsi="宋体" w:eastAsia="宋体" w:cs="宋体"/>
                <w:sz w:val="21"/>
                <w:szCs w:val="21"/>
              </w:rPr>
            </w:pPr>
            <w:r>
              <w:rPr>
                <w:rFonts w:hint="eastAsia" w:ascii="宋体" w:hAnsi="宋体" w:eastAsia="宋体" w:cs="宋体"/>
                <w:sz w:val="21"/>
                <w:szCs w:val="21"/>
                <w:lang w:val="en-US" w:eastAsia="zh-CN"/>
              </w:rPr>
              <w:t>2.4</w:t>
            </w:r>
            <w:r>
              <w:rPr>
                <w:rFonts w:hint="eastAsia" w:ascii="宋体" w:hAnsi="宋体" w:eastAsia="宋体" w:cs="宋体"/>
                <w:sz w:val="21"/>
                <w:szCs w:val="21"/>
              </w:rPr>
              <w:t>具有履行合同所必须的设备和专业技术能力，提供承诺函。</w:t>
            </w:r>
          </w:p>
          <w:p>
            <w:pPr>
              <w:widowControl/>
              <w:tabs>
                <w:tab w:val="left" w:pos="3573"/>
              </w:tabs>
              <w:spacing w:line="440" w:lineRule="exact"/>
              <w:rPr>
                <w:rFonts w:hint="eastAsia" w:ascii="宋体" w:hAnsi="宋体" w:eastAsia="宋体" w:cs="宋体"/>
                <w:sz w:val="21"/>
                <w:szCs w:val="21"/>
              </w:rPr>
            </w:pPr>
            <w:r>
              <w:rPr>
                <w:rFonts w:hint="eastAsia" w:ascii="宋体" w:hAnsi="宋体" w:eastAsia="宋体" w:cs="宋体"/>
                <w:sz w:val="21"/>
                <w:szCs w:val="21"/>
                <w:lang w:val="en-US" w:eastAsia="zh-CN"/>
              </w:rPr>
              <w:t>2.5</w:t>
            </w:r>
            <w:r>
              <w:rPr>
                <w:rFonts w:hint="eastAsia" w:ascii="宋体" w:hAnsi="宋体" w:eastAsia="宋体" w:cs="宋体"/>
                <w:sz w:val="21"/>
                <w:szCs w:val="21"/>
              </w:rPr>
              <w:t>具有依法缴纳税收和社会保障资金的良好记录，提供承诺函。</w:t>
            </w:r>
          </w:p>
          <w:p>
            <w:pPr>
              <w:widowControl/>
              <w:tabs>
                <w:tab w:val="left" w:pos="3573"/>
              </w:tabs>
              <w:spacing w:line="440" w:lineRule="exact"/>
              <w:rPr>
                <w:rFonts w:hint="eastAsia" w:ascii="宋体" w:hAnsi="宋体" w:eastAsia="宋体" w:cs="宋体"/>
                <w:sz w:val="21"/>
                <w:szCs w:val="21"/>
              </w:rPr>
            </w:pPr>
            <w:r>
              <w:rPr>
                <w:rFonts w:hint="eastAsia" w:ascii="宋体" w:hAnsi="宋体" w:eastAsia="宋体" w:cs="宋体"/>
                <w:sz w:val="21"/>
                <w:szCs w:val="21"/>
                <w:lang w:val="en-US" w:eastAsia="zh-CN"/>
              </w:rPr>
              <w:t>2.6</w:t>
            </w:r>
            <w:r>
              <w:rPr>
                <w:rFonts w:hint="eastAsia" w:ascii="宋体" w:hAnsi="宋体" w:eastAsia="宋体" w:cs="宋体"/>
                <w:sz w:val="21"/>
                <w:szCs w:val="21"/>
              </w:rPr>
              <w:t>参加本次采购活动前三年内，在经营活动中没有重大违法记录；没有因安全事故、质量事故、违规等被政府有关部门记录，提供承诺函。</w:t>
            </w:r>
          </w:p>
          <w:p>
            <w:pPr>
              <w:widowControl/>
              <w:tabs>
                <w:tab w:val="left" w:pos="3573"/>
              </w:tabs>
              <w:spacing w:line="440" w:lineRule="exact"/>
              <w:rPr>
                <w:rFonts w:hint="eastAsia" w:ascii="宋体" w:hAnsi="宋体" w:eastAsia="宋体" w:cs="宋体"/>
                <w:color w:val="000000"/>
                <w:sz w:val="21"/>
                <w:szCs w:val="21"/>
              </w:rPr>
            </w:pPr>
            <w:r>
              <w:rPr>
                <w:rFonts w:hint="eastAsia" w:ascii="宋体" w:hAnsi="宋体" w:eastAsia="宋体" w:cs="宋体"/>
                <w:sz w:val="21"/>
                <w:szCs w:val="21"/>
                <w:lang w:val="en-US" w:eastAsia="zh-CN"/>
              </w:rPr>
              <w:t>2.7</w:t>
            </w:r>
            <w:r>
              <w:rPr>
                <w:rFonts w:hint="eastAsia" w:ascii="宋体" w:hAnsi="宋体" w:eastAsia="宋体" w:cs="宋体"/>
                <w:sz w:val="21"/>
                <w:szCs w:val="21"/>
              </w:rPr>
              <w:t>供应商负责人为同一人或者存在控股、管理关系的不同单位，均视为同一参会供应商，不得重复参加采购，提供承诺函。</w:t>
            </w:r>
          </w:p>
        </w:tc>
      </w:tr>
    </w:tbl>
    <w:p>
      <w:pPr>
        <w:rPr>
          <w:rFonts w:hint="eastAsia" w:ascii="仿宋" w:hAnsi="仿宋" w:eastAsia="仿宋" w:cs="仿宋"/>
          <w:b w:val="0"/>
          <w:bCs/>
          <w:i w:val="0"/>
          <w:caps w:val="0"/>
          <w:color w:val="000000"/>
          <w:spacing w:val="0"/>
          <w:sz w:val="28"/>
          <w:szCs w:val="28"/>
          <w:highlight w:val="none"/>
          <w:shd w:val="clear" w:fill="FFFFFF"/>
          <w:lang w:val="en-US" w:eastAsia="zh-CN"/>
        </w:rPr>
      </w:pPr>
      <w:r>
        <w:rPr>
          <w:rFonts w:hint="eastAsia" w:ascii="仿宋" w:hAnsi="仿宋" w:eastAsia="仿宋" w:cs="仿宋"/>
          <w:b w:val="0"/>
          <w:bCs/>
          <w:i w:val="0"/>
          <w:caps w:val="0"/>
          <w:color w:val="000000"/>
          <w:spacing w:val="0"/>
          <w:sz w:val="28"/>
          <w:szCs w:val="28"/>
          <w:highlight w:val="none"/>
          <w:shd w:val="clear" w:fill="FFFFFF"/>
          <w:lang w:val="en-US" w:eastAsia="zh-CN"/>
        </w:rPr>
        <w:br w:type="page"/>
      </w:r>
    </w:p>
    <w:p>
      <w:pPr>
        <w:pStyle w:val="5"/>
        <w:keepNext w:val="0"/>
        <w:keepLines w:val="0"/>
        <w:pageBreakBefore w:val="0"/>
        <w:numPr>
          <w:ilvl w:val="0"/>
          <w:numId w:val="0"/>
        </w:numPr>
        <w:kinsoku/>
        <w:wordWrap/>
        <w:overflowPunct/>
        <w:topLinePunct w:val="0"/>
        <w:autoSpaceDE/>
        <w:autoSpaceDN/>
        <w:bidi w:val="0"/>
        <w:spacing w:line="400" w:lineRule="exact"/>
        <w:outlineLvl w:val="0"/>
        <w:rPr>
          <w:rFonts w:hint="eastAsia" w:ascii="仿宋" w:hAnsi="仿宋" w:eastAsia="仿宋" w:cs="仿宋"/>
          <w:b w:val="0"/>
          <w:bCs/>
          <w:i w:val="0"/>
          <w:caps w:val="0"/>
          <w:color w:val="000000"/>
          <w:spacing w:val="0"/>
          <w:sz w:val="28"/>
          <w:szCs w:val="28"/>
          <w:highlight w:val="none"/>
          <w:shd w:val="clear" w:fill="FFFFFF"/>
        </w:rPr>
      </w:pPr>
      <w:r>
        <w:rPr>
          <w:rFonts w:hint="eastAsia" w:ascii="仿宋" w:hAnsi="仿宋" w:eastAsia="仿宋" w:cs="仿宋"/>
          <w:b w:val="0"/>
          <w:bCs/>
          <w:i w:val="0"/>
          <w:caps w:val="0"/>
          <w:color w:val="000000"/>
          <w:spacing w:val="0"/>
          <w:sz w:val="28"/>
          <w:szCs w:val="28"/>
          <w:highlight w:val="none"/>
          <w:shd w:val="clear" w:fill="FFFFFF"/>
          <w:lang w:val="en-US" w:eastAsia="zh-CN"/>
        </w:rPr>
        <w:t>附件2：</w:t>
      </w:r>
      <w:r>
        <w:rPr>
          <w:rFonts w:hint="eastAsia" w:ascii="仿宋" w:hAnsi="仿宋" w:eastAsia="仿宋" w:cs="仿宋"/>
          <w:b w:val="0"/>
          <w:bCs/>
          <w:i w:val="0"/>
          <w:caps w:val="0"/>
          <w:color w:val="000000"/>
          <w:spacing w:val="0"/>
          <w:sz w:val="28"/>
          <w:szCs w:val="28"/>
          <w:highlight w:val="none"/>
          <w:shd w:val="clear" w:fill="FFFFFF"/>
        </w:rPr>
        <w:t>评审办法</w:t>
      </w:r>
    </w:p>
    <w:tbl>
      <w:tblPr>
        <w:tblStyle w:val="12"/>
        <w:tblW w:w="8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1120"/>
        <w:gridCol w:w="1899"/>
        <w:gridCol w:w="2997"/>
        <w:gridCol w:w="12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shd w:val="clear" w:color="auto" w:fill="auto"/>
            <w:vAlign w:val="center"/>
          </w:tcPr>
          <w:p>
            <w:pPr>
              <w:wordWrap w:val="0"/>
              <w:overflowPunct w:val="0"/>
              <w:topLinePunct/>
              <w:spacing w:line="440" w:lineRule="exact"/>
              <w:jc w:val="center"/>
              <w:textAlignment w:val="center"/>
              <w:rPr>
                <w:rFonts w:hint="eastAsia" w:ascii="黑体" w:hAnsi="黑体" w:eastAsia="黑体"/>
                <w:color w:val="000000"/>
                <w:sz w:val="24"/>
                <w:szCs w:val="24"/>
              </w:rPr>
            </w:pPr>
            <w:r>
              <w:rPr>
                <w:rFonts w:hint="eastAsia" w:ascii="仿宋" w:hAnsi="仿宋" w:eastAsia="仿宋" w:cs="仿宋"/>
                <w:b/>
                <w:sz w:val="24"/>
                <w:szCs w:val="24"/>
              </w:rPr>
              <w:t>序号</w:t>
            </w:r>
          </w:p>
        </w:tc>
        <w:tc>
          <w:tcPr>
            <w:tcW w:w="1120" w:type="dxa"/>
            <w:shd w:val="clear" w:color="auto" w:fill="auto"/>
            <w:vAlign w:val="center"/>
          </w:tcPr>
          <w:p>
            <w:pPr>
              <w:wordWrap w:val="0"/>
              <w:overflowPunct w:val="0"/>
              <w:topLinePunct/>
              <w:spacing w:line="440" w:lineRule="exact"/>
              <w:jc w:val="center"/>
              <w:textAlignment w:val="center"/>
              <w:rPr>
                <w:rFonts w:hint="eastAsia" w:ascii="黑体" w:hAnsi="黑体" w:eastAsia="黑体"/>
                <w:color w:val="000000"/>
                <w:sz w:val="24"/>
                <w:szCs w:val="24"/>
              </w:rPr>
            </w:pPr>
            <w:r>
              <w:rPr>
                <w:rFonts w:hint="eastAsia" w:ascii="仿宋" w:hAnsi="仿宋" w:eastAsia="仿宋" w:cs="仿宋"/>
                <w:b/>
                <w:sz w:val="24"/>
                <w:szCs w:val="24"/>
              </w:rPr>
              <w:t>评分因素</w:t>
            </w:r>
          </w:p>
        </w:tc>
        <w:tc>
          <w:tcPr>
            <w:tcW w:w="1899" w:type="dxa"/>
            <w:shd w:val="clear" w:color="auto" w:fill="auto"/>
            <w:vAlign w:val="center"/>
          </w:tcPr>
          <w:p>
            <w:pPr>
              <w:wordWrap w:val="0"/>
              <w:overflowPunct w:val="0"/>
              <w:topLinePunct/>
              <w:spacing w:line="440" w:lineRule="exact"/>
              <w:jc w:val="center"/>
              <w:textAlignment w:val="center"/>
              <w:rPr>
                <w:rFonts w:hint="eastAsia" w:ascii="黑体" w:hAnsi="黑体" w:eastAsia="黑体"/>
                <w:color w:val="000000"/>
                <w:sz w:val="24"/>
                <w:szCs w:val="24"/>
              </w:rPr>
            </w:pPr>
            <w:r>
              <w:rPr>
                <w:rFonts w:hint="eastAsia" w:ascii="仿宋" w:hAnsi="仿宋" w:eastAsia="仿宋" w:cs="仿宋"/>
                <w:b/>
                <w:sz w:val="24"/>
                <w:szCs w:val="24"/>
              </w:rPr>
              <w:t>分值</w:t>
            </w:r>
          </w:p>
        </w:tc>
        <w:tc>
          <w:tcPr>
            <w:tcW w:w="2997" w:type="dxa"/>
            <w:shd w:val="clear" w:color="auto" w:fill="auto"/>
            <w:vAlign w:val="center"/>
          </w:tcPr>
          <w:p>
            <w:pPr>
              <w:wordWrap w:val="0"/>
              <w:overflowPunct w:val="0"/>
              <w:topLinePunct/>
              <w:spacing w:line="440" w:lineRule="exact"/>
              <w:jc w:val="center"/>
              <w:textAlignment w:val="center"/>
              <w:rPr>
                <w:rFonts w:hint="eastAsia" w:ascii="仿宋" w:hAnsi="仿宋" w:eastAsia="仿宋" w:cs="仿宋"/>
                <w:b/>
                <w:sz w:val="24"/>
                <w:szCs w:val="24"/>
              </w:rPr>
            </w:pPr>
            <w:r>
              <w:rPr>
                <w:rFonts w:hint="eastAsia" w:ascii="仿宋" w:hAnsi="仿宋" w:eastAsia="仿宋" w:cs="仿宋"/>
                <w:b/>
                <w:sz w:val="24"/>
                <w:szCs w:val="24"/>
              </w:rPr>
              <w:t>评分标准</w:t>
            </w:r>
          </w:p>
        </w:tc>
        <w:tc>
          <w:tcPr>
            <w:tcW w:w="1291" w:type="dxa"/>
            <w:shd w:val="clear" w:color="auto" w:fill="auto"/>
            <w:vAlign w:val="center"/>
          </w:tcPr>
          <w:p>
            <w:pPr>
              <w:wordWrap w:val="0"/>
              <w:overflowPunct w:val="0"/>
              <w:topLinePunct/>
              <w:spacing w:line="440" w:lineRule="exact"/>
              <w:jc w:val="center"/>
              <w:textAlignment w:val="center"/>
              <w:rPr>
                <w:rFonts w:hint="eastAsia" w:ascii="仿宋" w:hAnsi="仿宋" w:eastAsia="仿宋" w:cs="仿宋"/>
                <w:b/>
                <w:sz w:val="24"/>
                <w:szCs w:val="24"/>
              </w:rPr>
            </w:pPr>
            <w:r>
              <w:rPr>
                <w:rFonts w:hint="eastAsia" w:ascii="仿宋" w:hAnsi="仿宋" w:eastAsia="仿宋" w:cs="仿宋"/>
                <w:b/>
                <w:sz w:val="24"/>
                <w:szCs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shd w:val="clear" w:color="auto" w:fill="auto"/>
            <w:vAlign w:val="center"/>
          </w:tcPr>
          <w:p>
            <w:pPr>
              <w:wordWrap w:val="0"/>
              <w:overflowPunct w:val="0"/>
              <w:topLinePunct/>
              <w:spacing w:line="440" w:lineRule="exact"/>
              <w:jc w:val="center"/>
              <w:textAlignment w:val="center"/>
              <w:rPr>
                <w:rFonts w:hint="eastAsia" w:ascii="仿宋" w:hAnsi="仿宋" w:eastAsia="仿宋" w:cs="仿宋"/>
                <w:b/>
                <w:kern w:val="2"/>
                <w:sz w:val="24"/>
                <w:szCs w:val="24"/>
                <w:lang w:val="en-US" w:eastAsia="zh-CN" w:bidi="ar-SA"/>
                <w14:ligatures w14:val="none"/>
              </w:rPr>
            </w:pPr>
            <w:r>
              <w:rPr>
                <w:rFonts w:hint="eastAsia" w:ascii="宋体" w:hAnsi="宋体" w:cs="宋体"/>
                <w:sz w:val="24"/>
              </w:rPr>
              <w:t>1</w:t>
            </w:r>
          </w:p>
        </w:tc>
        <w:tc>
          <w:tcPr>
            <w:tcW w:w="1120" w:type="dxa"/>
            <w:shd w:val="clear" w:color="auto" w:fill="auto"/>
            <w:vAlign w:val="center"/>
          </w:tcPr>
          <w:p>
            <w:pPr>
              <w:spacing w:line="360" w:lineRule="auto"/>
              <w:ind w:firstLine="28" w:firstLineChars="0"/>
              <w:jc w:val="center"/>
              <w:rPr>
                <w:rFonts w:hint="eastAsia" w:ascii="宋体" w:hAnsi="宋体" w:eastAsia="宋体" w:cs="Times New Roman"/>
                <w:kern w:val="2"/>
                <w:sz w:val="20"/>
                <w:szCs w:val="20"/>
                <w:lang w:val="en-US" w:eastAsia="zh-CN" w:bidi="ar-SA"/>
                <w14:ligatures w14:val="none"/>
              </w:rPr>
            </w:pPr>
            <w:r>
              <w:rPr>
                <w:rFonts w:hint="eastAsia" w:ascii="宋体" w:hAnsi="宋体" w:cs="宋体"/>
                <w:sz w:val="24"/>
                <w:lang w:val="en-US" w:eastAsia="zh-CN"/>
              </w:rPr>
              <w:t>投标</w:t>
            </w:r>
            <w:r>
              <w:rPr>
                <w:rFonts w:hint="eastAsia" w:ascii="宋体" w:hAnsi="宋体" w:cs="宋体"/>
                <w:sz w:val="24"/>
              </w:rPr>
              <w:t>报价</w:t>
            </w:r>
          </w:p>
        </w:tc>
        <w:tc>
          <w:tcPr>
            <w:tcW w:w="1899" w:type="dxa"/>
            <w:shd w:val="clear" w:color="auto" w:fill="auto"/>
            <w:vAlign w:val="center"/>
          </w:tcPr>
          <w:p>
            <w:pPr>
              <w:wordWrap w:val="0"/>
              <w:overflowPunct w:val="0"/>
              <w:topLinePunct/>
              <w:spacing w:line="440" w:lineRule="exact"/>
              <w:jc w:val="left"/>
              <w:textAlignment w:val="center"/>
              <w:rPr>
                <w:rFonts w:hint="eastAsia" w:ascii="宋体" w:hAnsi="宋体" w:eastAsia="宋体" w:cs="Times New Roman"/>
                <w:kern w:val="2"/>
                <w:sz w:val="20"/>
                <w:szCs w:val="20"/>
                <w:lang w:val="en-US" w:eastAsia="zh-CN" w:bidi="ar-SA"/>
                <w14:ligatures w14:val="none"/>
              </w:rPr>
            </w:pPr>
            <w:r>
              <w:rPr>
                <w:rFonts w:hint="eastAsia" w:ascii="宋体" w:hAnsi="宋体" w:cs="宋体"/>
                <w:sz w:val="24"/>
              </w:rPr>
              <w:t>2</w:t>
            </w:r>
            <w:r>
              <w:rPr>
                <w:rFonts w:hint="eastAsia" w:ascii="宋体" w:hAnsi="宋体" w:cs="宋体"/>
                <w:sz w:val="24"/>
                <w:lang w:val="en-US" w:eastAsia="zh-CN"/>
              </w:rPr>
              <w:t>0</w:t>
            </w:r>
            <w:r>
              <w:rPr>
                <w:rFonts w:hint="eastAsia" w:ascii="宋体" w:hAnsi="宋体" w:cs="宋体"/>
                <w:sz w:val="24"/>
              </w:rPr>
              <w:t>分</w:t>
            </w:r>
          </w:p>
        </w:tc>
        <w:tc>
          <w:tcPr>
            <w:tcW w:w="2997" w:type="dxa"/>
            <w:shd w:val="clear" w:color="auto" w:fill="auto"/>
            <w:vAlign w:val="center"/>
          </w:tcPr>
          <w:p>
            <w:pPr>
              <w:wordWrap w:val="0"/>
              <w:overflowPunct w:val="0"/>
              <w:topLinePunct/>
              <w:spacing w:line="440" w:lineRule="exact"/>
              <w:jc w:val="left"/>
              <w:textAlignment w:val="center"/>
              <w:rPr>
                <w:rFonts w:hint="eastAsia" w:ascii="仿宋" w:hAnsi="仿宋" w:eastAsia="仿宋" w:cs="仿宋"/>
                <w:b/>
                <w:kern w:val="2"/>
                <w:sz w:val="24"/>
                <w:szCs w:val="24"/>
                <w:lang w:val="en-US" w:eastAsia="zh-CN" w:bidi="ar-SA"/>
                <w14:ligatures w14:val="none"/>
              </w:rPr>
            </w:pPr>
            <w:r>
              <w:rPr>
                <w:rFonts w:hint="eastAsia" w:ascii="宋体" w:hAnsi="宋体" w:cs="宋体"/>
                <w:color w:val="000000"/>
                <w:sz w:val="24"/>
              </w:rPr>
              <w:t>满足</w:t>
            </w:r>
            <w:r>
              <w:rPr>
                <w:rFonts w:hint="eastAsia" w:ascii="宋体" w:hAnsi="宋体" w:cs="宋体"/>
                <w:color w:val="000000"/>
                <w:sz w:val="24"/>
                <w:lang w:eastAsia="zh-CN"/>
              </w:rPr>
              <w:t>采购</w:t>
            </w:r>
            <w:r>
              <w:rPr>
                <w:rFonts w:hint="eastAsia" w:ascii="宋体" w:hAnsi="宋体" w:cs="宋体"/>
                <w:color w:val="000000"/>
                <w:sz w:val="24"/>
              </w:rPr>
              <w:t>文件要求且</w:t>
            </w:r>
            <w:r>
              <w:rPr>
                <w:rFonts w:hint="eastAsia" w:ascii="宋体" w:hAnsi="宋体" w:cs="宋体"/>
                <w:color w:val="000000"/>
                <w:sz w:val="24"/>
                <w:lang w:val="en-US" w:eastAsia="zh-CN"/>
              </w:rPr>
              <w:t>价格最低的报价为评审</w:t>
            </w:r>
            <w:r>
              <w:rPr>
                <w:rFonts w:hint="eastAsia" w:ascii="宋体" w:hAnsi="宋体" w:cs="宋体"/>
                <w:color w:val="000000"/>
                <w:sz w:val="24"/>
              </w:rPr>
              <w:t>基准价，其价格分为满分2</w:t>
            </w:r>
            <w:r>
              <w:rPr>
                <w:rFonts w:hint="eastAsia" w:ascii="宋体" w:hAnsi="宋体" w:cs="宋体"/>
                <w:color w:val="000000"/>
                <w:sz w:val="24"/>
                <w:lang w:val="en-US" w:eastAsia="zh-CN"/>
              </w:rPr>
              <w:t>0</w:t>
            </w:r>
            <w:r>
              <w:rPr>
                <w:rFonts w:hint="eastAsia" w:ascii="宋体" w:hAnsi="宋体" w:cs="宋体"/>
                <w:color w:val="000000"/>
                <w:sz w:val="24"/>
              </w:rPr>
              <w:t>分。其他</w:t>
            </w:r>
            <w:r>
              <w:rPr>
                <w:rFonts w:hint="eastAsia" w:ascii="宋体" w:hAnsi="宋体" w:cs="宋体"/>
                <w:color w:val="000000"/>
                <w:sz w:val="24"/>
                <w:lang w:val="en-US" w:eastAsia="zh-CN"/>
              </w:rPr>
              <w:t>投标人</w:t>
            </w:r>
            <w:r>
              <w:rPr>
                <w:rFonts w:hint="eastAsia" w:ascii="宋体" w:hAnsi="宋体" w:cs="宋体"/>
                <w:color w:val="000000"/>
                <w:sz w:val="24"/>
              </w:rPr>
              <w:t>的价格分统一按照下列公式计算：报价得分=（</w:t>
            </w:r>
            <w:r>
              <w:rPr>
                <w:rFonts w:hint="eastAsia" w:ascii="宋体" w:hAnsi="宋体" w:cs="宋体"/>
                <w:color w:val="000000"/>
                <w:sz w:val="24"/>
                <w:lang w:val="en-US" w:eastAsia="zh-CN"/>
              </w:rPr>
              <w:t>评审</w:t>
            </w:r>
            <w:r>
              <w:rPr>
                <w:rFonts w:hint="eastAsia" w:ascii="宋体" w:hAnsi="宋体" w:cs="宋体"/>
                <w:color w:val="000000"/>
                <w:sz w:val="24"/>
              </w:rPr>
              <w:t>基准价/</w:t>
            </w:r>
            <w:r>
              <w:rPr>
                <w:rFonts w:hint="eastAsia" w:ascii="宋体" w:hAnsi="宋体" w:cs="宋体"/>
                <w:color w:val="000000"/>
                <w:sz w:val="24"/>
                <w:lang w:val="en-US" w:eastAsia="zh-CN"/>
              </w:rPr>
              <w:t>投标</w:t>
            </w:r>
            <w:r>
              <w:rPr>
                <w:rFonts w:hint="eastAsia" w:ascii="宋体" w:hAnsi="宋体" w:cs="宋体"/>
                <w:color w:val="000000"/>
                <w:sz w:val="24"/>
              </w:rPr>
              <w:t>报价）×2</w:t>
            </w:r>
            <w:r>
              <w:rPr>
                <w:rFonts w:hint="eastAsia" w:ascii="宋体" w:hAnsi="宋体" w:cs="宋体"/>
                <w:color w:val="000000"/>
                <w:sz w:val="24"/>
                <w:lang w:val="en-US" w:eastAsia="zh-CN"/>
              </w:rPr>
              <w:t>0</w:t>
            </w:r>
            <w:r>
              <w:rPr>
                <w:rFonts w:hint="eastAsia" w:ascii="宋体" w:hAnsi="宋体" w:cs="宋体"/>
                <w:color w:val="000000"/>
                <w:sz w:val="24"/>
              </w:rPr>
              <w:t>。</w:t>
            </w:r>
          </w:p>
        </w:tc>
        <w:tc>
          <w:tcPr>
            <w:tcW w:w="1291" w:type="dxa"/>
            <w:shd w:val="clear" w:color="auto" w:fill="auto"/>
            <w:vAlign w:val="center"/>
          </w:tcPr>
          <w:p>
            <w:pPr>
              <w:spacing w:line="360" w:lineRule="auto"/>
              <w:jc w:val="center"/>
              <w:rPr>
                <w:rFonts w:hint="eastAsia" w:ascii="仿宋" w:hAnsi="仿宋" w:eastAsia="仿宋" w:cs="仿宋"/>
                <w:b/>
                <w:bCs/>
                <w:kern w:val="2"/>
                <w:sz w:val="24"/>
                <w:szCs w:val="24"/>
                <w:lang w:val="en-US" w:eastAsia="zh-CN" w:bidi="ar-SA"/>
                <w14:ligatures w14:val="none"/>
              </w:rPr>
            </w:pPr>
            <w:r>
              <w:rPr>
                <w:rFonts w:hint="eastAsia" w:ascii="宋体" w:hAnsi="宋体"/>
                <w:sz w:val="20"/>
                <w:szCs w:val="20"/>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shd w:val="clear" w:color="auto" w:fill="auto"/>
            <w:vAlign w:val="center"/>
          </w:tcPr>
          <w:p>
            <w:pPr>
              <w:wordWrap w:val="0"/>
              <w:overflowPunct w:val="0"/>
              <w:topLinePunct/>
              <w:spacing w:line="440" w:lineRule="exact"/>
              <w:jc w:val="center"/>
              <w:textAlignment w:val="center"/>
              <w:rPr>
                <w:rFonts w:hint="eastAsia" w:ascii="Calibri" w:hAnsi="宋体" w:eastAsia="宋体" w:cs="Times New Roman"/>
                <w:kern w:val="2"/>
                <w:sz w:val="21"/>
                <w:szCs w:val="21"/>
                <w:lang w:val="en-US" w:eastAsia="zh-CN" w:bidi="ar-SA"/>
                <w14:ligatures w14:val="none"/>
              </w:rPr>
            </w:pPr>
            <w:r>
              <w:rPr>
                <w:rFonts w:hint="eastAsia" w:ascii="宋体" w:hAnsi="宋体" w:cs="宋体"/>
                <w:sz w:val="24"/>
              </w:rPr>
              <w:t>2</w:t>
            </w:r>
          </w:p>
        </w:tc>
        <w:tc>
          <w:tcPr>
            <w:tcW w:w="1120" w:type="dxa"/>
            <w:shd w:val="clear" w:color="auto" w:fill="auto"/>
            <w:vAlign w:val="center"/>
          </w:tcPr>
          <w:p>
            <w:pPr>
              <w:wordWrap w:val="0"/>
              <w:overflowPunct w:val="0"/>
              <w:topLinePunct/>
              <w:spacing w:line="440" w:lineRule="exact"/>
              <w:jc w:val="center"/>
              <w:textAlignment w:val="center"/>
              <w:rPr>
                <w:rFonts w:hint="eastAsia" w:ascii="Calibri" w:hAnsi="宋体" w:eastAsia="宋体" w:cs="Times New Roman"/>
                <w:kern w:val="2"/>
                <w:sz w:val="21"/>
                <w:szCs w:val="21"/>
                <w:lang w:val="en-US" w:eastAsia="zh-CN" w:bidi="ar-SA"/>
                <w14:ligatures w14:val="none"/>
              </w:rPr>
            </w:pPr>
            <w:r>
              <w:rPr>
                <w:rFonts w:hint="eastAsia" w:ascii="宋体" w:hAnsi="宋体" w:cs="宋体"/>
                <w:sz w:val="24"/>
              </w:rPr>
              <w:t>技术参数及要求响应</w:t>
            </w:r>
          </w:p>
        </w:tc>
        <w:tc>
          <w:tcPr>
            <w:tcW w:w="1899" w:type="dxa"/>
            <w:shd w:val="clear" w:color="auto" w:fill="auto"/>
            <w:vAlign w:val="center"/>
          </w:tcPr>
          <w:p>
            <w:pPr>
              <w:spacing w:line="400" w:lineRule="exact"/>
              <w:rPr>
                <w:rFonts w:hint="eastAsia" w:ascii="Calibri" w:hAnsi="Calibri" w:eastAsia="宋体" w:cs="Times New Roman"/>
                <w:kern w:val="2"/>
                <w:sz w:val="21"/>
                <w:szCs w:val="22"/>
                <w:lang w:val="en-US" w:eastAsia="zh-CN" w:bidi="ar-SA"/>
                <w14:ligatures w14:val="none"/>
              </w:rPr>
            </w:pPr>
            <w:r>
              <w:rPr>
                <w:rFonts w:hint="eastAsia" w:ascii="宋体" w:hAnsi="宋体" w:cs="宋体"/>
                <w:sz w:val="24"/>
              </w:rPr>
              <w:t>4</w:t>
            </w:r>
            <w:r>
              <w:rPr>
                <w:rFonts w:hint="eastAsia" w:ascii="宋体" w:hAnsi="宋体" w:cs="宋体"/>
                <w:sz w:val="24"/>
                <w:lang w:val="en-US" w:eastAsia="zh-CN"/>
              </w:rPr>
              <w:t>7</w:t>
            </w:r>
            <w:r>
              <w:rPr>
                <w:rFonts w:hint="eastAsia" w:ascii="宋体" w:hAnsi="宋体" w:cs="宋体"/>
                <w:sz w:val="24"/>
              </w:rPr>
              <w:t>分</w:t>
            </w:r>
          </w:p>
        </w:tc>
        <w:tc>
          <w:tcPr>
            <w:tcW w:w="2997" w:type="dxa"/>
            <w:shd w:val="clear" w:color="auto" w:fill="auto"/>
            <w:vAlign w:val="center"/>
          </w:tcPr>
          <w:p>
            <w:pPr>
              <w:pStyle w:val="2"/>
              <w:spacing w:after="0" w:line="360" w:lineRule="auto"/>
              <w:jc w:val="left"/>
              <w:rPr>
                <w:rFonts w:hint="eastAsia" w:ascii="宋体" w:hAnsi="宋体" w:cs="宋体"/>
                <w:sz w:val="24"/>
              </w:rPr>
            </w:pPr>
            <w:r>
              <w:rPr>
                <w:rFonts w:hint="eastAsia" w:ascii="宋体" w:hAnsi="宋体" w:cs="宋体"/>
                <w:sz w:val="24"/>
                <w:lang w:val="en-US" w:eastAsia="zh-CN"/>
              </w:rPr>
              <w:t>投标人</w:t>
            </w:r>
            <w:r>
              <w:rPr>
                <w:rFonts w:hint="eastAsia" w:ascii="宋体" w:hAnsi="宋体" w:cs="宋体"/>
                <w:sz w:val="24"/>
              </w:rPr>
              <w:t>按技术参数要求中的编号逐条应答，完全符合采购文件技术参数及服务要求没有负偏离的得4</w:t>
            </w:r>
            <w:r>
              <w:rPr>
                <w:rFonts w:hint="eastAsia" w:ascii="宋体" w:hAnsi="宋体" w:cs="宋体"/>
                <w:sz w:val="24"/>
                <w:lang w:val="en-US" w:eastAsia="zh-CN"/>
              </w:rPr>
              <w:t>7</w:t>
            </w:r>
            <w:r>
              <w:rPr>
                <w:rFonts w:hint="eastAsia" w:ascii="宋体" w:hAnsi="宋体" w:cs="宋体"/>
                <w:sz w:val="24"/>
              </w:rPr>
              <w:t>分；带“★”的条款为实质性参数，不允许负偏离，凡有一项不满足的作无效响应处理。“▲”的条款为重要参数</w:t>
            </w:r>
            <w:r>
              <w:rPr>
                <w:rFonts w:hint="eastAsia" w:ascii="宋体" w:hAnsi="宋体" w:cs="宋体"/>
                <w:sz w:val="24"/>
                <w:lang w:eastAsia="zh-CN"/>
              </w:rPr>
              <w:t>（</w:t>
            </w:r>
            <w:r>
              <w:rPr>
                <w:rFonts w:hint="eastAsia" w:ascii="宋体" w:hAnsi="宋体" w:cs="宋体"/>
                <w:sz w:val="24"/>
                <w:lang w:val="en-US" w:eastAsia="zh-CN"/>
              </w:rPr>
              <w:t>共10项</w:t>
            </w:r>
            <w:r>
              <w:rPr>
                <w:rFonts w:hint="eastAsia" w:ascii="宋体" w:hAnsi="宋体" w:cs="宋体"/>
                <w:sz w:val="24"/>
                <w:lang w:eastAsia="zh-CN"/>
              </w:rPr>
              <w:t>）</w:t>
            </w:r>
            <w:r>
              <w:rPr>
                <w:rFonts w:hint="eastAsia" w:ascii="宋体" w:hAnsi="宋体" w:cs="宋体"/>
                <w:sz w:val="24"/>
              </w:rPr>
              <w:t>，带“▲”项负偏离的，每有一项扣</w:t>
            </w:r>
            <w:r>
              <w:rPr>
                <w:rFonts w:hint="eastAsia" w:ascii="宋体" w:hAnsi="宋体" w:cs="宋体"/>
                <w:sz w:val="24"/>
                <w:lang w:val="en-US" w:eastAsia="zh-CN"/>
              </w:rPr>
              <w:t>2</w:t>
            </w:r>
            <w:r>
              <w:rPr>
                <w:rFonts w:hint="eastAsia" w:ascii="宋体" w:hAnsi="宋体" w:cs="宋体"/>
                <w:sz w:val="24"/>
              </w:rPr>
              <w:t>分；未标识符号的参数为一般参数，一般参数</w:t>
            </w:r>
            <w:r>
              <w:rPr>
                <w:rFonts w:hint="eastAsia" w:ascii="宋体" w:hAnsi="宋体" w:cs="宋体"/>
                <w:sz w:val="24"/>
                <w:lang w:eastAsia="zh-CN"/>
              </w:rPr>
              <w:t>（</w:t>
            </w:r>
            <w:r>
              <w:rPr>
                <w:rFonts w:hint="eastAsia" w:ascii="宋体" w:hAnsi="宋体" w:cs="宋体"/>
                <w:sz w:val="24"/>
                <w:lang w:val="en-US" w:eastAsia="zh-CN"/>
              </w:rPr>
              <w:t>共27项</w:t>
            </w:r>
            <w:r>
              <w:rPr>
                <w:rFonts w:hint="eastAsia" w:ascii="宋体" w:hAnsi="宋体" w:cs="宋体"/>
                <w:sz w:val="24"/>
                <w:lang w:eastAsia="zh-CN"/>
              </w:rPr>
              <w:t>）</w:t>
            </w:r>
            <w:r>
              <w:rPr>
                <w:rFonts w:hint="eastAsia" w:ascii="宋体" w:hAnsi="宋体" w:cs="宋体"/>
                <w:sz w:val="24"/>
              </w:rPr>
              <w:t>每有一项负偏离的扣</w:t>
            </w:r>
            <w:r>
              <w:rPr>
                <w:rFonts w:hint="eastAsia" w:ascii="宋体" w:hAnsi="宋体" w:cs="宋体"/>
                <w:sz w:val="24"/>
                <w:lang w:val="en-US" w:eastAsia="zh-CN"/>
              </w:rPr>
              <w:t>1</w:t>
            </w:r>
            <w:r>
              <w:rPr>
                <w:rFonts w:hint="eastAsia" w:ascii="宋体" w:hAnsi="宋体" w:cs="宋体"/>
                <w:sz w:val="24"/>
              </w:rPr>
              <w:t>分。</w:t>
            </w:r>
            <w:r>
              <w:rPr>
                <w:rFonts w:hint="eastAsia" w:ascii="宋体" w:hAnsi="宋体" w:cs="宋体"/>
                <w:kern w:val="0"/>
                <w:sz w:val="24"/>
              </w:rPr>
              <w:t>扣完为止。</w:t>
            </w:r>
          </w:p>
          <w:p>
            <w:pPr>
              <w:spacing w:line="400" w:lineRule="exact"/>
              <w:rPr>
                <w:rFonts w:hint="eastAsia" w:ascii="Calibri" w:hAnsi="Calibri" w:eastAsia="宋体" w:cs="Times New Roman"/>
                <w:kern w:val="2"/>
                <w:sz w:val="21"/>
                <w:szCs w:val="22"/>
                <w:lang w:val="en-US" w:eastAsia="zh-CN" w:bidi="ar-SA"/>
                <w14:ligatures w14:val="none"/>
              </w:rPr>
            </w:pPr>
            <w:r>
              <w:rPr>
                <w:rFonts w:hint="eastAsia" w:ascii="宋体" w:hAnsi="宋体" w:cs="宋体"/>
                <w:sz w:val="24"/>
              </w:rPr>
              <w:t>注：采购文件要求提供技术证明文件的</w:t>
            </w:r>
            <w:r>
              <w:rPr>
                <w:rFonts w:hint="eastAsia" w:ascii="宋体" w:hAnsi="宋体" w:cs="宋体"/>
                <w:sz w:val="24"/>
                <w:lang w:val="en-US" w:eastAsia="zh-CN"/>
              </w:rPr>
              <w:t>投标人</w:t>
            </w:r>
            <w:r>
              <w:rPr>
                <w:rFonts w:hint="eastAsia" w:ascii="宋体" w:hAnsi="宋体" w:cs="宋体"/>
                <w:sz w:val="24"/>
              </w:rPr>
              <w:t>需如实响应并按要求提供证明文件，不能提供符合要求的证明文件的视为负偏离，作相应扣分处理。</w:t>
            </w:r>
          </w:p>
        </w:tc>
        <w:tc>
          <w:tcPr>
            <w:tcW w:w="1291" w:type="dxa"/>
            <w:shd w:val="clear" w:color="auto" w:fill="auto"/>
            <w:vAlign w:val="center"/>
          </w:tcPr>
          <w:p>
            <w:pPr>
              <w:spacing w:line="360" w:lineRule="auto"/>
              <w:jc w:val="center"/>
              <w:rPr>
                <w:rFonts w:hint="eastAsia" w:ascii="宋体" w:hAnsi="宋体" w:eastAsia="宋体" w:cs="Times New Roman"/>
                <w:kern w:val="2"/>
                <w:sz w:val="20"/>
                <w:szCs w:val="20"/>
                <w:lang w:val="en-US" w:eastAsia="zh-CN" w:bidi="ar-SA"/>
                <w14:ligatures w14:val="none"/>
              </w:rPr>
            </w:pPr>
            <w:r>
              <w:rPr>
                <w:rFonts w:hint="eastAsia" w:ascii="宋体" w:hAnsi="宋体"/>
                <w:sz w:val="20"/>
                <w:szCs w:val="20"/>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shd w:val="clear" w:color="auto" w:fill="auto"/>
            <w:vAlign w:val="center"/>
          </w:tcPr>
          <w:p>
            <w:pPr>
              <w:wordWrap w:val="0"/>
              <w:overflowPunct w:val="0"/>
              <w:topLinePunct/>
              <w:spacing w:line="440" w:lineRule="exact"/>
              <w:jc w:val="center"/>
              <w:textAlignment w:val="center"/>
              <w:rPr>
                <w:rFonts w:hint="eastAsia" w:ascii="Calibri" w:hAnsi="宋体" w:eastAsia="宋体" w:cs="Times New Roman"/>
                <w:kern w:val="2"/>
                <w:sz w:val="21"/>
                <w:szCs w:val="21"/>
                <w:lang w:val="en-US" w:eastAsia="zh-CN" w:bidi="ar-SA"/>
                <w14:ligatures w14:val="none"/>
              </w:rPr>
            </w:pPr>
            <w:r>
              <w:rPr>
                <w:rFonts w:hint="eastAsia" w:ascii="宋体" w:hAnsi="宋体" w:cs="宋体"/>
                <w:sz w:val="24"/>
              </w:rPr>
              <w:t>3</w:t>
            </w:r>
          </w:p>
        </w:tc>
        <w:tc>
          <w:tcPr>
            <w:tcW w:w="1120" w:type="dxa"/>
            <w:shd w:val="clear" w:color="auto" w:fill="auto"/>
            <w:vAlign w:val="center"/>
          </w:tcPr>
          <w:p>
            <w:pPr>
              <w:wordWrap w:val="0"/>
              <w:overflowPunct w:val="0"/>
              <w:topLinePunct/>
              <w:spacing w:line="440" w:lineRule="exact"/>
              <w:jc w:val="center"/>
              <w:textAlignment w:val="center"/>
              <w:rPr>
                <w:rFonts w:hint="eastAsia" w:ascii="Calibri" w:hAnsi="宋体" w:eastAsia="宋体" w:cs="Times New Roman"/>
                <w:kern w:val="2"/>
                <w:sz w:val="21"/>
                <w:szCs w:val="21"/>
                <w:lang w:val="en-US" w:eastAsia="zh-CN" w:bidi="ar-SA"/>
                <w14:ligatures w14:val="none"/>
              </w:rPr>
            </w:pPr>
            <w:r>
              <w:rPr>
                <w:rFonts w:hint="eastAsia" w:ascii="宋体" w:hAnsi="宋体" w:cs="宋体"/>
                <w:sz w:val="24"/>
              </w:rPr>
              <w:t>项目实施方案</w:t>
            </w:r>
          </w:p>
        </w:tc>
        <w:tc>
          <w:tcPr>
            <w:tcW w:w="1899" w:type="dxa"/>
            <w:shd w:val="clear" w:color="auto" w:fill="auto"/>
            <w:vAlign w:val="center"/>
          </w:tcPr>
          <w:p>
            <w:pPr>
              <w:spacing w:line="400" w:lineRule="exact"/>
              <w:rPr>
                <w:rFonts w:hint="eastAsia" w:ascii="Calibri" w:hAnsi="Calibri" w:eastAsia="宋体" w:cs="Times New Roman"/>
                <w:kern w:val="2"/>
                <w:sz w:val="21"/>
                <w:szCs w:val="22"/>
                <w:lang w:val="en-US" w:eastAsia="zh-CN" w:bidi="ar-SA"/>
                <w14:ligatures w14:val="none"/>
              </w:rPr>
            </w:pPr>
            <w:r>
              <w:rPr>
                <w:rFonts w:hint="eastAsia" w:ascii="宋体" w:hAnsi="宋体" w:cs="宋体"/>
                <w:sz w:val="24"/>
                <w:lang w:val="en-US" w:eastAsia="zh-CN"/>
              </w:rPr>
              <w:t>27</w:t>
            </w:r>
            <w:r>
              <w:rPr>
                <w:rFonts w:hint="eastAsia" w:ascii="宋体" w:hAnsi="宋体" w:cs="宋体"/>
                <w:sz w:val="24"/>
              </w:rPr>
              <w:t>分</w:t>
            </w:r>
          </w:p>
        </w:tc>
        <w:tc>
          <w:tcPr>
            <w:tcW w:w="2997" w:type="dxa"/>
            <w:shd w:val="clear" w:color="auto" w:fill="auto"/>
            <w:vAlign w:val="center"/>
          </w:tcPr>
          <w:p>
            <w:pPr>
              <w:pStyle w:val="6"/>
              <w:spacing w:line="360" w:lineRule="auto"/>
              <w:rPr>
                <w:rFonts w:hint="eastAsia" w:ascii="宋体" w:hAnsi="宋体" w:cs="宋体"/>
                <w:sz w:val="24"/>
              </w:rPr>
            </w:pPr>
            <w:r>
              <w:rPr>
                <w:rFonts w:hint="eastAsia" w:ascii="宋体" w:hAnsi="宋体" w:cs="宋体"/>
                <w:sz w:val="24"/>
              </w:rPr>
              <w:t>1、根据</w:t>
            </w:r>
            <w:r>
              <w:rPr>
                <w:rFonts w:hint="eastAsia" w:ascii="宋体" w:hAnsi="宋体" w:cs="宋体"/>
                <w:sz w:val="24"/>
                <w:lang w:val="en-US" w:eastAsia="zh-CN"/>
              </w:rPr>
              <w:t>投标人</w:t>
            </w:r>
            <w:r>
              <w:rPr>
                <w:rFonts w:hint="eastAsia" w:ascii="宋体" w:hAnsi="宋体" w:cs="宋体"/>
                <w:sz w:val="24"/>
              </w:rPr>
              <w:t>针对本项目提供的实施方案进行评分：</w:t>
            </w:r>
          </w:p>
          <w:p>
            <w:pPr>
              <w:pStyle w:val="6"/>
              <w:spacing w:line="360" w:lineRule="auto"/>
              <w:rPr>
                <w:rFonts w:hint="eastAsia" w:ascii="宋体" w:hAnsi="宋体" w:cs="宋体"/>
                <w:sz w:val="24"/>
              </w:rPr>
            </w:pPr>
            <w:r>
              <w:rPr>
                <w:rFonts w:hint="eastAsia" w:ascii="宋体" w:hAnsi="宋体" w:cs="宋体"/>
                <w:sz w:val="24"/>
                <w:lang w:val="en-US" w:eastAsia="zh-CN"/>
              </w:rPr>
              <w:t>投标人</w:t>
            </w:r>
            <w:r>
              <w:rPr>
                <w:rFonts w:hint="eastAsia" w:ascii="宋体" w:hAnsi="宋体" w:cs="宋体"/>
                <w:sz w:val="24"/>
              </w:rPr>
              <w:t>针对本项目的实施方案包括：①进度计划和实施步骤；②关键点；③整体服务方案等三个方面共</w:t>
            </w:r>
            <w:r>
              <w:rPr>
                <w:rFonts w:hint="eastAsia" w:ascii="宋体" w:hAnsi="宋体" w:cs="宋体"/>
                <w:sz w:val="24"/>
                <w:lang w:val="en-US" w:eastAsia="zh-CN"/>
              </w:rPr>
              <w:t>15</w:t>
            </w:r>
            <w:r>
              <w:rPr>
                <w:rFonts w:hint="eastAsia" w:ascii="宋体" w:hAnsi="宋体" w:cs="宋体"/>
                <w:sz w:val="24"/>
              </w:rPr>
              <w:t>分；每缺少一个方面扣</w:t>
            </w:r>
            <w:r>
              <w:rPr>
                <w:rFonts w:hint="eastAsia" w:ascii="宋体" w:hAnsi="宋体" w:cs="宋体"/>
                <w:sz w:val="24"/>
                <w:lang w:val="en-US" w:eastAsia="zh-CN"/>
              </w:rPr>
              <w:t>5</w:t>
            </w:r>
            <w:r>
              <w:rPr>
                <w:rFonts w:hint="eastAsia" w:ascii="宋体" w:hAnsi="宋体" w:cs="宋体"/>
                <w:sz w:val="24"/>
              </w:rPr>
              <w:t>分，每有一个方面有缺陷扣</w:t>
            </w:r>
            <w:r>
              <w:rPr>
                <w:rFonts w:hint="eastAsia" w:ascii="宋体" w:hAnsi="宋体" w:cs="宋体"/>
                <w:sz w:val="24"/>
                <w:lang w:val="en-US" w:eastAsia="zh-CN"/>
              </w:rPr>
              <w:t>2.5</w:t>
            </w:r>
            <w:r>
              <w:rPr>
                <w:rFonts w:hint="eastAsia" w:ascii="宋体" w:hAnsi="宋体" w:cs="宋体"/>
                <w:sz w:val="24"/>
              </w:rPr>
              <w:t>分；扣完为止。【内容缺陷是指：内容描述有歧义、有错别字、涉及的规范及标准错误、存在不适用项目实际情况的情形、不可能实现的夸大情形等任意一种情形】</w:t>
            </w:r>
          </w:p>
          <w:p>
            <w:pPr>
              <w:spacing w:line="400" w:lineRule="exact"/>
              <w:rPr>
                <w:rFonts w:hint="eastAsia" w:ascii="Calibri" w:hAnsi="Calibri" w:eastAsia="宋体" w:cs="Times New Roman"/>
                <w:kern w:val="2"/>
                <w:sz w:val="21"/>
                <w:szCs w:val="22"/>
                <w:lang w:val="en-US" w:eastAsia="zh-CN" w:bidi="ar-SA"/>
                <w14:ligatures w14:val="none"/>
              </w:rPr>
            </w:pPr>
            <w:r>
              <w:rPr>
                <w:rFonts w:hint="eastAsia" w:ascii="宋体" w:hAnsi="宋体" w:cs="宋体"/>
                <w:sz w:val="24"/>
              </w:rPr>
              <w:t>2、提供售后服务方案至少包含：1.本地化服务的计划及方式；2.提供项目所属地售后服务人员1人及以上；3.售后响应时效、售后应急处理制度及措施；4.售后培训内容、售后质量保障制度四个方面共12分；每缺少一个方面扣3分，每有一个方面有缺陷扣1.5分；扣完为止。【内容缺陷是指：内容描述有歧义、有错别字、涉及的规范及标准错误、存在不适用项目实际情况的情形、不可能实现的夸大情形等任意一种情形】</w:t>
            </w:r>
          </w:p>
        </w:tc>
        <w:tc>
          <w:tcPr>
            <w:tcW w:w="1291" w:type="dxa"/>
            <w:shd w:val="clear" w:color="auto" w:fill="auto"/>
            <w:vAlign w:val="center"/>
          </w:tcPr>
          <w:p>
            <w:pPr>
              <w:spacing w:line="360" w:lineRule="auto"/>
              <w:jc w:val="center"/>
              <w:rPr>
                <w:rFonts w:hint="eastAsia" w:ascii="宋体" w:hAnsi="宋体" w:eastAsia="宋体" w:cs="Times New Roman"/>
                <w:kern w:val="2"/>
                <w:sz w:val="20"/>
                <w:szCs w:val="20"/>
                <w:lang w:val="en-US" w:eastAsia="zh-CN" w:bidi="ar-SA"/>
                <w14:ligatures w14:val="none"/>
              </w:rPr>
            </w:pPr>
            <w:r>
              <w:rPr>
                <w:rFonts w:hint="eastAsia" w:ascii="宋体" w:hAnsi="宋体"/>
                <w:sz w:val="20"/>
                <w:szCs w:val="20"/>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shd w:val="clear" w:color="auto" w:fill="auto"/>
            <w:vAlign w:val="center"/>
          </w:tcPr>
          <w:p>
            <w:pPr>
              <w:wordWrap w:val="0"/>
              <w:overflowPunct w:val="0"/>
              <w:topLinePunct/>
              <w:spacing w:line="440" w:lineRule="exact"/>
              <w:jc w:val="center"/>
              <w:textAlignment w:val="center"/>
              <w:rPr>
                <w:rFonts w:hint="eastAsia" w:ascii="Calibri" w:hAnsi="宋体" w:eastAsia="宋体" w:cs="Times New Roman"/>
                <w:kern w:val="2"/>
                <w:sz w:val="21"/>
                <w:szCs w:val="21"/>
                <w:lang w:val="en-US" w:eastAsia="zh-CN" w:bidi="ar-SA"/>
                <w14:ligatures w14:val="none"/>
              </w:rPr>
            </w:pPr>
            <w:r>
              <w:rPr>
                <w:rFonts w:hint="eastAsia" w:ascii="宋体" w:hAnsi="宋体" w:cs="宋体"/>
                <w:sz w:val="24"/>
              </w:rPr>
              <w:t>4</w:t>
            </w:r>
          </w:p>
        </w:tc>
        <w:tc>
          <w:tcPr>
            <w:tcW w:w="1120" w:type="dxa"/>
            <w:shd w:val="clear" w:color="auto" w:fill="auto"/>
            <w:vAlign w:val="center"/>
          </w:tcPr>
          <w:p>
            <w:pPr>
              <w:wordWrap w:val="0"/>
              <w:overflowPunct w:val="0"/>
              <w:topLinePunct/>
              <w:spacing w:line="440" w:lineRule="exact"/>
              <w:jc w:val="center"/>
              <w:textAlignment w:val="center"/>
              <w:rPr>
                <w:rFonts w:hint="eastAsia" w:ascii="Calibri" w:hAnsi="宋体" w:eastAsia="宋体" w:cs="Times New Roman"/>
                <w:kern w:val="2"/>
                <w:sz w:val="21"/>
                <w:szCs w:val="21"/>
                <w:lang w:val="en-US" w:eastAsia="zh-CN" w:bidi="ar-SA"/>
                <w14:ligatures w14:val="none"/>
              </w:rPr>
            </w:pPr>
            <w:r>
              <w:rPr>
                <w:rFonts w:hint="eastAsia" w:ascii="宋体" w:hAnsi="宋体" w:cs="宋体"/>
                <w:sz w:val="24"/>
              </w:rPr>
              <w:t>业绩</w:t>
            </w:r>
          </w:p>
        </w:tc>
        <w:tc>
          <w:tcPr>
            <w:tcW w:w="1899" w:type="dxa"/>
            <w:shd w:val="clear" w:color="auto" w:fill="auto"/>
            <w:vAlign w:val="center"/>
          </w:tcPr>
          <w:p>
            <w:pPr>
              <w:spacing w:line="400" w:lineRule="exact"/>
              <w:rPr>
                <w:rFonts w:hint="eastAsia" w:ascii="Calibri" w:hAnsi="Calibri" w:eastAsia="宋体" w:cs="Times New Roman"/>
                <w:kern w:val="2"/>
                <w:sz w:val="21"/>
                <w:szCs w:val="22"/>
                <w:lang w:val="en-US" w:eastAsia="zh-CN" w:bidi="ar-SA"/>
                <w14:ligatures w14:val="none"/>
              </w:rPr>
            </w:pPr>
            <w:r>
              <w:rPr>
                <w:rFonts w:hint="eastAsia" w:ascii="宋体" w:hAnsi="宋体" w:cs="宋体"/>
                <w:sz w:val="24"/>
              </w:rPr>
              <w:t>6分</w:t>
            </w:r>
          </w:p>
        </w:tc>
        <w:tc>
          <w:tcPr>
            <w:tcW w:w="2997" w:type="dxa"/>
            <w:shd w:val="clear" w:color="auto" w:fill="auto"/>
            <w:vAlign w:val="center"/>
          </w:tcPr>
          <w:p>
            <w:pPr>
              <w:pStyle w:val="6"/>
              <w:spacing w:line="360" w:lineRule="auto"/>
              <w:rPr>
                <w:rFonts w:hint="eastAsia" w:ascii="宋体" w:hAnsi="宋体" w:cs="宋体"/>
                <w:sz w:val="24"/>
              </w:rPr>
            </w:pPr>
            <w:r>
              <w:rPr>
                <w:rFonts w:hint="eastAsia" w:ascii="宋体" w:hAnsi="宋体" w:cs="宋体"/>
                <w:sz w:val="24"/>
              </w:rPr>
              <w:t>投标人202</w:t>
            </w:r>
            <w:r>
              <w:rPr>
                <w:rFonts w:hint="eastAsia" w:ascii="宋体" w:hAnsi="宋体" w:cs="宋体"/>
                <w:sz w:val="24"/>
                <w:lang w:val="en-US" w:eastAsia="zh-CN"/>
              </w:rPr>
              <w:t>3</w:t>
            </w:r>
            <w:r>
              <w:rPr>
                <w:rFonts w:hint="eastAsia" w:ascii="宋体" w:hAnsi="宋体" w:cs="宋体"/>
                <w:sz w:val="24"/>
              </w:rPr>
              <w:t>年1月1日（含）以来具有已完成类似项目（以合同签订时间为准），每有一个得</w:t>
            </w:r>
            <w:r>
              <w:rPr>
                <w:rFonts w:hint="eastAsia" w:ascii="宋体" w:hAnsi="宋体" w:cs="宋体"/>
                <w:sz w:val="24"/>
                <w:lang w:val="en-US" w:eastAsia="zh-CN"/>
              </w:rPr>
              <w:t>1.5</w:t>
            </w:r>
            <w:r>
              <w:rPr>
                <w:rFonts w:hint="eastAsia" w:ascii="宋体" w:hAnsi="宋体" w:cs="宋体"/>
                <w:sz w:val="24"/>
              </w:rPr>
              <w:t>分，最多得6分。</w:t>
            </w:r>
          </w:p>
          <w:p>
            <w:pPr>
              <w:spacing w:line="400" w:lineRule="exact"/>
              <w:rPr>
                <w:rFonts w:hint="eastAsia" w:ascii="Calibri" w:hAnsi="Calibri" w:eastAsia="宋体" w:cs="Times New Roman"/>
                <w:kern w:val="2"/>
                <w:sz w:val="21"/>
                <w:szCs w:val="22"/>
                <w:lang w:val="en-US" w:eastAsia="zh-CN" w:bidi="ar-SA"/>
                <w14:ligatures w14:val="none"/>
              </w:rPr>
            </w:pPr>
            <w:r>
              <w:rPr>
                <w:rFonts w:hint="eastAsia" w:ascii="宋体" w:hAnsi="宋体" w:cs="宋体"/>
                <w:sz w:val="24"/>
              </w:rPr>
              <w:t>注：需同时提供①提供合同复印件和②验收报告复印件，加盖投标人公章，不提供不得分。</w:t>
            </w:r>
          </w:p>
        </w:tc>
        <w:tc>
          <w:tcPr>
            <w:tcW w:w="1291" w:type="dxa"/>
            <w:shd w:val="clear" w:color="auto" w:fill="auto"/>
            <w:vAlign w:val="center"/>
          </w:tcPr>
          <w:p>
            <w:pPr>
              <w:spacing w:line="360" w:lineRule="auto"/>
              <w:jc w:val="center"/>
              <w:rPr>
                <w:rFonts w:hint="eastAsia" w:ascii="宋体" w:hAnsi="宋体" w:eastAsia="宋体" w:cs="Times New Roman"/>
                <w:kern w:val="2"/>
                <w:sz w:val="20"/>
                <w:szCs w:val="20"/>
                <w:lang w:val="en-US" w:eastAsia="zh-CN" w:bidi="ar-SA"/>
                <w14:ligatures w14:val="none"/>
              </w:rPr>
            </w:pPr>
            <w:r>
              <w:rPr>
                <w:rFonts w:hint="eastAsia" w:ascii="宋体" w:hAnsi="宋体"/>
                <w:sz w:val="20"/>
                <w:szCs w:val="20"/>
              </w:rPr>
              <w:t>客观分</w:t>
            </w:r>
          </w:p>
        </w:tc>
      </w:tr>
    </w:tbl>
    <w:p>
      <w:pPr>
        <w:pStyle w:val="5"/>
        <w:keepNext w:val="0"/>
        <w:keepLines w:val="0"/>
        <w:pageBreakBefore w:val="0"/>
        <w:numPr>
          <w:ilvl w:val="0"/>
          <w:numId w:val="0"/>
        </w:numPr>
        <w:kinsoku/>
        <w:wordWrap/>
        <w:overflowPunct/>
        <w:topLinePunct w:val="0"/>
        <w:autoSpaceDE/>
        <w:autoSpaceDN/>
        <w:bidi w:val="0"/>
        <w:spacing w:line="400" w:lineRule="exact"/>
        <w:rPr>
          <w:rFonts w:hint="eastAsia" w:ascii="仿宋" w:hAnsi="仿宋" w:eastAsia="仿宋" w:cs="仿宋"/>
          <w:b w:val="0"/>
          <w:bCs/>
          <w:i w:val="0"/>
          <w:caps w:val="0"/>
          <w:color w:val="000000"/>
          <w:spacing w:val="0"/>
          <w:sz w:val="28"/>
          <w:szCs w:val="28"/>
          <w:highlight w:val="none"/>
          <w:shd w:val="clear" w:fill="FFFFFF"/>
        </w:rPr>
      </w:pPr>
    </w:p>
    <w:p>
      <w:pPr>
        <w:pStyle w:val="5"/>
        <w:keepNext w:val="0"/>
        <w:keepLines w:val="0"/>
        <w:pageBreakBefore w:val="0"/>
        <w:numPr>
          <w:ilvl w:val="0"/>
          <w:numId w:val="0"/>
        </w:numPr>
        <w:kinsoku/>
        <w:wordWrap/>
        <w:overflowPunct/>
        <w:topLinePunct w:val="0"/>
        <w:autoSpaceDE/>
        <w:autoSpaceDN/>
        <w:bidi w:val="0"/>
        <w:spacing w:line="400" w:lineRule="exact"/>
        <w:rPr>
          <w:rFonts w:hint="eastAsia" w:ascii="仿宋" w:hAnsi="仿宋" w:eastAsia="仿宋" w:cs="仿宋"/>
          <w:b w:val="0"/>
          <w:bCs/>
          <w:i w:val="0"/>
          <w:caps w:val="0"/>
          <w:color w:val="000000"/>
          <w:spacing w:val="0"/>
          <w:sz w:val="28"/>
          <w:szCs w:val="28"/>
          <w:highlight w:val="none"/>
          <w:shd w:val="clear" w:fill="FFFFFF"/>
        </w:rPr>
      </w:pPr>
    </w:p>
    <w:p>
      <w:pPr>
        <w:pStyle w:val="5"/>
        <w:keepNext w:val="0"/>
        <w:keepLines w:val="0"/>
        <w:pageBreakBefore w:val="0"/>
        <w:numPr>
          <w:ilvl w:val="0"/>
          <w:numId w:val="0"/>
        </w:numPr>
        <w:kinsoku/>
        <w:wordWrap/>
        <w:overflowPunct/>
        <w:topLinePunct w:val="0"/>
        <w:autoSpaceDE/>
        <w:autoSpaceDN/>
        <w:bidi w:val="0"/>
        <w:spacing w:line="400" w:lineRule="exact"/>
        <w:ind w:leftChars="200"/>
        <w:rPr>
          <w:rFonts w:hint="eastAsia" w:ascii="仿宋" w:hAnsi="仿宋" w:eastAsia="仿宋" w:cs="仿宋"/>
          <w:b/>
          <w:i w:val="0"/>
          <w:caps w:val="0"/>
          <w:color w:val="000000"/>
          <w:spacing w:val="0"/>
          <w:sz w:val="28"/>
          <w:szCs w:val="28"/>
          <w:highlight w:val="none"/>
          <w:shd w:val="clear" w:fill="FFFFFF"/>
          <w:lang w:val="en-US" w:eastAsia="zh-CN"/>
        </w:rPr>
      </w:pPr>
    </w:p>
    <w:p>
      <w:pPr>
        <w:adjustRightInd w:val="0"/>
        <w:snapToGrid w:val="0"/>
        <w:spacing w:line="580" w:lineRule="exact"/>
        <w:ind w:firstLine="400" w:firstLineChars="200"/>
        <w:rPr>
          <w:rFonts w:hint="eastAsia" w:ascii="仿宋" w:hAnsi="仿宋" w:eastAsia="仿宋" w:cs="仿宋"/>
          <w:sz w:val="20"/>
          <w:highlight w:val="none"/>
        </w:rPr>
        <w:sectPr>
          <w:footerReference r:id="rId3" w:type="default"/>
          <w:pgSz w:w="11906" w:h="16838"/>
          <w:pgMar w:top="1440" w:right="1800" w:bottom="1440" w:left="1800" w:header="851" w:footer="992" w:gutter="0"/>
          <w:cols w:space="425" w:num="1"/>
          <w:docGrid w:type="lines" w:linePitch="312" w:charSpace="0"/>
        </w:sectPr>
      </w:pPr>
    </w:p>
    <w:p>
      <w:pPr>
        <w:adjustRightInd w:val="0"/>
        <w:snapToGrid w:val="0"/>
        <w:spacing w:line="580" w:lineRule="exact"/>
        <w:outlineLvl w:val="0"/>
        <w:rPr>
          <w:rFonts w:hint="eastAsia" w:ascii="仿宋" w:hAnsi="仿宋" w:eastAsia="仿宋" w:cs="仿宋"/>
          <w:sz w:val="28"/>
          <w:szCs w:val="32"/>
          <w:highlight w:val="none"/>
        </w:rPr>
      </w:pPr>
      <w:r>
        <w:rPr>
          <w:rFonts w:hint="eastAsia" w:ascii="仿宋" w:hAnsi="仿宋" w:eastAsia="仿宋" w:cs="仿宋"/>
          <w:sz w:val="28"/>
          <w:szCs w:val="32"/>
          <w:highlight w:val="none"/>
        </w:rPr>
        <w:t>附件</w:t>
      </w:r>
      <w:r>
        <w:rPr>
          <w:rFonts w:hint="eastAsia" w:ascii="仿宋" w:hAnsi="仿宋" w:eastAsia="仿宋" w:cs="仿宋"/>
          <w:sz w:val="28"/>
          <w:szCs w:val="32"/>
          <w:highlight w:val="none"/>
          <w:lang w:val="en-US" w:eastAsia="zh-CN"/>
        </w:rPr>
        <w:t>3</w:t>
      </w:r>
      <w:r>
        <w:rPr>
          <w:rFonts w:hint="eastAsia" w:ascii="仿宋" w:hAnsi="仿宋" w:eastAsia="仿宋" w:cs="仿宋"/>
          <w:sz w:val="28"/>
          <w:szCs w:val="32"/>
          <w:highlight w:val="none"/>
        </w:rPr>
        <w:t>：</w:t>
      </w:r>
    </w:p>
    <w:p>
      <w:pPr>
        <w:jc w:val="center"/>
        <w:rPr>
          <w:rFonts w:hint="eastAsia" w:ascii="仿宋" w:hAnsi="仿宋" w:eastAsia="仿宋" w:cs="仿宋"/>
          <w:bCs/>
          <w:kern w:val="0"/>
          <w:sz w:val="40"/>
          <w:szCs w:val="44"/>
          <w:highlight w:val="none"/>
          <w:shd w:val="clear" w:color="auto" w:fill="FFFFFF"/>
        </w:rPr>
      </w:pPr>
      <w:r>
        <w:rPr>
          <w:rFonts w:hint="eastAsia" w:ascii="仿宋" w:hAnsi="仿宋" w:eastAsia="仿宋" w:cs="仿宋"/>
          <w:bCs/>
          <w:kern w:val="0"/>
          <w:sz w:val="40"/>
          <w:szCs w:val="44"/>
          <w:highlight w:val="none"/>
          <w:shd w:val="clear" w:color="auto" w:fill="FFFFFF"/>
          <w:lang w:val="en-US" w:eastAsia="zh-CN"/>
        </w:rPr>
        <w:t>资格证明</w:t>
      </w:r>
      <w:r>
        <w:rPr>
          <w:rFonts w:hint="eastAsia" w:ascii="仿宋" w:hAnsi="仿宋" w:eastAsia="仿宋" w:cs="仿宋"/>
          <w:bCs/>
          <w:kern w:val="0"/>
          <w:sz w:val="40"/>
          <w:szCs w:val="44"/>
          <w:highlight w:val="none"/>
          <w:shd w:val="clear" w:color="auto" w:fill="FFFFFF"/>
        </w:rPr>
        <w:t>文件装订顺序</w:t>
      </w:r>
    </w:p>
    <w:p>
      <w:pPr>
        <w:keepNext w:val="0"/>
        <w:keepLines w:val="0"/>
        <w:pageBreakBefore w:val="0"/>
        <w:widowControl/>
        <w:kinsoku/>
        <w:wordWrap/>
        <w:overflowPunct/>
        <w:topLinePunct w:val="0"/>
        <w:autoSpaceDE/>
        <w:autoSpaceDN/>
        <w:bidi w:val="0"/>
        <w:adjustRightInd w:val="0"/>
        <w:snapToGrid w:val="0"/>
        <w:spacing w:line="360" w:lineRule="auto"/>
        <w:ind w:firstLine="672" w:firstLineChars="200"/>
        <w:textAlignment w:val="auto"/>
        <w:rPr>
          <w:rFonts w:hint="eastAsia" w:ascii="仿宋" w:hAnsi="仿宋" w:eastAsia="仿宋" w:cs="仿宋"/>
          <w:spacing w:val="8"/>
          <w:kern w:val="0"/>
          <w:sz w:val="32"/>
          <w:szCs w:val="32"/>
          <w:highlight w:val="none"/>
          <w:shd w:val="clear" w:color="auto" w:fill="FFFFFF"/>
        </w:rPr>
      </w:pPr>
      <w:r>
        <w:rPr>
          <w:rFonts w:hint="eastAsia" w:ascii="仿宋" w:hAnsi="仿宋" w:eastAsia="仿宋" w:cs="仿宋"/>
          <w:spacing w:val="8"/>
          <w:kern w:val="0"/>
          <w:sz w:val="32"/>
          <w:szCs w:val="32"/>
          <w:highlight w:val="none"/>
          <w:shd w:val="clear" w:color="auto" w:fill="FFFFFF"/>
        </w:rPr>
        <w:t>1.封面（注明包号、</w:t>
      </w:r>
      <w:r>
        <w:rPr>
          <w:rFonts w:hint="eastAsia" w:ascii="仿宋" w:hAnsi="仿宋" w:eastAsia="仿宋" w:cs="仿宋"/>
          <w:spacing w:val="8"/>
          <w:kern w:val="0"/>
          <w:sz w:val="32"/>
          <w:szCs w:val="32"/>
          <w:highlight w:val="none"/>
          <w:shd w:val="clear" w:color="auto" w:fill="FFFFFF"/>
          <w:lang w:val="en-US" w:eastAsia="zh-CN"/>
        </w:rPr>
        <w:t>项目名称</w:t>
      </w:r>
      <w:r>
        <w:rPr>
          <w:rFonts w:hint="eastAsia" w:ascii="仿宋" w:hAnsi="仿宋" w:eastAsia="仿宋" w:cs="仿宋"/>
          <w:spacing w:val="8"/>
          <w:kern w:val="0"/>
          <w:sz w:val="32"/>
          <w:szCs w:val="32"/>
          <w:highlight w:val="none"/>
          <w:shd w:val="clear" w:color="auto" w:fill="FFFFFF"/>
        </w:rPr>
        <w:t>、公司名称、联系人、联系电话、加盖公司印章）。</w:t>
      </w:r>
    </w:p>
    <w:p>
      <w:pPr>
        <w:keepNext w:val="0"/>
        <w:keepLines w:val="0"/>
        <w:pageBreakBefore w:val="0"/>
        <w:widowControl/>
        <w:kinsoku/>
        <w:wordWrap/>
        <w:overflowPunct/>
        <w:topLinePunct w:val="0"/>
        <w:autoSpaceDE/>
        <w:autoSpaceDN/>
        <w:bidi w:val="0"/>
        <w:adjustRightInd w:val="0"/>
        <w:snapToGrid w:val="0"/>
        <w:spacing w:line="360" w:lineRule="auto"/>
        <w:ind w:firstLine="672" w:firstLineChars="200"/>
        <w:textAlignment w:val="auto"/>
        <w:rPr>
          <w:rFonts w:hint="eastAsia" w:ascii="仿宋" w:hAnsi="仿宋" w:eastAsia="仿宋" w:cs="仿宋"/>
          <w:spacing w:val="8"/>
          <w:kern w:val="0"/>
          <w:sz w:val="32"/>
          <w:szCs w:val="32"/>
          <w:highlight w:val="none"/>
          <w:shd w:val="clear" w:color="auto" w:fill="FFFFFF"/>
        </w:rPr>
      </w:pPr>
      <w:r>
        <w:rPr>
          <w:rFonts w:hint="eastAsia" w:ascii="仿宋" w:hAnsi="仿宋" w:eastAsia="仿宋" w:cs="仿宋"/>
          <w:spacing w:val="8"/>
          <w:kern w:val="0"/>
          <w:sz w:val="32"/>
          <w:szCs w:val="32"/>
          <w:highlight w:val="none"/>
          <w:shd w:val="clear" w:color="auto" w:fill="FFFFFF"/>
        </w:rPr>
        <w:t>2.目录。</w:t>
      </w:r>
    </w:p>
    <w:p>
      <w:pPr>
        <w:keepNext w:val="0"/>
        <w:keepLines w:val="0"/>
        <w:pageBreakBefore w:val="0"/>
        <w:widowControl/>
        <w:kinsoku/>
        <w:wordWrap/>
        <w:overflowPunct/>
        <w:topLinePunct w:val="0"/>
        <w:autoSpaceDE/>
        <w:autoSpaceDN/>
        <w:bidi w:val="0"/>
        <w:adjustRightInd w:val="0"/>
        <w:snapToGrid w:val="0"/>
        <w:spacing w:line="360" w:lineRule="auto"/>
        <w:ind w:firstLine="672" w:firstLineChars="200"/>
        <w:textAlignment w:val="auto"/>
        <w:rPr>
          <w:rFonts w:hint="eastAsia" w:ascii="仿宋" w:hAnsi="仿宋" w:eastAsia="仿宋" w:cs="仿宋"/>
          <w:spacing w:val="8"/>
          <w:kern w:val="0"/>
          <w:sz w:val="32"/>
          <w:szCs w:val="32"/>
          <w:highlight w:val="none"/>
          <w:shd w:val="clear" w:color="auto" w:fill="FFFFFF"/>
        </w:rPr>
      </w:pPr>
      <w:r>
        <w:rPr>
          <w:rFonts w:hint="eastAsia" w:ascii="仿宋" w:hAnsi="仿宋" w:eastAsia="仿宋" w:cs="仿宋"/>
          <w:spacing w:val="8"/>
          <w:kern w:val="0"/>
          <w:sz w:val="32"/>
          <w:szCs w:val="32"/>
          <w:highlight w:val="none"/>
          <w:shd w:val="clear" w:color="auto" w:fill="FFFFFF"/>
        </w:rPr>
        <w:t>3.有效的营业执照（副本）复印件。</w:t>
      </w:r>
    </w:p>
    <w:p>
      <w:pPr>
        <w:keepNext w:val="0"/>
        <w:keepLines w:val="0"/>
        <w:pageBreakBefore w:val="0"/>
        <w:widowControl/>
        <w:kinsoku/>
        <w:wordWrap/>
        <w:overflowPunct/>
        <w:topLinePunct w:val="0"/>
        <w:autoSpaceDE/>
        <w:autoSpaceDN/>
        <w:bidi w:val="0"/>
        <w:adjustRightInd w:val="0"/>
        <w:snapToGrid w:val="0"/>
        <w:spacing w:line="360" w:lineRule="auto"/>
        <w:ind w:firstLine="672" w:firstLineChars="200"/>
        <w:textAlignment w:val="auto"/>
        <w:rPr>
          <w:rFonts w:hint="eastAsia" w:ascii="仿宋" w:hAnsi="仿宋" w:eastAsia="仿宋" w:cs="仿宋"/>
          <w:spacing w:val="8"/>
          <w:kern w:val="0"/>
          <w:sz w:val="32"/>
          <w:szCs w:val="32"/>
          <w:highlight w:val="none"/>
          <w:shd w:val="clear" w:color="auto" w:fill="FFFFFF"/>
        </w:rPr>
      </w:pPr>
      <w:r>
        <w:rPr>
          <w:rFonts w:hint="eastAsia" w:ascii="仿宋" w:hAnsi="仿宋" w:eastAsia="仿宋" w:cs="仿宋"/>
          <w:spacing w:val="8"/>
          <w:kern w:val="0"/>
          <w:sz w:val="32"/>
          <w:szCs w:val="32"/>
          <w:highlight w:val="none"/>
          <w:shd w:val="clear" w:color="auto" w:fill="FFFFFF"/>
        </w:rPr>
        <w:t>4.</w:t>
      </w:r>
      <w:r>
        <w:rPr>
          <w:rFonts w:hint="eastAsia" w:ascii="仿宋" w:hAnsi="仿宋" w:eastAsia="仿宋" w:cs="仿宋"/>
          <w:spacing w:val="8"/>
          <w:kern w:val="0"/>
          <w:sz w:val="32"/>
          <w:szCs w:val="32"/>
          <w:highlight w:val="none"/>
          <w:shd w:val="clear" w:color="auto" w:fill="FFFFFF"/>
          <w:lang w:eastAsia="zh-CN"/>
        </w:rPr>
        <w:t>授权参加本次采购活动的供应商代表证明。(供应商代表为“授权代表”时，提供授权委托书（</w:t>
      </w:r>
      <w:r>
        <w:rPr>
          <w:rFonts w:hint="eastAsia" w:ascii="仿宋" w:hAnsi="仿宋" w:eastAsia="仿宋" w:cs="仿宋"/>
          <w:spacing w:val="8"/>
          <w:kern w:val="0"/>
          <w:sz w:val="32"/>
          <w:szCs w:val="32"/>
          <w:highlight w:val="none"/>
          <w:shd w:val="clear" w:color="auto" w:fill="FFFFFF"/>
          <w:lang w:val="en-US" w:eastAsia="zh-CN"/>
        </w:rPr>
        <w:t>格式见附件5-5</w:t>
      </w:r>
      <w:r>
        <w:rPr>
          <w:rFonts w:hint="eastAsia" w:ascii="仿宋" w:hAnsi="仿宋" w:eastAsia="仿宋" w:cs="仿宋"/>
          <w:spacing w:val="8"/>
          <w:kern w:val="0"/>
          <w:sz w:val="32"/>
          <w:szCs w:val="32"/>
          <w:highlight w:val="none"/>
          <w:shd w:val="clear" w:color="auto" w:fill="FFFFFF"/>
          <w:lang w:eastAsia="zh-CN"/>
        </w:rPr>
        <w:t>）及身份证复印件；供应商代表为“法定代表人（单位负责人）”时，提供法定代表人（单位负责人）身份证</w:t>
      </w:r>
      <w:r>
        <w:rPr>
          <w:rFonts w:hint="eastAsia" w:ascii="仿宋" w:hAnsi="仿宋" w:eastAsia="仿宋" w:cs="仿宋"/>
          <w:spacing w:val="8"/>
          <w:kern w:val="0"/>
          <w:sz w:val="32"/>
          <w:szCs w:val="32"/>
          <w:highlight w:val="none"/>
          <w:shd w:val="clear" w:color="auto" w:fill="FFFFFF"/>
          <w:lang w:val="en-US" w:eastAsia="zh-CN"/>
        </w:rPr>
        <w:t>明</w:t>
      </w:r>
      <w:r>
        <w:rPr>
          <w:rFonts w:hint="eastAsia" w:ascii="仿宋" w:hAnsi="仿宋" w:eastAsia="仿宋" w:cs="仿宋"/>
          <w:spacing w:val="8"/>
          <w:kern w:val="0"/>
          <w:sz w:val="32"/>
          <w:szCs w:val="32"/>
          <w:highlight w:val="none"/>
          <w:shd w:val="clear" w:color="auto" w:fill="FFFFFF"/>
          <w:lang w:eastAsia="zh-CN"/>
        </w:rPr>
        <w:t>（</w:t>
      </w:r>
      <w:r>
        <w:rPr>
          <w:rFonts w:hint="eastAsia" w:ascii="仿宋" w:hAnsi="仿宋" w:eastAsia="仿宋" w:cs="仿宋"/>
          <w:spacing w:val="8"/>
          <w:kern w:val="0"/>
          <w:sz w:val="32"/>
          <w:szCs w:val="32"/>
          <w:highlight w:val="none"/>
          <w:shd w:val="clear" w:color="auto" w:fill="FFFFFF"/>
          <w:lang w:val="en-US" w:eastAsia="zh-CN"/>
        </w:rPr>
        <w:t>格式见附件5-6</w:t>
      </w:r>
      <w:r>
        <w:rPr>
          <w:rFonts w:hint="eastAsia" w:ascii="仿宋" w:hAnsi="仿宋" w:eastAsia="仿宋" w:cs="仿宋"/>
          <w:spacing w:val="8"/>
          <w:kern w:val="0"/>
          <w:sz w:val="32"/>
          <w:szCs w:val="32"/>
          <w:highlight w:val="none"/>
          <w:shd w:val="clear" w:color="auto" w:fill="FFFFFF"/>
          <w:lang w:eastAsia="zh-CN"/>
        </w:rPr>
        <w:t>）)</w:t>
      </w:r>
      <w:r>
        <w:rPr>
          <w:rFonts w:hint="eastAsia" w:ascii="仿宋" w:hAnsi="仿宋" w:eastAsia="仿宋" w:cs="仿宋"/>
          <w:spacing w:val="8"/>
          <w:kern w:val="0"/>
          <w:sz w:val="32"/>
          <w:szCs w:val="32"/>
          <w:highlight w:val="none"/>
          <w:shd w:val="clear" w:color="auto" w:fill="FFFFFF"/>
        </w:rPr>
        <w:t>。</w:t>
      </w:r>
    </w:p>
    <w:p>
      <w:pPr>
        <w:pStyle w:val="10"/>
        <w:widowControl/>
        <w:adjustRightInd w:val="0"/>
        <w:snapToGrid w:val="0"/>
        <w:spacing w:beforeAutospacing="0" w:afterAutospacing="0" w:line="360" w:lineRule="auto"/>
        <w:ind w:firstLine="672" w:firstLineChars="200"/>
        <w:jc w:val="both"/>
        <w:rPr>
          <w:rFonts w:hint="eastAsia" w:ascii="仿宋" w:hAnsi="仿宋" w:eastAsia="仿宋" w:cs="仿宋"/>
          <w:spacing w:val="8"/>
          <w:kern w:val="0"/>
          <w:sz w:val="32"/>
          <w:szCs w:val="32"/>
          <w:highlight w:val="none"/>
          <w:shd w:val="clear" w:color="auto" w:fill="FFFFFF"/>
          <w:lang w:val="en-US" w:eastAsia="zh-CN"/>
        </w:rPr>
      </w:pPr>
      <w:r>
        <w:rPr>
          <w:rFonts w:hint="eastAsia" w:ascii="仿宋" w:hAnsi="仿宋" w:eastAsia="仿宋" w:cs="仿宋"/>
          <w:spacing w:val="8"/>
          <w:kern w:val="0"/>
          <w:sz w:val="32"/>
          <w:szCs w:val="32"/>
          <w:highlight w:val="none"/>
          <w:shd w:val="clear" w:color="auto" w:fill="FFFFFF"/>
          <w:lang w:val="en-US" w:eastAsia="zh-CN"/>
        </w:rPr>
        <w:t>5.</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具有良好的商业信誉和健全的财务会计制度</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w:t>
      </w:r>
      <w:r>
        <w:rPr>
          <w:rFonts w:hint="eastAsia" w:ascii="仿宋" w:hAnsi="仿宋" w:eastAsia="仿宋" w:cs="仿宋"/>
          <w:b/>
          <w:bCs/>
          <w:color w:val="000000" w:themeColor="text1"/>
          <w:sz w:val="32"/>
          <w:szCs w:val="32"/>
          <w:highlight w:val="none"/>
          <w14:textFill>
            <w14:solidFill>
              <w14:schemeClr w14:val="tx1"/>
            </w14:solidFill>
          </w14:textFill>
        </w:rPr>
        <w:t>提供承诺函</w:t>
      </w:r>
      <w:r>
        <w:rPr>
          <w:rFonts w:hint="eastAsia" w:ascii="仿宋" w:hAnsi="仿宋" w:eastAsia="仿宋" w:cs="仿宋"/>
          <w:b/>
          <w:bCs/>
          <w:color w:val="000000" w:themeColor="text1"/>
          <w:sz w:val="32"/>
          <w:szCs w:val="32"/>
          <w:highlight w:val="none"/>
          <w:lang w:eastAsia="zh-CN"/>
          <w14:textFill>
            <w14:solidFill>
              <w14:schemeClr w14:val="tx1"/>
            </w14:solidFill>
          </w14:textFill>
        </w:rPr>
        <w:t>。</w:t>
      </w:r>
      <w:r>
        <w:rPr>
          <w:rFonts w:hint="eastAsia" w:ascii="仿宋" w:hAnsi="仿宋" w:eastAsia="仿宋" w:cs="仿宋"/>
          <w:spacing w:val="8"/>
          <w:kern w:val="0"/>
          <w:sz w:val="32"/>
          <w:szCs w:val="32"/>
          <w:highlight w:val="none"/>
          <w:shd w:val="clear" w:color="auto" w:fill="FFFFFF"/>
          <w:lang w:val="en-US" w:eastAsia="zh-CN"/>
        </w:rPr>
        <w:t>(格式自拟)</w:t>
      </w:r>
    </w:p>
    <w:p>
      <w:pPr>
        <w:keepNext w:val="0"/>
        <w:keepLines w:val="0"/>
        <w:pageBreakBefore w:val="0"/>
        <w:widowControl/>
        <w:kinsoku/>
        <w:wordWrap/>
        <w:overflowPunct/>
        <w:topLinePunct w:val="0"/>
        <w:autoSpaceDE/>
        <w:autoSpaceDN/>
        <w:bidi w:val="0"/>
        <w:adjustRightInd w:val="0"/>
        <w:snapToGrid w:val="0"/>
        <w:spacing w:line="360" w:lineRule="auto"/>
        <w:ind w:firstLine="672" w:firstLineChars="200"/>
        <w:textAlignment w:val="auto"/>
        <w:rPr>
          <w:rFonts w:hint="eastAsia" w:ascii="仿宋" w:hAnsi="仿宋" w:eastAsia="仿宋" w:cs="仿宋"/>
          <w:spacing w:val="8"/>
          <w:kern w:val="0"/>
          <w:sz w:val="32"/>
          <w:szCs w:val="32"/>
          <w:highlight w:val="none"/>
          <w:shd w:val="clear" w:color="auto" w:fill="FFFFFF"/>
          <w:lang w:val="en-US" w:eastAsia="zh-CN"/>
        </w:rPr>
      </w:pPr>
      <w:r>
        <w:rPr>
          <w:rFonts w:hint="eastAsia" w:ascii="仿宋" w:hAnsi="仿宋" w:eastAsia="仿宋" w:cs="仿宋"/>
          <w:spacing w:val="8"/>
          <w:kern w:val="0"/>
          <w:sz w:val="32"/>
          <w:szCs w:val="32"/>
          <w:highlight w:val="none"/>
          <w:shd w:val="clear" w:color="auto" w:fill="FFFFFF"/>
          <w:lang w:val="en-US" w:eastAsia="zh-CN"/>
        </w:rPr>
        <w:t>6.具有履行合同所必须的设备和专业技术能力，</w:t>
      </w:r>
      <w:r>
        <w:rPr>
          <w:rFonts w:hint="eastAsia" w:ascii="仿宋" w:hAnsi="仿宋" w:eastAsia="仿宋" w:cs="仿宋"/>
          <w:b/>
          <w:bCs/>
          <w:spacing w:val="8"/>
          <w:kern w:val="0"/>
          <w:sz w:val="32"/>
          <w:szCs w:val="32"/>
          <w:highlight w:val="none"/>
          <w:shd w:val="clear" w:color="auto" w:fill="FFFFFF"/>
          <w:lang w:val="en-US" w:eastAsia="zh-CN"/>
        </w:rPr>
        <w:t>提供承诺函</w:t>
      </w:r>
      <w:r>
        <w:rPr>
          <w:rFonts w:hint="eastAsia" w:ascii="仿宋" w:hAnsi="仿宋" w:eastAsia="仿宋" w:cs="仿宋"/>
          <w:spacing w:val="8"/>
          <w:kern w:val="0"/>
          <w:sz w:val="32"/>
          <w:szCs w:val="32"/>
          <w:highlight w:val="none"/>
          <w:shd w:val="clear" w:color="auto" w:fill="FFFFFF"/>
          <w:lang w:val="en-US" w:eastAsia="zh-CN"/>
        </w:rPr>
        <w:t>。(格式自拟)</w:t>
      </w:r>
    </w:p>
    <w:p>
      <w:pPr>
        <w:keepNext w:val="0"/>
        <w:keepLines w:val="0"/>
        <w:pageBreakBefore w:val="0"/>
        <w:widowControl/>
        <w:kinsoku/>
        <w:wordWrap/>
        <w:overflowPunct/>
        <w:topLinePunct w:val="0"/>
        <w:autoSpaceDE/>
        <w:autoSpaceDN/>
        <w:bidi w:val="0"/>
        <w:adjustRightInd w:val="0"/>
        <w:snapToGrid w:val="0"/>
        <w:spacing w:line="360" w:lineRule="auto"/>
        <w:ind w:firstLine="672" w:firstLineChars="200"/>
        <w:textAlignment w:val="auto"/>
        <w:rPr>
          <w:rFonts w:hint="eastAsia" w:ascii="仿宋" w:hAnsi="仿宋" w:eastAsia="仿宋" w:cs="仿宋"/>
          <w:spacing w:val="8"/>
          <w:kern w:val="0"/>
          <w:sz w:val="32"/>
          <w:szCs w:val="32"/>
          <w:highlight w:val="none"/>
          <w:shd w:val="clear" w:color="auto" w:fill="FFFFFF"/>
          <w:lang w:val="en-US" w:eastAsia="zh-CN"/>
        </w:rPr>
      </w:pPr>
      <w:r>
        <w:rPr>
          <w:rFonts w:hint="eastAsia" w:ascii="仿宋" w:hAnsi="仿宋" w:eastAsia="仿宋" w:cs="仿宋"/>
          <w:spacing w:val="8"/>
          <w:kern w:val="0"/>
          <w:sz w:val="32"/>
          <w:szCs w:val="32"/>
          <w:highlight w:val="none"/>
          <w:shd w:val="clear" w:color="auto" w:fill="FFFFFF"/>
          <w:lang w:val="en-US" w:eastAsia="zh-CN"/>
        </w:rPr>
        <w:t>7.具有依法缴纳税收和社会保障资金的良好记录，</w:t>
      </w:r>
      <w:r>
        <w:rPr>
          <w:rFonts w:hint="eastAsia" w:ascii="仿宋" w:hAnsi="仿宋" w:eastAsia="仿宋" w:cs="仿宋"/>
          <w:b/>
          <w:bCs/>
          <w:spacing w:val="8"/>
          <w:kern w:val="0"/>
          <w:sz w:val="32"/>
          <w:szCs w:val="32"/>
          <w:highlight w:val="none"/>
          <w:shd w:val="clear" w:color="auto" w:fill="FFFFFF"/>
          <w:lang w:val="en-US" w:eastAsia="zh-CN"/>
        </w:rPr>
        <w:t>提供承诺函</w:t>
      </w:r>
      <w:r>
        <w:rPr>
          <w:rFonts w:hint="eastAsia" w:ascii="仿宋" w:hAnsi="仿宋" w:eastAsia="仿宋" w:cs="仿宋"/>
          <w:spacing w:val="8"/>
          <w:kern w:val="0"/>
          <w:sz w:val="32"/>
          <w:szCs w:val="32"/>
          <w:highlight w:val="none"/>
          <w:shd w:val="clear" w:color="auto" w:fill="FFFFFF"/>
          <w:lang w:val="en-US" w:eastAsia="zh-CN"/>
        </w:rPr>
        <w:t>。(格式自拟)</w:t>
      </w:r>
    </w:p>
    <w:p>
      <w:pPr>
        <w:keepNext w:val="0"/>
        <w:keepLines w:val="0"/>
        <w:pageBreakBefore w:val="0"/>
        <w:widowControl/>
        <w:kinsoku/>
        <w:wordWrap/>
        <w:overflowPunct/>
        <w:topLinePunct w:val="0"/>
        <w:autoSpaceDE/>
        <w:autoSpaceDN/>
        <w:bidi w:val="0"/>
        <w:adjustRightInd w:val="0"/>
        <w:snapToGrid w:val="0"/>
        <w:spacing w:line="360" w:lineRule="auto"/>
        <w:ind w:firstLine="672" w:firstLineChars="200"/>
        <w:textAlignment w:val="auto"/>
        <w:rPr>
          <w:rFonts w:hint="eastAsia" w:ascii="仿宋" w:hAnsi="仿宋" w:eastAsia="仿宋" w:cs="仿宋"/>
          <w:spacing w:val="8"/>
          <w:kern w:val="0"/>
          <w:sz w:val="32"/>
          <w:szCs w:val="32"/>
          <w:highlight w:val="none"/>
          <w:shd w:val="clear" w:color="auto" w:fill="FFFFFF"/>
          <w:lang w:val="en-US" w:eastAsia="zh-CN"/>
        </w:rPr>
      </w:pPr>
      <w:r>
        <w:rPr>
          <w:rFonts w:hint="eastAsia" w:ascii="仿宋" w:hAnsi="仿宋" w:eastAsia="仿宋" w:cs="仿宋"/>
          <w:spacing w:val="8"/>
          <w:kern w:val="0"/>
          <w:sz w:val="32"/>
          <w:szCs w:val="32"/>
          <w:highlight w:val="none"/>
          <w:shd w:val="clear" w:color="auto" w:fill="FFFFFF"/>
          <w:lang w:val="en-US" w:eastAsia="zh-CN"/>
        </w:rPr>
        <w:t>8.参加本次采购活动前三年内，在经营活动中没有重大违法记录；没有因安全事故、质量事故、违规等被政府有关部门记录，</w:t>
      </w:r>
      <w:r>
        <w:rPr>
          <w:rFonts w:hint="eastAsia" w:ascii="仿宋" w:hAnsi="仿宋" w:eastAsia="仿宋" w:cs="仿宋"/>
          <w:b/>
          <w:bCs/>
          <w:spacing w:val="8"/>
          <w:kern w:val="0"/>
          <w:sz w:val="32"/>
          <w:szCs w:val="32"/>
          <w:highlight w:val="none"/>
          <w:shd w:val="clear" w:color="auto" w:fill="FFFFFF"/>
          <w:lang w:val="en-US" w:eastAsia="zh-CN"/>
        </w:rPr>
        <w:t>提供承诺函</w:t>
      </w:r>
      <w:r>
        <w:rPr>
          <w:rFonts w:hint="eastAsia" w:ascii="仿宋" w:hAnsi="仿宋" w:eastAsia="仿宋" w:cs="仿宋"/>
          <w:spacing w:val="8"/>
          <w:kern w:val="0"/>
          <w:sz w:val="32"/>
          <w:szCs w:val="32"/>
          <w:highlight w:val="none"/>
          <w:shd w:val="clear" w:color="auto" w:fill="FFFFFF"/>
          <w:lang w:val="en-US" w:eastAsia="zh-CN"/>
        </w:rPr>
        <w:t>。(格式自拟)</w:t>
      </w:r>
    </w:p>
    <w:p>
      <w:pPr>
        <w:keepNext w:val="0"/>
        <w:keepLines w:val="0"/>
        <w:pageBreakBefore w:val="0"/>
        <w:widowControl/>
        <w:kinsoku/>
        <w:wordWrap/>
        <w:overflowPunct/>
        <w:topLinePunct w:val="0"/>
        <w:autoSpaceDE/>
        <w:autoSpaceDN/>
        <w:bidi w:val="0"/>
        <w:adjustRightInd w:val="0"/>
        <w:snapToGrid w:val="0"/>
        <w:spacing w:line="360" w:lineRule="auto"/>
        <w:ind w:firstLine="672" w:firstLineChars="200"/>
        <w:textAlignment w:val="auto"/>
        <w:rPr>
          <w:rFonts w:hint="eastAsia" w:ascii="仿宋" w:hAnsi="仿宋" w:eastAsia="仿宋" w:cs="仿宋"/>
          <w:spacing w:val="8"/>
          <w:kern w:val="0"/>
          <w:sz w:val="28"/>
          <w:szCs w:val="32"/>
          <w:highlight w:val="none"/>
          <w:shd w:val="clear" w:color="auto" w:fill="FFFFFF"/>
          <w:lang w:val="en-US" w:eastAsia="zh-CN"/>
        </w:rPr>
      </w:pPr>
      <w:r>
        <w:rPr>
          <w:rFonts w:hint="eastAsia" w:ascii="仿宋" w:hAnsi="仿宋" w:eastAsia="仿宋" w:cs="仿宋"/>
          <w:spacing w:val="8"/>
          <w:kern w:val="0"/>
          <w:sz w:val="32"/>
          <w:szCs w:val="32"/>
          <w:highlight w:val="none"/>
          <w:shd w:val="clear" w:color="auto" w:fill="FFFFFF"/>
          <w:lang w:val="en-US" w:eastAsia="zh-CN"/>
        </w:rPr>
        <w:t>9.供应商负责人为同一人或者存在控股、管理关系的不同单位，均视为同一参会供应商，不得重复参加采购，</w:t>
      </w:r>
      <w:r>
        <w:rPr>
          <w:rFonts w:hint="eastAsia" w:ascii="仿宋" w:hAnsi="仿宋" w:eastAsia="仿宋" w:cs="仿宋"/>
          <w:b/>
          <w:bCs/>
          <w:spacing w:val="8"/>
          <w:kern w:val="0"/>
          <w:sz w:val="32"/>
          <w:szCs w:val="32"/>
          <w:highlight w:val="none"/>
          <w:shd w:val="clear" w:color="auto" w:fill="FFFFFF"/>
          <w:lang w:val="en-US" w:eastAsia="zh-CN"/>
        </w:rPr>
        <w:t>提供承诺函</w:t>
      </w:r>
      <w:r>
        <w:rPr>
          <w:rFonts w:hint="eastAsia" w:ascii="仿宋" w:hAnsi="仿宋" w:eastAsia="仿宋" w:cs="仿宋"/>
          <w:spacing w:val="8"/>
          <w:kern w:val="0"/>
          <w:sz w:val="32"/>
          <w:szCs w:val="32"/>
          <w:highlight w:val="none"/>
          <w:shd w:val="clear" w:color="auto" w:fill="FFFFFF"/>
          <w:lang w:val="en-US" w:eastAsia="zh-CN"/>
        </w:rPr>
        <w:t>。(格式自拟)</w:t>
      </w:r>
    </w:p>
    <w:p>
      <w:pPr>
        <w:keepNext w:val="0"/>
        <w:keepLines w:val="0"/>
        <w:pageBreakBefore w:val="0"/>
        <w:widowControl/>
        <w:kinsoku/>
        <w:wordWrap/>
        <w:overflowPunct/>
        <w:topLinePunct w:val="0"/>
        <w:autoSpaceDE/>
        <w:autoSpaceDN/>
        <w:bidi w:val="0"/>
        <w:adjustRightInd w:val="0"/>
        <w:snapToGrid w:val="0"/>
        <w:spacing w:line="400" w:lineRule="exact"/>
        <w:ind w:firstLine="800" w:firstLineChars="200"/>
        <w:textAlignment w:val="auto"/>
        <w:rPr>
          <w:rFonts w:hint="eastAsia" w:ascii="仿宋" w:hAnsi="仿宋" w:eastAsia="仿宋" w:cs="仿宋"/>
          <w:bCs/>
          <w:kern w:val="0"/>
          <w:sz w:val="40"/>
          <w:szCs w:val="44"/>
          <w:highlight w:val="none"/>
          <w:shd w:val="clear" w:color="auto" w:fill="FFFFFF"/>
        </w:rPr>
      </w:pPr>
      <w:r>
        <w:rPr>
          <w:rFonts w:hint="eastAsia" w:ascii="仿宋" w:hAnsi="仿宋" w:eastAsia="仿宋" w:cs="仿宋"/>
          <w:bCs/>
          <w:kern w:val="0"/>
          <w:sz w:val="40"/>
          <w:szCs w:val="44"/>
          <w:highlight w:val="none"/>
          <w:shd w:val="clear" w:color="auto" w:fill="FFFFFF"/>
        </w:rPr>
        <w:br w:type="page"/>
      </w:r>
    </w:p>
    <w:p>
      <w:pPr>
        <w:widowControl/>
        <w:adjustRightInd w:val="0"/>
        <w:snapToGrid w:val="0"/>
        <w:spacing w:line="580" w:lineRule="exact"/>
        <w:jc w:val="left"/>
        <w:outlineLvl w:val="0"/>
        <w:rPr>
          <w:rFonts w:hint="eastAsia" w:ascii="仿宋" w:hAnsi="仿宋" w:eastAsia="仿宋" w:cs="仿宋"/>
          <w:bCs/>
          <w:kern w:val="0"/>
          <w:sz w:val="40"/>
          <w:szCs w:val="44"/>
          <w:highlight w:val="none"/>
          <w:shd w:val="clear" w:color="auto" w:fill="FFFFFF"/>
        </w:rPr>
      </w:pPr>
      <w:r>
        <w:rPr>
          <w:rFonts w:hint="eastAsia" w:ascii="仿宋" w:hAnsi="仿宋" w:eastAsia="仿宋" w:cs="仿宋"/>
          <w:sz w:val="28"/>
          <w:szCs w:val="32"/>
          <w:highlight w:val="none"/>
        </w:rPr>
        <w:t>附件</w:t>
      </w:r>
      <w:r>
        <w:rPr>
          <w:rFonts w:hint="eastAsia" w:ascii="仿宋" w:hAnsi="仿宋" w:eastAsia="仿宋" w:cs="仿宋"/>
          <w:sz w:val="28"/>
          <w:szCs w:val="32"/>
          <w:highlight w:val="none"/>
          <w:lang w:val="en-US" w:eastAsia="zh-CN"/>
        </w:rPr>
        <w:t>4：</w:t>
      </w:r>
    </w:p>
    <w:p>
      <w:pPr>
        <w:widowControl/>
        <w:adjustRightInd w:val="0"/>
        <w:snapToGrid w:val="0"/>
        <w:spacing w:line="580" w:lineRule="exact"/>
        <w:jc w:val="center"/>
        <w:rPr>
          <w:rFonts w:hint="eastAsia" w:ascii="仿宋" w:hAnsi="仿宋" w:eastAsia="仿宋" w:cs="仿宋"/>
          <w:bCs/>
          <w:kern w:val="0"/>
          <w:sz w:val="40"/>
          <w:szCs w:val="44"/>
          <w:highlight w:val="none"/>
          <w:shd w:val="clear" w:color="auto" w:fill="FFFFFF"/>
        </w:rPr>
      </w:pPr>
      <w:r>
        <w:rPr>
          <w:rFonts w:hint="eastAsia" w:ascii="仿宋" w:hAnsi="仿宋" w:eastAsia="仿宋" w:cs="仿宋"/>
          <w:bCs/>
          <w:kern w:val="0"/>
          <w:sz w:val="40"/>
          <w:szCs w:val="44"/>
          <w:highlight w:val="none"/>
          <w:shd w:val="clear" w:color="auto" w:fill="FFFFFF"/>
        </w:rPr>
        <w:t>采购</w:t>
      </w:r>
      <w:r>
        <w:rPr>
          <w:rFonts w:hint="eastAsia" w:ascii="仿宋" w:hAnsi="仿宋" w:eastAsia="仿宋" w:cs="仿宋"/>
          <w:bCs/>
          <w:kern w:val="0"/>
          <w:sz w:val="40"/>
          <w:szCs w:val="44"/>
          <w:highlight w:val="none"/>
          <w:shd w:val="clear" w:color="auto" w:fill="FFFFFF"/>
          <w:lang w:val="en-US" w:eastAsia="zh-CN"/>
        </w:rPr>
        <w:t>响应</w:t>
      </w:r>
      <w:r>
        <w:rPr>
          <w:rFonts w:hint="eastAsia" w:ascii="仿宋" w:hAnsi="仿宋" w:eastAsia="仿宋" w:cs="仿宋"/>
          <w:bCs/>
          <w:kern w:val="0"/>
          <w:sz w:val="40"/>
          <w:szCs w:val="44"/>
          <w:highlight w:val="none"/>
          <w:shd w:val="clear" w:color="auto" w:fill="FFFFFF"/>
        </w:rPr>
        <w:t>文件装订顺序</w:t>
      </w:r>
    </w:p>
    <w:p>
      <w:pPr>
        <w:pStyle w:val="5"/>
        <w:rPr>
          <w:rFonts w:hint="eastAsia" w:ascii="仿宋" w:hAnsi="仿宋" w:eastAsia="仿宋" w:cs="仿宋"/>
          <w:highlight w:val="none"/>
        </w:rPr>
      </w:pPr>
    </w:p>
    <w:p>
      <w:pPr>
        <w:keepNext w:val="0"/>
        <w:keepLines w:val="0"/>
        <w:pageBreakBefore w:val="0"/>
        <w:widowControl/>
        <w:kinsoku/>
        <w:wordWrap/>
        <w:overflowPunct/>
        <w:topLinePunct w:val="0"/>
        <w:autoSpaceDE/>
        <w:autoSpaceDN/>
        <w:bidi w:val="0"/>
        <w:adjustRightInd w:val="0"/>
        <w:snapToGrid w:val="0"/>
        <w:spacing w:line="400" w:lineRule="exact"/>
        <w:ind w:firstLine="592" w:firstLineChars="200"/>
        <w:textAlignment w:val="auto"/>
        <w:rPr>
          <w:rFonts w:hint="eastAsia" w:ascii="仿宋" w:hAnsi="仿宋" w:eastAsia="仿宋" w:cs="仿宋"/>
          <w:spacing w:val="8"/>
          <w:kern w:val="0"/>
          <w:sz w:val="28"/>
          <w:szCs w:val="32"/>
          <w:highlight w:val="none"/>
          <w:shd w:val="clear" w:color="auto" w:fill="FFFFFF"/>
        </w:rPr>
      </w:pPr>
      <w:r>
        <w:rPr>
          <w:rFonts w:hint="eastAsia" w:ascii="仿宋" w:hAnsi="仿宋" w:eastAsia="仿宋" w:cs="仿宋"/>
          <w:spacing w:val="8"/>
          <w:kern w:val="0"/>
          <w:sz w:val="28"/>
          <w:szCs w:val="32"/>
          <w:highlight w:val="none"/>
          <w:shd w:val="clear" w:color="auto" w:fill="FFFFFF"/>
        </w:rPr>
        <w:t>1.封面（注明包号、</w:t>
      </w:r>
      <w:r>
        <w:rPr>
          <w:rFonts w:hint="eastAsia" w:ascii="仿宋" w:hAnsi="仿宋" w:eastAsia="仿宋" w:cs="仿宋"/>
          <w:spacing w:val="8"/>
          <w:kern w:val="0"/>
          <w:sz w:val="28"/>
          <w:szCs w:val="32"/>
          <w:highlight w:val="none"/>
          <w:shd w:val="clear" w:color="auto" w:fill="FFFFFF"/>
          <w:lang w:val="en-US" w:eastAsia="zh-CN"/>
        </w:rPr>
        <w:t>项目名称</w:t>
      </w:r>
      <w:r>
        <w:rPr>
          <w:rFonts w:hint="eastAsia" w:ascii="仿宋" w:hAnsi="仿宋" w:eastAsia="仿宋" w:cs="仿宋"/>
          <w:spacing w:val="8"/>
          <w:kern w:val="0"/>
          <w:sz w:val="28"/>
          <w:szCs w:val="32"/>
          <w:highlight w:val="none"/>
          <w:shd w:val="clear" w:color="auto" w:fill="FFFFFF"/>
        </w:rPr>
        <w:t>、公司名称、联系人、联系电话、加盖公司印章）。</w:t>
      </w:r>
    </w:p>
    <w:p>
      <w:pPr>
        <w:keepNext w:val="0"/>
        <w:keepLines w:val="0"/>
        <w:pageBreakBefore w:val="0"/>
        <w:widowControl/>
        <w:kinsoku/>
        <w:wordWrap/>
        <w:overflowPunct/>
        <w:topLinePunct w:val="0"/>
        <w:autoSpaceDE/>
        <w:autoSpaceDN/>
        <w:bidi w:val="0"/>
        <w:adjustRightInd w:val="0"/>
        <w:snapToGrid w:val="0"/>
        <w:spacing w:line="400" w:lineRule="exact"/>
        <w:ind w:firstLine="592" w:firstLineChars="200"/>
        <w:textAlignment w:val="auto"/>
        <w:rPr>
          <w:rFonts w:hint="eastAsia" w:ascii="仿宋" w:hAnsi="仿宋" w:eastAsia="仿宋" w:cs="仿宋"/>
          <w:spacing w:val="8"/>
          <w:kern w:val="0"/>
          <w:sz w:val="28"/>
          <w:szCs w:val="32"/>
          <w:highlight w:val="none"/>
          <w:shd w:val="clear" w:color="auto" w:fill="FFFFFF"/>
        </w:rPr>
      </w:pPr>
      <w:r>
        <w:rPr>
          <w:rFonts w:hint="eastAsia" w:ascii="仿宋" w:hAnsi="仿宋" w:eastAsia="仿宋" w:cs="仿宋"/>
          <w:spacing w:val="8"/>
          <w:kern w:val="0"/>
          <w:sz w:val="28"/>
          <w:szCs w:val="32"/>
          <w:highlight w:val="none"/>
          <w:shd w:val="clear" w:color="auto" w:fill="FFFFFF"/>
        </w:rPr>
        <w:t>2.目录。</w:t>
      </w:r>
    </w:p>
    <w:p>
      <w:pPr>
        <w:keepNext w:val="0"/>
        <w:keepLines w:val="0"/>
        <w:pageBreakBefore w:val="0"/>
        <w:widowControl/>
        <w:kinsoku/>
        <w:wordWrap/>
        <w:overflowPunct/>
        <w:topLinePunct w:val="0"/>
        <w:autoSpaceDE/>
        <w:autoSpaceDN/>
        <w:bidi w:val="0"/>
        <w:adjustRightInd w:val="0"/>
        <w:snapToGrid w:val="0"/>
        <w:spacing w:line="400" w:lineRule="exact"/>
        <w:ind w:firstLine="592" w:firstLineChars="200"/>
        <w:textAlignment w:val="auto"/>
        <w:rPr>
          <w:rFonts w:hint="eastAsia" w:ascii="仿宋" w:hAnsi="仿宋" w:eastAsia="仿宋" w:cs="仿宋"/>
          <w:spacing w:val="8"/>
          <w:kern w:val="0"/>
          <w:sz w:val="28"/>
          <w:szCs w:val="32"/>
          <w:highlight w:val="none"/>
          <w:shd w:val="clear" w:color="auto" w:fill="FFFFFF"/>
        </w:rPr>
      </w:pPr>
      <w:r>
        <w:rPr>
          <w:rFonts w:hint="eastAsia" w:ascii="仿宋" w:hAnsi="仿宋" w:eastAsia="仿宋" w:cs="仿宋"/>
          <w:spacing w:val="8"/>
          <w:kern w:val="0"/>
          <w:sz w:val="28"/>
          <w:szCs w:val="32"/>
          <w:highlight w:val="none"/>
          <w:shd w:val="clear" w:color="auto" w:fill="FFFFFF"/>
        </w:rPr>
        <w:t>3.报价一览表（格式见附件</w:t>
      </w:r>
      <w:r>
        <w:rPr>
          <w:rFonts w:hint="eastAsia" w:ascii="仿宋" w:hAnsi="仿宋" w:eastAsia="仿宋" w:cs="仿宋"/>
          <w:spacing w:val="8"/>
          <w:kern w:val="0"/>
          <w:sz w:val="28"/>
          <w:szCs w:val="32"/>
          <w:highlight w:val="none"/>
          <w:shd w:val="clear" w:color="auto" w:fill="FFFFFF"/>
          <w:lang w:val="en-US" w:eastAsia="zh-CN"/>
        </w:rPr>
        <w:t>5-1</w:t>
      </w:r>
      <w:r>
        <w:rPr>
          <w:rFonts w:hint="eastAsia" w:ascii="仿宋" w:hAnsi="仿宋" w:eastAsia="仿宋" w:cs="仿宋"/>
          <w:spacing w:val="8"/>
          <w:kern w:val="0"/>
          <w:sz w:val="28"/>
          <w:szCs w:val="32"/>
          <w:highlight w:val="none"/>
          <w:shd w:val="clear" w:color="auto" w:fill="FFFFFF"/>
        </w:rPr>
        <w:t>）。</w:t>
      </w:r>
    </w:p>
    <w:p>
      <w:pPr>
        <w:keepNext w:val="0"/>
        <w:keepLines w:val="0"/>
        <w:pageBreakBefore w:val="0"/>
        <w:widowControl/>
        <w:kinsoku/>
        <w:wordWrap/>
        <w:overflowPunct/>
        <w:topLinePunct w:val="0"/>
        <w:autoSpaceDE/>
        <w:autoSpaceDN/>
        <w:bidi w:val="0"/>
        <w:adjustRightInd w:val="0"/>
        <w:snapToGrid w:val="0"/>
        <w:spacing w:line="400" w:lineRule="exact"/>
        <w:ind w:firstLine="592" w:firstLineChars="200"/>
        <w:textAlignment w:val="auto"/>
        <w:rPr>
          <w:rFonts w:hint="eastAsia" w:ascii="仿宋" w:hAnsi="仿宋" w:eastAsia="仿宋" w:cs="仿宋"/>
          <w:spacing w:val="8"/>
          <w:kern w:val="0"/>
          <w:sz w:val="28"/>
          <w:szCs w:val="32"/>
          <w:highlight w:val="none"/>
          <w:shd w:val="clear" w:color="auto" w:fill="FFFFFF"/>
          <w:lang w:eastAsia="zh-CN"/>
        </w:rPr>
      </w:pPr>
      <w:r>
        <w:rPr>
          <w:rFonts w:hint="eastAsia" w:ascii="仿宋" w:hAnsi="仿宋" w:eastAsia="仿宋" w:cs="仿宋"/>
          <w:spacing w:val="8"/>
          <w:kern w:val="0"/>
          <w:sz w:val="28"/>
          <w:szCs w:val="32"/>
          <w:highlight w:val="none"/>
          <w:shd w:val="clear" w:color="auto" w:fill="FFFFFF"/>
        </w:rPr>
        <w:t>4.技术</w:t>
      </w:r>
      <w:r>
        <w:rPr>
          <w:rFonts w:hint="eastAsia" w:ascii="仿宋" w:hAnsi="仿宋" w:eastAsia="仿宋" w:cs="仿宋"/>
          <w:spacing w:val="8"/>
          <w:kern w:val="0"/>
          <w:sz w:val="28"/>
          <w:szCs w:val="32"/>
          <w:highlight w:val="none"/>
          <w:shd w:val="clear" w:color="auto" w:fill="FFFFFF"/>
          <w:lang w:eastAsia="zh-CN"/>
        </w:rPr>
        <w:t>、</w:t>
      </w:r>
      <w:r>
        <w:rPr>
          <w:rFonts w:hint="eastAsia" w:ascii="仿宋" w:hAnsi="仿宋" w:eastAsia="仿宋" w:cs="仿宋"/>
          <w:spacing w:val="8"/>
          <w:kern w:val="0"/>
          <w:sz w:val="28"/>
          <w:szCs w:val="32"/>
          <w:highlight w:val="none"/>
          <w:shd w:val="clear" w:color="auto" w:fill="FFFFFF"/>
        </w:rPr>
        <w:t>商务要求偏离表（格式见附件</w:t>
      </w:r>
      <w:r>
        <w:rPr>
          <w:rFonts w:hint="eastAsia" w:ascii="仿宋" w:hAnsi="仿宋" w:eastAsia="仿宋" w:cs="仿宋"/>
          <w:spacing w:val="8"/>
          <w:kern w:val="0"/>
          <w:sz w:val="28"/>
          <w:szCs w:val="32"/>
          <w:highlight w:val="none"/>
          <w:shd w:val="clear" w:color="auto" w:fill="FFFFFF"/>
          <w:lang w:val="en-US" w:eastAsia="zh-CN"/>
        </w:rPr>
        <w:t>5</w:t>
      </w:r>
      <w:r>
        <w:rPr>
          <w:rFonts w:hint="eastAsia" w:ascii="仿宋" w:hAnsi="仿宋" w:eastAsia="仿宋" w:cs="仿宋"/>
          <w:spacing w:val="8"/>
          <w:kern w:val="0"/>
          <w:sz w:val="28"/>
          <w:szCs w:val="32"/>
          <w:highlight w:val="none"/>
          <w:shd w:val="clear" w:color="auto" w:fill="FFFFFF"/>
        </w:rPr>
        <w:t>-</w:t>
      </w:r>
      <w:r>
        <w:rPr>
          <w:rFonts w:hint="eastAsia" w:ascii="仿宋" w:hAnsi="仿宋" w:eastAsia="仿宋" w:cs="仿宋"/>
          <w:spacing w:val="8"/>
          <w:kern w:val="0"/>
          <w:sz w:val="28"/>
          <w:szCs w:val="32"/>
          <w:highlight w:val="none"/>
          <w:shd w:val="clear" w:color="auto" w:fill="FFFFFF"/>
          <w:lang w:val="en-US" w:eastAsia="zh-CN"/>
        </w:rPr>
        <w:t>3</w:t>
      </w:r>
      <w:r>
        <w:rPr>
          <w:rFonts w:hint="eastAsia" w:ascii="仿宋" w:hAnsi="仿宋" w:eastAsia="仿宋" w:cs="仿宋"/>
          <w:spacing w:val="8"/>
          <w:kern w:val="0"/>
          <w:sz w:val="28"/>
          <w:szCs w:val="32"/>
          <w:highlight w:val="none"/>
          <w:shd w:val="clear" w:color="auto" w:fill="FFFFFF"/>
        </w:rPr>
        <w:t>）</w:t>
      </w:r>
      <w:r>
        <w:rPr>
          <w:rFonts w:hint="eastAsia" w:ascii="仿宋" w:hAnsi="仿宋" w:eastAsia="仿宋" w:cs="仿宋"/>
          <w:spacing w:val="8"/>
          <w:kern w:val="0"/>
          <w:sz w:val="28"/>
          <w:szCs w:val="32"/>
          <w:highlight w:val="none"/>
          <w:shd w:val="clear" w:color="auto" w:fill="FFFFFF"/>
          <w:lang w:eastAsia="zh-CN"/>
        </w:rPr>
        <w:t>。</w:t>
      </w:r>
    </w:p>
    <w:p>
      <w:pPr>
        <w:keepNext w:val="0"/>
        <w:keepLines w:val="0"/>
        <w:pageBreakBefore w:val="0"/>
        <w:widowControl/>
        <w:kinsoku/>
        <w:wordWrap/>
        <w:overflowPunct/>
        <w:topLinePunct w:val="0"/>
        <w:autoSpaceDE/>
        <w:autoSpaceDN/>
        <w:bidi w:val="0"/>
        <w:adjustRightInd w:val="0"/>
        <w:snapToGrid w:val="0"/>
        <w:spacing w:line="400" w:lineRule="exact"/>
        <w:ind w:firstLine="592" w:firstLineChars="200"/>
        <w:textAlignment w:val="auto"/>
        <w:rPr>
          <w:rFonts w:hint="eastAsia" w:ascii="仿宋" w:hAnsi="仿宋" w:eastAsia="仿宋" w:cs="仿宋"/>
          <w:spacing w:val="8"/>
          <w:kern w:val="0"/>
          <w:sz w:val="28"/>
          <w:szCs w:val="32"/>
          <w:highlight w:val="none"/>
          <w:shd w:val="clear" w:color="auto" w:fill="FFFFFF"/>
        </w:rPr>
      </w:pPr>
      <w:r>
        <w:rPr>
          <w:rFonts w:hint="eastAsia" w:ascii="仿宋" w:hAnsi="仿宋" w:eastAsia="仿宋" w:cs="仿宋"/>
          <w:spacing w:val="8"/>
          <w:kern w:val="0"/>
          <w:sz w:val="28"/>
          <w:szCs w:val="32"/>
          <w:highlight w:val="none"/>
          <w:shd w:val="clear" w:color="auto" w:fill="FFFFFF"/>
          <w:lang w:val="en-US" w:eastAsia="zh-CN"/>
        </w:rPr>
        <w:t>5.</w:t>
      </w:r>
      <w:r>
        <w:rPr>
          <w:rFonts w:hint="eastAsia" w:ascii="仿宋" w:hAnsi="仿宋" w:eastAsia="仿宋" w:cs="仿宋"/>
          <w:spacing w:val="8"/>
          <w:kern w:val="0"/>
          <w:sz w:val="28"/>
          <w:szCs w:val="32"/>
          <w:highlight w:val="none"/>
          <w:shd w:val="clear" w:color="auto" w:fill="FFFFFF"/>
        </w:rPr>
        <w:t>售后服务承诺</w:t>
      </w:r>
      <w:r>
        <w:rPr>
          <w:rFonts w:hint="eastAsia" w:ascii="仿宋" w:hAnsi="仿宋" w:eastAsia="仿宋" w:cs="仿宋"/>
          <w:spacing w:val="8"/>
          <w:kern w:val="0"/>
          <w:sz w:val="28"/>
          <w:szCs w:val="32"/>
          <w:highlight w:val="none"/>
          <w:shd w:val="clear" w:color="auto" w:fill="FFFFFF"/>
          <w:lang w:val="en-US" w:eastAsia="zh-CN"/>
        </w:rPr>
        <w:t>。</w:t>
      </w:r>
    </w:p>
    <w:p>
      <w:pPr>
        <w:keepNext w:val="0"/>
        <w:keepLines w:val="0"/>
        <w:pageBreakBefore w:val="0"/>
        <w:widowControl/>
        <w:kinsoku/>
        <w:wordWrap/>
        <w:overflowPunct/>
        <w:topLinePunct w:val="0"/>
        <w:autoSpaceDE/>
        <w:autoSpaceDN/>
        <w:bidi w:val="0"/>
        <w:adjustRightInd w:val="0"/>
        <w:snapToGrid w:val="0"/>
        <w:spacing w:line="400" w:lineRule="exact"/>
        <w:ind w:firstLine="592" w:firstLineChars="200"/>
        <w:textAlignment w:val="auto"/>
        <w:rPr>
          <w:rFonts w:hint="eastAsia" w:ascii="仿宋" w:hAnsi="仿宋" w:eastAsia="仿宋" w:cs="仿宋"/>
          <w:spacing w:val="8"/>
          <w:kern w:val="0"/>
          <w:sz w:val="28"/>
          <w:szCs w:val="32"/>
          <w:highlight w:val="none"/>
          <w:shd w:val="clear" w:color="auto" w:fill="FFFFFF"/>
          <w:lang w:eastAsia="zh-CN"/>
        </w:rPr>
      </w:pPr>
      <w:r>
        <w:rPr>
          <w:rFonts w:hint="eastAsia" w:ascii="仿宋" w:hAnsi="仿宋" w:eastAsia="仿宋" w:cs="仿宋"/>
          <w:spacing w:val="8"/>
          <w:kern w:val="0"/>
          <w:sz w:val="28"/>
          <w:szCs w:val="32"/>
          <w:highlight w:val="none"/>
          <w:shd w:val="clear" w:color="auto" w:fill="FFFFFF"/>
          <w:lang w:val="en-US" w:eastAsia="zh-CN"/>
        </w:rPr>
        <w:t>6.反商业贿赂承诺书（</w:t>
      </w:r>
      <w:r>
        <w:rPr>
          <w:rFonts w:hint="eastAsia" w:ascii="仿宋" w:hAnsi="仿宋" w:eastAsia="仿宋" w:cs="仿宋"/>
          <w:spacing w:val="8"/>
          <w:kern w:val="0"/>
          <w:sz w:val="28"/>
          <w:szCs w:val="32"/>
          <w:highlight w:val="none"/>
          <w:shd w:val="clear" w:color="auto" w:fill="FFFFFF"/>
        </w:rPr>
        <w:t>格式见附件</w:t>
      </w:r>
      <w:r>
        <w:rPr>
          <w:rFonts w:hint="eastAsia" w:ascii="仿宋" w:hAnsi="仿宋" w:eastAsia="仿宋" w:cs="仿宋"/>
          <w:spacing w:val="8"/>
          <w:kern w:val="0"/>
          <w:sz w:val="28"/>
          <w:szCs w:val="32"/>
          <w:highlight w:val="none"/>
          <w:shd w:val="clear" w:color="auto" w:fill="FFFFFF"/>
          <w:lang w:val="en-US" w:eastAsia="zh-CN"/>
        </w:rPr>
        <w:t>6）</w:t>
      </w:r>
      <w:r>
        <w:rPr>
          <w:rFonts w:hint="eastAsia" w:ascii="仿宋" w:hAnsi="仿宋" w:eastAsia="仿宋" w:cs="仿宋"/>
          <w:spacing w:val="8"/>
          <w:kern w:val="0"/>
          <w:sz w:val="28"/>
          <w:szCs w:val="32"/>
          <w:highlight w:val="none"/>
          <w:shd w:val="clear" w:color="auto" w:fill="FFFFFF"/>
          <w:lang w:eastAsia="zh-CN"/>
        </w:rPr>
        <w:t>。</w:t>
      </w:r>
    </w:p>
    <w:p>
      <w:pPr>
        <w:keepNext w:val="0"/>
        <w:keepLines w:val="0"/>
        <w:pageBreakBefore w:val="0"/>
        <w:widowControl/>
        <w:kinsoku/>
        <w:wordWrap/>
        <w:overflowPunct/>
        <w:topLinePunct w:val="0"/>
        <w:autoSpaceDE/>
        <w:autoSpaceDN/>
        <w:bidi w:val="0"/>
        <w:adjustRightInd w:val="0"/>
        <w:snapToGrid w:val="0"/>
        <w:spacing w:line="400" w:lineRule="exact"/>
        <w:ind w:firstLine="592" w:firstLineChars="200"/>
        <w:textAlignment w:val="auto"/>
        <w:rPr>
          <w:rFonts w:hint="eastAsia" w:ascii="仿宋" w:hAnsi="仿宋" w:eastAsia="仿宋" w:cs="仿宋"/>
          <w:spacing w:val="8"/>
          <w:kern w:val="0"/>
          <w:sz w:val="28"/>
          <w:szCs w:val="32"/>
          <w:highlight w:val="none"/>
          <w:shd w:val="clear" w:color="auto" w:fill="FFFFFF"/>
          <w:lang w:val="en-US" w:eastAsia="zh-CN"/>
        </w:rPr>
      </w:pPr>
      <w:r>
        <w:rPr>
          <w:rFonts w:hint="eastAsia" w:ascii="仿宋" w:hAnsi="仿宋" w:eastAsia="仿宋" w:cs="仿宋"/>
          <w:spacing w:val="8"/>
          <w:kern w:val="0"/>
          <w:sz w:val="28"/>
          <w:szCs w:val="32"/>
          <w:highlight w:val="none"/>
          <w:shd w:val="clear" w:color="auto" w:fill="FFFFFF"/>
          <w:lang w:val="en-US" w:eastAsia="zh-CN"/>
        </w:rPr>
        <w:t>7.禁止围标、串标情况承诺函（</w:t>
      </w:r>
      <w:r>
        <w:rPr>
          <w:rFonts w:hint="eastAsia" w:ascii="仿宋" w:hAnsi="仿宋" w:eastAsia="仿宋" w:cs="仿宋"/>
          <w:spacing w:val="8"/>
          <w:kern w:val="0"/>
          <w:sz w:val="28"/>
          <w:szCs w:val="32"/>
          <w:highlight w:val="none"/>
          <w:shd w:val="clear" w:color="auto" w:fill="FFFFFF"/>
        </w:rPr>
        <w:t>格式见附件</w:t>
      </w:r>
      <w:r>
        <w:rPr>
          <w:rFonts w:hint="eastAsia" w:ascii="仿宋" w:hAnsi="仿宋" w:eastAsia="仿宋" w:cs="仿宋"/>
          <w:spacing w:val="8"/>
          <w:kern w:val="0"/>
          <w:sz w:val="28"/>
          <w:szCs w:val="32"/>
          <w:highlight w:val="none"/>
          <w:shd w:val="clear" w:color="auto" w:fill="FFFFFF"/>
          <w:lang w:val="en-US" w:eastAsia="zh-CN"/>
        </w:rPr>
        <w:t>7）。</w:t>
      </w:r>
    </w:p>
    <w:p>
      <w:pPr>
        <w:keepNext w:val="0"/>
        <w:keepLines w:val="0"/>
        <w:pageBreakBefore w:val="0"/>
        <w:widowControl/>
        <w:kinsoku/>
        <w:wordWrap/>
        <w:overflowPunct/>
        <w:topLinePunct w:val="0"/>
        <w:autoSpaceDE/>
        <w:autoSpaceDN/>
        <w:bidi w:val="0"/>
        <w:adjustRightInd w:val="0"/>
        <w:snapToGrid w:val="0"/>
        <w:spacing w:line="400" w:lineRule="exact"/>
        <w:ind w:firstLine="592" w:firstLineChars="200"/>
        <w:textAlignment w:val="auto"/>
        <w:rPr>
          <w:rFonts w:hint="eastAsia" w:ascii="仿宋" w:hAnsi="仿宋" w:eastAsia="仿宋" w:cs="仿宋"/>
          <w:spacing w:val="8"/>
          <w:kern w:val="0"/>
          <w:sz w:val="28"/>
          <w:szCs w:val="32"/>
          <w:highlight w:val="none"/>
          <w:shd w:val="clear" w:color="auto" w:fill="FFFFFF"/>
          <w:lang w:val="en-US" w:eastAsia="zh-CN"/>
        </w:rPr>
      </w:pPr>
      <w:r>
        <w:rPr>
          <w:rFonts w:hint="eastAsia" w:ascii="仿宋" w:hAnsi="仿宋" w:eastAsia="仿宋" w:cs="仿宋"/>
          <w:spacing w:val="8"/>
          <w:kern w:val="0"/>
          <w:sz w:val="28"/>
          <w:szCs w:val="32"/>
          <w:highlight w:val="none"/>
          <w:shd w:val="clear" w:color="auto" w:fill="FFFFFF"/>
          <w:lang w:val="en-US" w:eastAsia="zh-CN"/>
        </w:rPr>
        <w:t>8.供应商遵守招标采购纪律承诺书（</w:t>
      </w:r>
      <w:r>
        <w:rPr>
          <w:rFonts w:hint="eastAsia" w:ascii="仿宋" w:hAnsi="仿宋" w:eastAsia="仿宋" w:cs="仿宋"/>
          <w:spacing w:val="8"/>
          <w:kern w:val="0"/>
          <w:sz w:val="28"/>
          <w:szCs w:val="32"/>
          <w:highlight w:val="none"/>
          <w:shd w:val="clear" w:color="auto" w:fill="FFFFFF"/>
        </w:rPr>
        <w:t>格式见附件</w:t>
      </w:r>
      <w:r>
        <w:rPr>
          <w:rFonts w:hint="eastAsia" w:ascii="仿宋" w:hAnsi="仿宋" w:eastAsia="仿宋" w:cs="仿宋"/>
          <w:spacing w:val="8"/>
          <w:kern w:val="0"/>
          <w:sz w:val="28"/>
          <w:szCs w:val="32"/>
          <w:highlight w:val="none"/>
          <w:shd w:val="clear" w:color="auto" w:fill="FFFFFF"/>
          <w:lang w:val="en-US" w:eastAsia="zh-CN"/>
        </w:rPr>
        <w:t>8）。</w:t>
      </w:r>
    </w:p>
    <w:p>
      <w:pPr>
        <w:keepNext w:val="0"/>
        <w:keepLines w:val="0"/>
        <w:pageBreakBefore w:val="0"/>
        <w:widowControl/>
        <w:kinsoku/>
        <w:wordWrap/>
        <w:overflowPunct/>
        <w:topLinePunct w:val="0"/>
        <w:autoSpaceDE/>
        <w:autoSpaceDN/>
        <w:bidi w:val="0"/>
        <w:adjustRightInd w:val="0"/>
        <w:snapToGrid w:val="0"/>
        <w:spacing w:line="400" w:lineRule="exact"/>
        <w:ind w:firstLine="592" w:firstLineChars="200"/>
        <w:textAlignment w:val="auto"/>
        <w:rPr>
          <w:rFonts w:hint="eastAsia" w:ascii="仿宋" w:hAnsi="仿宋" w:eastAsia="仿宋" w:cs="仿宋"/>
          <w:spacing w:val="8"/>
          <w:kern w:val="0"/>
          <w:sz w:val="28"/>
          <w:szCs w:val="32"/>
          <w:highlight w:val="none"/>
          <w:shd w:val="clear" w:color="auto" w:fill="FFFFFF"/>
          <w:lang w:eastAsia="zh-CN"/>
        </w:rPr>
      </w:pPr>
      <w:r>
        <w:rPr>
          <w:rFonts w:hint="eastAsia" w:ascii="仿宋" w:hAnsi="仿宋" w:eastAsia="仿宋" w:cs="仿宋"/>
          <w:spacing w:val="8"/>
          <w:kern w:val="0"/>
          <w:sz w:val="28"/>
          <w:szCs w:val="32"/>
          <w:highlight w:val="none"/>
          <w:shd w:val="clear" w:color="auto" w:fill="FFFFFF"/>
          <w:lang w:val="en-US" w:eastAsia="zh-CN"/>
        </w:rPr>
        <w:t>9.行业相关</w:t>
      </w:r>
      <w:r>
        <w:rPr>
          <w:rFonts w:hint="eastAsia" w:ascii="仿宋" w:hAnsi="仿宋" w:eastAsia="仿宋" w:cs="仿宋"/>
          <w:spacing w:val="8"/>
          <w:kern w:val="0"/>
          <w:sz w:val="28"/>
          <w:szCs w:val="32"/>
          <w:highlight w:val="none"/>
          <w:shd w:val="clear" w:color="auto" w:fill="FFFFFF"/>
        </w:rPr>
        <w:t>规范或标准</w:t>
      </w:r>
      <w:r>
        <w:rPr>
          <w:rFonts w:hint="eastAsia" w:ascii="仿宋" w:hAnsi="仿宋" w:eastAsia="仿宋" w:cs="仿宋"/>
          <w:spacing w:val="8"/>
          <w:kern w:val="0"/>
          <w:sz w:val="28"/>
          <w:szCs w:val="32"/>
          <w:highlight w:val="none"/>
          <w:shd w:val="clear" w:color="auto" w:fill="FFFFFF"/>
          <w:lang w:eastAsia="zh-CN"/>
        </w:rPr>
        <w:t>（</w:t>
      </w:r>
      <w:r>
        <w:rPr>
          <w:rFonts w:hint="eastAsia" w:ascii="仿宋" w:hAnsi="仿宋" w:eastAsia="仿宋" w:cs="仿宋"/>
          <w:spacing w:val="8"/>
          <w:kern w:val="0"/>
          <w:sz w:val="28"/>
          <w:szCs w:val="32"/>
          <w:highlight w:val="none"/>
          <w:shd w:val="clear" w:color="auto" w:fill="FFFFFF"/>
          <w:lang w:val="en-US" w:eastAsia="zh-CN"/>
        </w:rPr>
        <w:t>如有</w:t>
      </w:r>
      <w:r>
        <w:rPr>
          <w:rFonts w:hint="eastAsia" w:ascii="仿宋" w:hAnsi="仿宋" w:eastAsia="仿宋" w:cs="仿宋"/>
          <w:spacing w:val="8"/>
          <w:kern w:val="0"/>
          <w:sz w:val="28"/>
          <w:szCs w:val="32"/>
          <w:highlight w:val="none"/>
          <w:shd w:val="clear" w:color="auto" w:fill="FFFFFF"/>
          <w:lang w:eastAsia="zh-CN"/>
        </w:rPr>
        <w:t>）。</w:t>
      </w:r>
    </w:p>
    <w:p>
      <w:pPr>
        <w:keepNext w:val="0"/>
        <w:keepLines w:val="0"/>
        <w:pageBreakBefore w:val="0"/>
        <w:widowControl/>
        <w:kinsoku/>
        <w:wordWrap/>
        <w:overflowPunct/>
        <w:topLinePunct w:val="0"/>
        <w:autoSpaceDE/>
        <w:autoSpaceDN/>
        <w:bidi w:val="0"/>
        <w:adjustRightInd w:val="0"/>
        <w:snapToGrid w:val="0"/>
        <w:spacing w:line="400" w:lineRule="exact"/>
        <w:ind w:firstLine="592" w:firstLineChars="200"/>
        <w:textAlignment w:val="auto"/>
        <w:rPr>
          <w:rFonts w:hint="eastAsia" w:ascii="仿宋" w:hAnsi="仿宋" w:eastAsia="仿宋" w:cs="仿宋"/>
          <w:spacing w:val="8"/>
          <w:kern w:val="0"/>
          <w:sz w:val="28"/>
          <w:szCs w:val="32"/>
          <w:highlight w:val="none"/>
          <w:shd w:val="clear" w:color="auto" w:fill="FFFFFF"/>
          <w:lang w:val="en-US" w:eastAsia="zh-CN"/>
        </w:rPr>
      </w:pPr>
      <w:r>
        <w:rPr>
          <w:rFonts w:hint="eastAsia" w:ascii="仿宋" w:hAnsi="仿宋" w:eastAsia="仿宋" w:cs="仿宋"/>
          <w:spacing w:val="8"/>
          <w:kern w:val="0"/>
          <w:sz w:val="28"/>
          <w:szCs w:val="32"/>
          <w:highlight w:val="none"/>
          <w:shd w:val="clear" w:color="auto" w:fill="FFFFFF"/>
          <w:lang w:val="en-US" w:eastAsia="zh-CN"/>
        </w:rPr>
        <w:t>10.供应商认为需要提供的其它资料</w:t>
      </w:r>
      <w:r>
        <w:rPr>
          <w:rFonts w:hint="eastAsia" w:ascii="仿宋" w:hAnsi="仿宋" w:eastAsia="仿宋" w:cs="仿宋"/>
          <w:spacing w:val="8"/>
          <w:kern w:val="0"/>
          <w:sz w:val="28"/>
          <w:szCs w:val="32"/>
          <w:highlight w:val="none"/>
          <w:shd w:val="clear" w:color="auto" w:fill="FFFFFF"/>
          <w:lang w:eastAsia="zh-CN"/>
        </w:rPr>
        <w:t>。</w:t>
      </w:r>
    </w:p>
    <w:p>
      <w:pPr>
        <w:keepNext w:val="0"/>
        <w:keepLines w:val="0"/>
        <w:pageBreakBefore w:val="0"/>
        <w:widowControl/>
        <w:kinsoku/>
        <w:wordWrap/>
        <w:overflowPunct/>
        <w:topLinePunct w:val="0"/>
        <w:autoSpaceDE/>
        <w:autoSpaceDN/>
        <w:bidi w:val="0"/>
        <w:adjustRightInd w:val="0"/>
        <w:snapToGrid w:val="0"/>
        <w:spacing w:line="400" w:lineRule="exact"/>
        <w:ind w:firstLine="592" w:firstLineChars="200"/>
        <w:textAlignment w:val="auto"/>
        <w:rPr>
          <w:rFonts w:hint="eastAsia" w:ascii="仿宋" w:hAnsi="仿宋" w:eastAsia="仿宋" w:cs="仿宋"/>
          <w:spacing w:val="8"/>
          <w:kern w:val="0"/>
          <w:sz w:val="28"/>
          <w:szCs w:val="32"/>
          <w:highlight w:val="none"/>
          <w:shd w:val="clear" w:color="auto" w:fill="FFFFFF"/>
          <w:lang w:eastAsia="zh-CN"/>
        </w:rPr>
      </w:pPr>
      <w:r>
        <w:rPr>
          <w:rFonts w:hint="eastAsia" w:ascii="仿宋" w:hAnsi="仿宋" w:eastAsia="仿宋" w:cs="仿宋"/>
          <w:spacing w:val="8"/>
          <w:kern w:val="0"/>
          <w:sz w:val="28"/>
          <w:szCs w:val="32"/>
          <w:highlight w:val="none"/>
          <w:shd w:val="clear" w:color="auto" w:fill="FFFFFF"/>
          <w:lang w:val="en-US" w:eastAsia="zh-CN"/>
        </w:rPr>
        <w:t>11.</w:t>
      </w:r>
      <w:r>
        <w:rPr>
          <w:rFonts w:hint="eastAsia" w:ascii="仿宋" w:hAnsi="仿宋" w:eastAsia="仿宋" w:cs="仿宋"/>
          <w:spacing w:val="8"/>
          <w:kern w:val="0"/>
          <w:sz w:val="28"/>
          <w:szCs w:val="32"/>
          <w:highlight w:val="none"/>
          <w:shd w:val="clear" w:color="auto" w:fill="FFFFFF"/>
        </w:rPr>
        <w:t>封底</w:t>
      </w:r>
      <w:r>
        <w:rPr>
          <w:rFonts w:hint="eastAsia" w:ascii="仿宋" w:hAnsi="仿宋" w:eastAsia="仿宋" w:cs="仿宋"/>
          <w:spacing w:val="8"/>
          <w:kern w:val="0"/>
          <w:sz w:val="28"/>
          <w:szCs w:val="32"/>
          <w:highlight w:val="none"/>
          <w:shd w:val="clear" w:color="auto" w:fill="FFFFFF"/>
          <w:lang w:eastAsia="zh-CN"/>
        </w:rPr>
        <w:t>。</w:t>
      </w:r>
    </w:p>
    <w:p>
      <w:pPr>
        <w:keepNext w:val="0"/>
        <w:keepLines w:val="0"/>
        <w:pageBreakBefore w:val="0"/>
        <w:kinsoku/>
        <w:wordWrap/>
        <w:overflowPunct/>
        <w:topLinePunct w:val="0"/>
        <w:autoSpaceDE/>
        <w:autoSpaceDN/>
        <w:bidi w:val="0"/>
        <w:adjustRightInd w:val="0"/>
        <w:snapToGrid w:val="0"/>
        <w:spacing w:line="400" w:lineRule="exact"/>
        <w:ind w:firstLine="562" w:firstLineChars="200"/>
        <w:textAlignment w:val="auto"/>
        <w:rPr>
          <w:rFonts w:hint="eastAsia" w:ascii="仿宋" w:hAnsi="仿宋" w:eastAsia="仿宋" w:cs="仿宋"/>
          <w:b/>
          <w:bCs/>
          <w:kern w:val="0"/>
          <w:sz w:val="28"/>
          <w:szCs w:val="32"/>
          <w:highlight w:val="none"/>
          <w:shd w:val="clear" w:color="auto" w:fill="FFFFFF"/>
        </w:rPr>
      </w:pPr>
      <w:r>
        <w:rPr>
          <w:rFonts w:hint="eastAsia" w:ascii="仿宋" w:hAnsi="仿宋" w:eastAsia="仿宋" w:cs="仿宋"/>
          <w:b/>
          <w:bCs/>
          <w:kern w:val="0"/>
          <w:sz w:val="28"/>
          <w:szCs w:val="32"/>
          <w:highlight w:val="none"/>
          <w:shd w:val="clear" w:color="auto" w:fill="FFFFFF"/>
        </w:rPr>
        <w:t>注：请务必按以上顺序装订资料，如有非中文资料，请同时提供中文翻译件。</w:t>
      </w:r>
    </w:p>
    <w:p>
      <w:pPr>
        <w:pStyle w:val="5"/>
        <w:keepNext w:val="0"/>
        <w:keepLines w:val="0"/>
        <w:pageBreakBefore w:val="0"/>
        <w:kinsoku/>
        <w:wordWrap/>
        <w:overflowPunct/>
        <w:topLinePunct w:val="0"/>
        <w:autoSpaceDE/>
        <w:autoSpaceDN/>
        <w:bidi w:val="0"/>
        <w:spacing w:line="400" w:lineRule="exact"/>
        <w:textAlignment w:val="auto"/>
        <w:rPr>
          <w:rFonts w:hint="eastAsia" w:ascii="仿宋" w:hAnsi="仿宋" w:eastAsia="仿宋" w:cs="仿宋"/>
          <w:b/>
          <w:bCs/>
          <w:kern w:val="0"/>
          <w:sz w:val="28"/>
          <w:szCs w:val="32"/>
          <w:highlight w:val="none"/>
          <w:shd w:val="clear" w:color="auto" w:fill="FFFFFF"/>
        </w:rPr>
      </w:pPr>
    </w:p>
    <w:p>
      <w:pPr>
        <w:keepNext w:val="0"/>
        <w:keepLines w:val="0"/>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sz w:val="28"/>
          <w:szCs w:val="32"/>
          <w:highlight w:val="none"/>
        </w:rPr>
      </w:pPr>
    </w:p>
    <w:p>
      <w:pPr>
        <w:adjustRightInd w:val="0"/>
        <w:snapToGrid w:val="0"/>
        <w:spacing w:line="580" w:lineRule="exact"/>
        <w:rPr>
          <w:rFonts w:hint="eastAsia" w:ascii="仿宋" w:hAnsi="仿宋" w:eastAsia="仿宋" w:cs="仿宋"/>
          <w:sz w:val="28"/>
          <w:szCs w:val="32"/>
          <w:highlight w:val="none"/>
        </w:rPr>
      </w:pPr>
    </w:p>
    <w:p>
      <w:pPr>
        <w:rPr>
          <w:rFonts w:hint="eastAsia" w:ascii="仿宋" w:hAnsi="仿宋" w:eastAsia="仿宋" w:cs="仿宋"/>
          <w:sz w:val="28"/>
          <w:szCs w:val="32"/>
          <w:highlight w:val="none"/>
        </w:rPr>
      </w:pPr>
      <w:r>
        <w:rPr>
          <w:rFonts w:hint="eastAsia" w:ascii="仿宋" w:hAnsi="仿宋" w:eastAsia="仿宋" w:cs="仿宋"/>
          <w:sz w:val="28"/>
          <w:szCs w:val="32"/>
          <w:highlight w:val="none"/>
        </w:rPr>
        <w:br w:type="page"/>
      </w:r>
    </w:p>
    <w:p>
      <w:pPr>
        <w:adjustRightInd w:val="0"/>
        <w:snapToGrid w:val="0"/>
        <w:spacing w:line="580" w:lineRule="exact"/>
        <w:outlineLvl w:val="0"/>
        <w:rPr>
          <w:rFonts w:hint="eastAsia" w:ascii="仿宋" w:hAnsi="仿宋" w:eastAsia="仿宋" w:cs="仿宋"/>
          <w:sz w:val="28"/>
          <w:szCs w:val="32"/>
          <w:highlight w:val="none"/>
          <w:lang w:val="en-US" w:eastAsia="zh-CN"/>
        </w:rPr>
      </w:pPr>
      <w:r>
        <w:rPr>
          <w:rFonts w:hint="eastAsia" w:ascii="仿宋" w:hAnsi="仿宋" w:eastAsia="仿宋" w:cs="仿宋"/>
          <w:sz w:val="28"/>
          <w:szCs w:val="32"/>
          <w:highlight w:val="none"/>
        </w:rPr>
        <w:t>附件</w:t>
      </w:r>
      <w:r>
        <w:rPr>
          <w:rFonts w:hint="eastAsia" w:ascii="仿宋" w:hAnsi="仿宋" w:eastAsia="仿宋" w:cs="仿宋"/>
          <w:sz w:val="28"/>
          <w:szCs w:val="32"/>
          <w:highlight w:val="none"/>
          <w:lang w:val="en-US" w:eastAsia="zh-CN"/>
        </w:rPr>
        <w:t>5</w:t>
      </w:r>
      <w:r>
        <w:rPr>
          <w:rFonts w:hint="eastAsia" w:ascii="仿宋" w:hAnsi="仿宋" w:eastAsia="仿宋" w:cs="仿宋"/>
          <w:sz w:val="28"/>
          <w:szCs w:val="32"/>
          <w:highlight w:val="none"/>
        </w:rPr>
        <w:t>：主要表格</w:t>
      </w:r>
      <w:r>
        <w:rPr>
          <w:rFonts w:hint="eastAsia" w:ascii="仿宋" w:hAnsi="仿宋" w:eastAsia="仿宋" w:cs="仿宋"/>
          <w:sz w:val="28"/>
          <w:szCs w:val="32"/>
          <w:highlight w:val="none"/>
          <w:lang w:val="en-US" w:eastAsia="zh-CN"/>
        </w:rPr>
        <w:t>格式</w:t>
      </w:r>
    </w:p>
    <w:p>
      <w:pPr>
        <w:widowControl/>
        <w:shd w:val="clear" w:color="auto" w:fill="FFFFFF"/>
        <w:wordWrap w:val="0"/>
        <w:spacing w:line="400" w:lineRule="atLeast"/>
        <w:jc w:val="left"/>
        <w:rPr>
          <w:rFonts w:hint="eastAsia" w:ascii="仿宋" w:hAnsi="仿宋" w:eastAsia="仿宋" w:cs="仿宋"/>
          <w:color w:val="auto"/>
          <w:kern w:val="0"/>
          <w:sz w:val="30"/>
          <w:szCs w:val="30"/>
          <w:highlight w:val="none"/>
          <w:u w:val="single"/>
          <w:lang w:val="en-US" w:eastAsia="zh-CN"/>
        </w:rPr>
      </w:pPr>
      <w:r>
        <w:rPr>
          <w:rFonts w:hint="eastAsia" w:ascii="仿宋" w:hAnsi="仿宋" w:eastAsia="仿宋" w:cs="仿宋"/>
          <w:b/>
          <w:bCs/>
          <w:color w:val="auto"/>
          <w:kern w:val="0"/>
          <w:sz w:val="24"/>
          <w:szCs w:val="24"/>
          <w:highlight w:val="none"/>
        </w:rPr>
        <w:t>附件</w:t>
      </w:r>
      <w:r>
        <w:rPr>
          <w:rFonts w:hint="eastAsia" w:ascii="仿宋" w:hAnsi="仿宋" w:eastAsia="仿宋" w:cs="仿宋"/>
          <w:b/>
          <w:bCs/>
          <w:color w:val="auto"/>
          <w:kern w:val="0"/>
          <w:sz w:val="24"/>
          <w:szCs w:val="24"/>
          <w:highlight w:val="none"/>
          <w:lang w:val="en-US" w:eastAsia="zh-CN"/>
        </w:rPr>
        <w:t>5</w:t>
      </w:r>
      <w:r>
        <w:rPr>
          <w:rFonts w:hint="eastAsia" w:ascii="仿宋" w:hAnsi="仿宋" w:eastAsia="仿宋" w:cs="仿宋"/>
          <w:b/>
          <w:bCs/>
          <w:color w:val="auto"/>
          <w:kern w:val="0"/>
          <w:sz w:val="24"/>
          <w:szCs w:val="24"/>
          <w:highlight w:val="none"/>
        </w:rPr>
        <w:t>-1：</w:t>
      </w:r>
    </w:p>
    <w:p>
      <w:pPr>
        <w:keepNext w:val="0"/>
        <w:keepLines w:val="0"/>
        <w:pageBreakBefore w:val="0"/>
        <w:widowControl/>
        <w:kinsoku/>
        <w:wordWrap/>
        <w:overflowPunct/>
        <w:topLinePunct w:val="0"/>
        <w:autoSpaceDE/>
        <w:autoSpaceDN/>
        <w:bidi w:val="0"/>
        <w:snapToGrid/>
        <w:spacing w:beforeAutospacing="0" w:afterAutospacing="0" w:line="360" w:lineRule="auto"/>
        <w:jc w:val="center"/>
        <w:textAlignment w:val="auto"/>
        <w:rPr>
          <w:rFonts w:hint="eastAsia" w:ascii="仿宋" w:hAnsi="仿宋" w:eastAsia="仿宋" w:cs="仿宋"/>
          <w:sz w:val="44"/>
          <w:szCs w:val="44"/>
          <w:highlight w:val="none"/>
        </w:rPr>
      </w:pPr>
      <w:r>
        <w:rPr>
          <w:rFonts w:hint="eastAsia" w:ascii="仿宋" w:hAnsi="仿宋" w:eastAsia="仿宋" w:cs="仿宋"/>
          <w:color w:val="auto"/>
          <w:kern w:val="0"/>
          <w:sz w:val="30"/>
          <w:szCs w:val="30"/>
          <w:highlight w:val="none"/>
          <w:u w:val="single"/>
          <w:lang w:val="en-US" w:eastAsia="zh-CN"/>
        </w:rPr>
        <w:t>项目名称</w:t>
      </w:r>
      <w:r>
        <w:rPr>
          <w:rFonts w:hint="eastAsia" w:ascii="仿宋" w:hAnsi="仿宋" w:eastAsia="仿宋" w:cs="仿宋"/>
          <w:color w:val="auto"/>
          <w:kern w:val="0"/>
          <w:sz w:val="30"/>
          <w:szCs w:val="30"/>
          <w:highlight w:val="none"/>
          <w:lang w:val="en-US" w:eastAsia="zh-CN"/>
        </w:rPr>
        <w:t>采购项目报价一览表</w:t>
      </w:r>
    </w:p>
    <w:tbl>
      <w:tblPr>
        <w:tblStyle w:val="12"/>
        <w:tblW w:w="4998" w:type="pct"/>
        <w:jc w:val="center"/>
        <w:tblLayout w:type="autofit"/>
        <w:tblCellMar>
          <w:top w:w="0" w:type="dxa"/>
          <w:left w:w="0" w:type="dxa"/>
          <w:bottom w:w="0" w:type="dxa"/>
          <w:right w:w="0" w:type="dxa"/>
        </w:tblCellMar>
      </w:tblPr>
      <w:tblGrid>
        <w:gridCol w:w="440"/>
        <w:gridCol w:w="2058"/>
        <w:gridCol w:w="1455"/>
        <w:gridCol w:w="1455"/>
        <w:gridCol w:w="1065"/>
        <w:gridCol w:w="1860"/>
      </w:tblGrid>
      <w:tr>
        <w:tblPrEx>
          <w:tblCellMar>
            <w:top w:w="0" w:type="dxa"/>
            <w:left w:w="0" w:type="dxa"/>
            <w:bottom w:w="0" w:type="dxa"/>
            <w:right w:w="0" w:type="dxa"/>
          </w:tblCellMar>
        </w:tblPrEx>
        <w:trPr>
          <w:trHeight w:val="771" w:hRule="atLeast"/>
          <w:jc w:val="center"/>
        </w:trPr>
        <w:tc>
          <w:tcPr>
            <w:tcW w:w="2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b/>
                <w:bCs/>
                <w:sz w:val="24"/>
                <w:highlight w:val="none"/>
              </w:rPr>
            </w:pPr>
            <w:r>
              <w:rPr>
                <w:rFonts w:hint="eastAsia" w:ascii="仿宋" w:hAnsi="仿宋" w:eastAsia="仿宋" w:cs="仿宋"/>
                <w:b/>
                <w:bCs/>
                <w:color w:val="000000"/>
                <w:kern w:val="0"/>
                <w:sz w:val="24"/>
                <w:highlight w:val="none"/>
                <w:lang w:bidi="ar"/>
              </w:rPr>
              <w:t>序号</w:t>
            </w:r>
          </w:p>
        </w:tc>
        <w:tc>
          <w:tcPr>
            <w:tcW w:w="12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b/>
                <w:bCs/>
                <w:sz w:val="24"/>
                <w:highlight w:val="none"/>
                <w:lang w:val="en-US" w:eastAsia="zh-CN"/>
              </w:rPr>
            </w:pPr>
            <w:r>
              <w:rPr>
                <w:rFonts w:hint="eastAsia" w:ascii="仿宋" w:hAnsi="仿宋" w:eastAsia="仿宋" w:cs="仿宋"/>
                <w:b/>
                <w:bCs/>
                <w:color w:val="000000"/>
                <w:kern w:val="0"/>
                <w:sz w:val="24"/>
                <w:highlight w:val="none"/>
                <w:lang w:val="en-US" w:eastAsia="zh-CN" w:bidi="ar"/>
              </w:rPr>
              <w:t>标的名称</w:t>
            </w:r>
          </w:p>
        </w:tc>
        <w:tc>
          <w:tcPr>
            <w:tcW w:w="873" w:type="pct"/>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adjustRightInd w:val="0"/>
              <w:snapToGrid w:val="0"/>
              <w:spacing w:after="0" w:line="360" w:lineRule="auto"/>
              <w:jc w:val="center"/>
              <w:rPr>
                <w:rFonts w:hint="eastAsia" w:ascii="仿宋" w:hAnsi="仿宋" w:eastAsia="仿宋" w:cs="仿宋"/>
                <w:b/>
                <w:color w:val="000000" w:themeColor="text1"/>
                <w:szCs w:val="21"/>
                <w:highlight w:val="none"/>
                <w:lang w:val="en-US" w:eastAsia="zh-CN"/>
                <w14:textFill>
                  <w14:solidFill>
                    <w14:schemeClr w14:val="tx1"/>
                  </w14:solidFill>
                </w14:textFill>
              </w:rPr>
            </w:pPr>
            <w:r>
              <w:rPr>
                <w:rFonts w:hint="eastAsia" w:ascii="仿宋" w:hAnsi="仿宋" w:eastAsia="仿宋" w:cs="仿宋"/>
                <w:b/>
                <w:color w:val="000000" w:themeColor="text1"/>
                <w:szCs w:val="21"/>
                <w:highlight w:val="none"/>
                <w:lang w:val="en-US" w:eastAsia="zh-CN"/>
                <w14:textFill>
                  <w14:solidFill>
                    <w14:schemeClr w14:val="tx1"/>
                  </w14:solidFill>
                </w14:textFill>
              </w:rPr>
              <w:t>计量单位</w:t>
            </w:r>
          </w:p>
        </w:tc>
        <w:tc>
          <w:tcPr>
            <w:tcW w:w="873" w:type="pct"/>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adjustRightInd w:val="0"/>
              <w:snapToGrid w:val="0"/>
              <w:spacing w:after="0" w:line="360" w:lineRule="auto"/>
              <w:jc w:val="center"/>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lang w:val="en-US" w:eastAsia="zh-CN"/>
                <w14:textFill>
                  <w14:solidFill>
                    <w14:schemeClr w14:val="tx1"/>
                  </w14:solidFill>
                </w14:textFill>
              </w:rPr>
              <w:t>单价</w:t>
            </w:r>
            <w:r>
              <w:rPr>
                <w:rFonts w:hint="eastAsia" w:ascii="仿宋" w:hAnsi="仿宋" w:eastAsia="仿宋" w:cs="仿宋"/>
                <w:b/>
                <w:color w:val="000000" w:themeColor="text1"/>
                <w:szCs w:val="21"/>
                <w:highlight w:val="none"/>
                <w14:textFill>
                  <w14:solidFill>
                    <w14:schemeClr w14:val="tx1"/>
                  </w14:solidFill>
                </w14:textFill>
              </w:rPr>
              <w:t>最高限价</w:t>
            </w:r>
          </w:p>
          <w:p>
            <w:pPr>
              <w:widowControl/>
              <w:adjustRightInd w:val="0"/>
              <w:snapToGrid w:val="0"/>
              <w:spacing w:after="0" w:line="360" w:lineRule="auto"/>
              <w:jc w:val="center"/>
              <w:rPr>
                <w:rFonts w:hint="eastAsia" w:ascii="仿宋" w:hAnsi="仿宋" w:eastAsia="仿宋" w:cs="仿宋"/>
                <w:b/>
                <w:bCs/>
                <w:color w:val="000000"/>
                <w:kern w:val="0"/>
                <w:sz w:val="24"/>
                <w:highlight w:val="none"/>
                <w:lang w:val="en-US" w:eastAsia="zh-CN" w:bidi="ar"/>
              </w:rPr>
            </w:pPr>
            <w:r>
              <w:rPr>
                <w:rFonts w:hint="eastAsia" w:ascii="仿宋" w:hAnsi="仿宋" w:eastAsia="仿宋" w:cs="仿宋"/>
                <w:b/>
                <w:color w:val="000000" w:themeColor="text1"/>
                <w:szCs w:val="21"/>
                <w:highlight w:val="none"/>
                <w14:textFill>
                  <w14:solidFill>
                    <w14:schemeClr w14:val="tx1"/>
                  </w14:solidFill>
                </w14:textFill>
              </w:rPr>
              <w:t>（</w:t>
            </w:r>
            <w:r>
              <w:rPr>
                <w:rFonts w:hint="eastAsia" w:ascii="仿宋" w:hAnsi="仿宋" w:eastAsia="仿宋" w:cs="仿宋"/>
                <w:b/>
                <w:color w:val="000000" w:themeColor="text1"/>
                <w:szCs w:val="21"/>
                <w:highlight w:val="none"/>
                <w:lang w:val="en-US" w:eastAsia="zh-CN"/>
                <w14:textFill>
                  <w14:solidFill>
                    <w14:schemeClr w14:val="tx1"/>
                  </w14:solidFill>
                </w14:textFill>
              </w:rPr>
              <w:t>万</w:t>
            </w:r>
            <w:r>
              <w:rPr>
                <w:rFonts w:hint="eastAsia" w:ascii="仿宋" w:hAnsi="仿宋" w:eastAsia="仿宋" w:cs="仿宋"/>
                <w:b/>
                <w:color w:val="000000" w:themeColor="text1"/>
                <w:szCs w:val="21"/>
                <w:highlight w:val="none"/>
                <w14:textFill>
                  <w14:solidFill>
                    <w14:schemeClr w14:val="tx1"/>
                  </w14:solidFill>
                </w14:textFill>
              </w:rPr>
              <w:t>元）</w:t>
            </w:r>
          </w:p>
        </w:tc>
        <w:tc>
          <w:tcPr>
            <w:tcW w:w="639" w:type="pct"/>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adjustRightInd w:val="0"/>
              <w:snapToGrid w:val="0"/>
              <w:spacing w:after="0" w:line="360" w:lineRule="auto"/>
              <w:jc w:val="center"/>
              <w:rPr>
                <w:rFonts w:hint="eastAsia" w:ascii="仿宋" w:hAnsi="仿宋" w:eastAsia="仿宋" w:cs="仿宋"/>
                <w:b/>
                <w:bCs/>
                <w:color w:val="000000"/>
                <w:kern w:val="0"/>
                <w:sz w:val="24"/>
                <w:highlight w:val="none"/>
                <w:lang w:val="en-US" w:eastAsia="zh-CN" w:bidi="ar"/>
              </w:rPr>
            </w:pPr>
            <w:r>
              <w:rPr>
                <w:rFonts w:hint="eastAsia" w:ascii="仿宋" w:hAnsi="仿宋" w:eastAsia="仿宋" w:cs="仿宋"/>
                <w:b/>
                <w:color w:val="000000" w:themeColor="text1"/>
                <w:szCs w:val="21"/>
                <w:highlight w:val="none"/>
                <w:lang w:val="en-US" w:eastAsia="zh-CN"/>
                <w14:textFill>
                  <w14:solidFill>
                    <w14:schemeClr w14:val="tx1"/>
                  </w14:solidFill>
                </w14:textFill>
              </w:rPr>
              <w:t>数量</w:t>
            </w:r>
          </w:p>
        </w:tc>
        <w:tc>
          <w:tcPr>
            <w:tcW w:w="111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b/>
                <w:bCs/>
                <w:kern w:val="0"/>
                <w:sz w:val="24"/>
                <w:highlight w:val="none"/>
                <w:lang w:bidi="ar"/>
              </w:rPr>
            </w:pPr>
            <w:r>
              <w:rPr>
                <w:rFonts w:hint="eastAsia" w:ascii="仿宋" w:hAnsi="仿宋" w:eastAsia="仿宋" w:cs="仿宋"/>
                <w:b/>
                <w:bCs/>
                <w:kern w:val="0"/>
                <w:sz w:val="24"/>
                <w:highlight w:val="none"/>
                <w:lang w:val="en-US" w:eastAsia="zh-CN" w:bidi="ar"/>
              </w:rPr>
              <w:t>报价</w:t>
            </w:r>
            <w:r>
              <w:rPr>
                <w:rFonts w:hint="eastAsia" w:ascii="仿宋" w:hAnsi="仿宋" w:eastAsia="仿宋" w:cs="仿宋"/>
                <w:b/>
                <w:bCs/>
                <w:kern w:val="0"/>
                <w:sz w:val="24"/>
                <w:highlight w:val="none"/>
                <w:lang w:bidi="ar"/>
              </w:rPr>
              <w:t>（</w:t>
            </w:r>
            <w:r>
              <w:rPr>
                <w:rFonts w:hint="eastAsia" w:ascii="仿宋" w:hAnsi="仿宋" w:eastAsia="仿宋" w:cs="仿宋"/>
                <w:b/>
                <w:bCs/>
                <w:kern w:val="0"/>
                <w:sz w:val="24"/>
                <w:highlight w:val="none"/>
                <w:lang w:val="en-US" w:eastAsia="zh-CN" w:bidi="ar"/>
              </w:rPr>
              <w:t>万</w:t>
            </w:r>
            <w:r>
              <w:rPr>
                <w:rFonts w:hint="eastAsia" w:ascii="仿宋" w:hAnsi="仿宋" w:eastAsia="仿宋" w:cs="仿宋"/>
                <w:b/>
                <w:bCs/>
                <w:kern w:val="0"/>
                <w:sz w:val="24"/>
                <w:highlight w:val="none"/>
                <w:lang w:bidi="ar"/>
              </w:rPr>
              <w:t>元）</w:t>
            </w:r>
          </w:p>
        </w:tc>
      </w:tr>
      <w:tr>
        <w:tblPrEx>
          <w:tblCellMar>
            <w:top w:w="0" w:type="dxa"/>
            <w:left w:w="0" w:type="dxa"/>
            <w:bottom w:w="0" w:type="dxa"/>
            <w:right w:w="0" w:type="dxa"/>
          </w:tblCellMar>
        </w:tblPrEx>
        <w:trPr>
          <w:trHeight w:val="553" w:hRule="atLeast"/>
          <w:jc w:val="center"/>
        </w:trPr>
        <w:tc>
          <w:tcPr>
            <w:tcW w:w="2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 w:hAnsi="仿宋" w:eastAsia="仿宋" w:cs="仿宋"/>
                <w:b/>
                <w:bCs/>
                <w:color w:val="000000"/>
                <w:kern w:val="0"/>
                <w:sz w:val="24"/>
                <w:highlight w:val="none"/>
                <w:lang w:bidi="ar"/>
              </w:rPr>
            </w:pPr>
            <w:r>
              <w:rPr>
                <w:rFonts w:hint="eastAsia" w:ascii="仿宋" w:hAnsi="仿宋" w:eastAsia="仿宋" w:cs="仿宋"/>
                <w:color w:val="000000"/>
                <w:sz w:val="24"/>
                <w:szCs w:val="24"/>
                <w:highlight w:val="none"/>
                <w:vertAlign w:val="baseline"/>
                <w:lang w:val="en-US" w:eastAsia="zh-CN"/>
              </w:rPr>
              <w:t>1</w:t>
            </w:r>
          </w:p>
        </w:tc>
        <w:tc>
          <w:tcPr>
            <w:tcW w:w="12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00" w:lineRule="exact"/>
              <w:contextualSpacing/>
              <w:jc w:val="center"/>
              <w:rPr>
                <w:rFonts w:hint="eastAsia" w:ascii="仿宋" w:hAnsi="仿宋" w:eastAsia="仿宋" w:cs="仿宋"/>
                <w:b/>
                <w:bCs/>
                <w:color w:val="000000"/>
                <w:kern w:val="0"/>
                <w:sz w:val="24"/>
                <w:highlight w:val="none"/>
                <w:lang w:bidi="ar"/>
              </w:rPr>
            </w:pPr>
          </w:p>
        </w:tc>
        <w:tc>
          <w:tcPr>
            <w:tcW w:w="873" w:type="pct"/>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adjustRightInd w:val="0"/>
              <w:snapToGrid w:val="0"/>
              <w:spacing w:after="0" w:line="360" w:lineRule="auto"/>
              <w:jc w:val="center"/>
              <w:rPr>
                <w:rFonts w:hint="eastAsia" w:ascii="仿宋" w:hAnsi="仿宋" w:eastAsia="仿宋" w:cs="仿宋"/>
                <w:color w:val="000000" w:themeColor="text1"/>
                <w:szCs w:val="21"/>
                <w:highlight w:val="none"/>
                <w:lang w:val="en-US" w:eastAsia="zh-CN"/>
                <w14:textFill>
                  <w14:solidFill>
                    <w14:schemeClr w14:val="tx1"/>
                  </w14:solidFill>
                </w14:textFill>
              </w:rPr>
            </w:pPr>
          </w:p>
        </w:tc>
        <w:tc>
          <w:tcPr>
            <w:tcW w:w="873" w:type="pct"/>
            <w:tcBorders>
              <w:top w:val="single" w:color="000000"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adjustRightInd w:val="0"/>
              <w:snapToGrid w:val="0"/>
              <w:spacing w:after="0" w:line="360" w:lineRule="auto"/>
              <w:jc w:val="center"/>
              <w:rPr>
                <w:rFonts w:hint="eastAsia" w:ascii="仿宋" w:hAnsi="仿宋" w:eastAsia="仿宋" w:cs="仿宋"/>
                <w:b/>
                <w:bCs/>
                <w:color w:val="000000"/>
                <w:kern w:val="0"/>
                <w:sz w:val="24"/>
                <w:highlight w:val="none"/>
                <w:lang w:val="en-US" w:eastAsia="zh-CN" w:bidi="ar"/>
              </w:rPr>
            </w:pPr>
          </w:p>
        </w:tc>
        <w:tc>
          <w:tcPr>
            <w:tcW w:w="639" w:type="pct"/>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adjustRightInd w:val="0"/>
              <w:snapToGrid w:val="0"/>
              <w:spacing w:line="300" w:lineRule="exact"/>
              <w:contextualSpacing/>
              <w:jc w:val="center"/>
              <w:rPr>
                <w:rFonts w:hint="eastAsia" w:ascii="仿宋" w:hAnsi="仿宋" w:eastAsia="仿宋" w:cs="仿宋"/>
                <w:b w:val="0"/>
                <w:bCs w:val="0"/>
                <w:color w:val="000000"/>
                <w:kern w:val="0"/>
                <w:sz w:val="24"/>
                <w:highlight w:val="none"/>
                <w:lang w:val="en-US" w:eastAsia="zh-CN" w:bidi="ar"/>
              </w:rPr>
            </w:pPr>
          </w:p>
        </w:tc>
        <w:tc>
          <w:tcPr>
            <w:tcW w:w="111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 w:hAnsi="仿宋" w:eastAsia="仿宋" w:cs="仿宋"/>
                <w:b/>
                <w:bCs/>
                <w:kern w:val="0"/>
                <w:sz w:val="24"/>
                <w:highlight w:val="none"/>
                <w:lang w:bidi="ar"/>
              </w:rPr>
            </w:pPr>
          </w:p>
        </w:tc>
      </w:tr>
      <w:tr>
        <w:tblPrEx>
          <w:tblCellMar>
            <w:top w:w="0" w:type="dxa"/>
            <w:left w:w="0" w:type="dxa"/>
            <w:bottom w:w="0" w:type="dxa"/>
            <w:right w:w="0" w:type="dxa"/>
          </w:tblCellMar>
        </w:tblPrEx>
        <w:trPr>
          <w:trHeight w:val="568" w:hRule="atLeast"/>
          <w:jc w:val="center"/>
        </w:trPr>
        <w:tc>
          <w:tcPr>
            <w:tcW w:w="2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szCs w:val="24"/>
                <w:highlight w:val="none"/>
                <w:vertAlign w:val="baseline"/>
                <w:lang w:val="en-US" w:eastAsia="zh-CN"/>
              </w:rPr>
            </w:pPr>
            <w:r>
              <w:rPr>
                <w:rFonts w:hint="eastAsia" w:ascii="仿宋" w:hAnsi="仿宋" w:eastAsia="仿宋" w:cs="仿宋"/>
                <w:color w:val="000000"/>
                <w:sz w:val="24"/>
                <w:szCs w:val="24"/>
                <w:highlight w:val="none"/>
                <w:vertAlign w:val="baseline"/>
                <w:lang w:val="en-US" w:eastAsia="zh-CN"/>
              </w:rPr>
              <w:t>2</w:t>
            </w:r>
          </w:p>
        </w:tc>
        <w:tc>
          <w:tcPr>
            <w:tcW w:w="12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00" w:lineRule="exact"/>
              <w:contextualSpacing/>
              <w:jc w:val="center"/>
              <w:rPr>
                <w:rFonts w:hint="eastAsia" w:ascii="仿宋" w:hAnsi="仿宋" w:eastAsia="仿宋" w:cs="仿宋"/>
                <w:szCs w:val="21"/>
                <w:highlight w:val="none"/>
                <w:lang w:val="en-US" w:eastAsia="zh-CN"/>
              </w:rPr>
            </w:pPr>
          </w:p>
        </w:tc>
        <w:tc>
          <w:tcPr>
            <w:tcW w:w="873" w:type="pct"/>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adjustRightInd w:val="0"/>
              <w:snapToGrid w:val="0"/>
              <w:spacing w:after="0" w:line="360" w:lineRule="auto"/>
              <w:jc w:val="center"/>
              <w:rPr>
                <w:rFonts w:hint="eastAsia" w:ascii="仿宋" w:hAnsi="仿宋" w:eastAsia="仿宋" w:cs="仿宋"/>
                <w:color w:val="000000" w:themeColor="text1"/>
                <w:szCs w:val="21"/>
                <w:highlight w:val="none"/>
                <w:lang w:val="en-US" w:eastAsia="zh-CN"/>
                <w14:textFill>
                  <w14:solidFill>
                    <w14:schemeClr w14:val="tx1"/>
                  </w14:solidFill>
                </w14:textFill>
              </w:rPr>
            </w:pPr>
          </w:p>
        </w:tc>
        <w:tc>
          <w:tcPr>
            <w:tcW w:w="87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adjustRightInd w:val="0"/>
              <w:snapToGrid w:val="0"/>
              <w:spacing w:after="0" w:line="360" w:lineRule="auto"/>
              <w:jc w:val="center"/>
              <w:rPr>
                <w:rFonts w:hint="eastAsia" w:ascii="仿宋" w:hAnsi="仿宋" w:eastAsia="仿宋" w:cs="仿宋"/>
                <w:color w:val="000000" w:themeColor="text1"/>
                <w:szCs w:val="21"/>
                <w:highlight w:val="none"/>
                <w:lang w:val="en-US" w:eastAsia="zh-CN"/>
                <w14:textFill>
                  <w14:solidFill>
                    <w14:schemeClr w14:val="tx1"/>
                  </w14:solidFill>
                </w14:textFill>
              </w:rPr>
            </w:pPr>
          </w:p>
        </w:tc>
        <w:tc>
          <w:tcPr>
            <w:tcW w:w="639" w:type="pct"/>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adjustRightInd w:val="0"/>
              <w:snapToGrid w:val="0"/>
              <w:spacing w:line="300" w:lineRule="exact"/>
              <w:contextualSpacing/>
              <w:jc w:val="center"/>
              <w:rPr>
                <w:rFonts w:hint="eastAsia" w:ascii="仿宋" w:hAnsi="仿宋" w:eastAsia="仿宋" w:cs="仿宋"/>
                <w:b w:val="0"/>
                <w:bCs w:val="0"/>
                <w:color w:val="000000"/>
                <w:sz w:val="24"/>
                <w:szCs w:val="24"/>
                <w:highlight w:val="none"/>
                <w:vertAlign w:val="baseline"/>
                <w:lang w:val="en-US" w:eastAsia="zh-CN"/>
              </w:rPr>
            </w:pPr>
          </w:p>
        </w:tc>
        <w:tc>
          <w:tcPr>
            <w:tcW w:w="111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 w:hAnsi="仿宋" w:eastAsia="仿宋" w:cs="仿宋"/>
                <w:b/>
                <w:bCs/>
                <w:kern w:val="0"/>
                <w:sz w:val="24"/>
                <w:highlight w:val="none"/>
                <w:lang w:bidi="ar"/>
              </w:rPr>
            </w:pPr>
          </w:p>
        </w:tc>
      </w:tr>
      <w:tr>
        <w:tblPrEx>
          <w:tblCellMar>
            <w:top w:w="0" w:type="dxa"/>
            <w:left w:w="0" w:type="dxa"/>
            <w:bottom w:w="0" w:type="dxa"/>
            <w:right w:w="0" w:type="dxa"/>
          </w:tblCellMar>
        </w:tblPrEx>
        <w:trPr>
          <w:trHeight w:val="553" w:hRule="atLeast"/>
          <w:jc w:val="center"/>
        </w:trPr>
        <w:tc>
          <w:tcPr>
            <w:tcW w:w="2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szCs w:val="24"/>
                <w:highlight w:val="none"/>
                <w:vertAlign w:val="baseline"/>
                <w:lang w:val="en-US" w:eastAsia="zh-CN"/>
              </w:rPr>
            </w:pPr>
            <w:r>
              <w:rPr>
                <w:rFonts w:hint="eastAsia" w:ascii="仿宋" w:hAnsi="仿宋" w:eastAsia="仿宋" w:cs="仿宋"/>
                <w:color w:val="000000"/>
                <w:sz w:val="24"/>
                <w:szCs w:val="24"/>
                <w:highlight w:val="none"/>
                <w:vertAlign w:val="baseline"/>
                <w:lang w:val="en-US" w:eastAsia="zh-CN"/>
              </w:rPr>
              <w:t>3</w:t>
            </w:r>
          </w:p>
        </w:tc>
        <w:tc>
          <w:tcPr>
            <w:tcW w:w="12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00" w:lineRule="exact"/>
              <w:contextualSpacing/>
              <w:jc w:val="center"/>
              <w:rPr>
                <w:rFonts w:hint="eastAsia" w:ascii="仿宋" w:hAnsi="仿宋" w:eastAsia="仿宋" w:cs="仿宋"/>
                <w:szCs w:val="21"/>
                <w:highlight w:val="none"/>
                <w:lang w:val="en-US" w:eastAsia="zh-CN"/>
              </w:rPr>
            </w:pPr>
          </w:p>
        </w:tc>
        <w:tc>
          <w:tcPr>
            <w:tcW w:w="873" w:type="pct"/>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adjustRightInd w:val="0"/>
              <w:snapToGrid w:val="0"/>
              <w:spacing w:after="0" w:line="360" w:lineRule="auto"/>
              <w:jc w:val="center"/>
              <w:rPr>
                <w:rFonts w:hint="eastAsia" w:ascii="仿宋" w:hAnsi="仿宋" w:eastAsia="仿宋" w:cs="仿宋"/>
                <w:color w:val="000000" w:themeColor="text1"/>
                <w:szCs w:val="21"/>
                <w:highlight w:val="none"/>
                <w:lang w:val="en-US" w:eastAsia="zh-CN"/>
                <w14:textFill>
                  <w14:solidFill>
                    <w14:schemeClr w14:val="tx1"/>
                  </w14:solidFill>
                </w14:textFill>
              </w:rPr>
            </w:pPr>
          </w:p>
        </w:tc>
        <w:tc>
          <w:tcPr>
            <w:tcW w:w="87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adjustRightInd w:val="0"/>
              <w:snapToGrid w:val="0"/>
              <w:spacing w:after="0" w:line="360" w:lineRule="auto"/>
              <w:jc w:val="center"/>
              <w:rPr>
                <w:rFonts w:hint="eastAsia" w:ascii="仿宋" w:hAnsi="仿宋" w:eastAsia="仿宋" w:cs="仿宋"/>
                <w:color w:val="000000" w:themeColor="text1"/>
                <w:szCs w:val="21"/>
                <w:highlight w:val="none"/>
                <w14:textFill>
                  <w14:solidFill>
                    <w14:schemeClr w14:val="tx1"/>
                  </w14:solidFill>
                </w14:textFill>
              </w:rPr>
            </w:pPr>
          </w:p>
        </w:tc>
        <w:tc>
          <w:tcPr>
            <w:tcW w:w="639" w:type="pct"/>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adjustRightInd w:val="0"/>
              <w:snapToGrid w:val="0"/>
              <w:spacing w:line="300" w:lineRule="exact"/>
              <w:contextualSpacing/>
              <w:jc w:val="center"/>
              <w:rPr>
                <w:rFonts w:hint="eastAsia" w:ascii="仿宋" w:hAnsi="仿宋" w:eastAsia="仿宋" w:cs="仿宋"/>
                <w:b w:val="0"/>
                <w:bCs w:val="0"/>
                <w:color w:val="000000"/>
                <w:sz w:val="24"/>
                <w:szCs w:val="24"/>
                <w:highlight w:val="none"/>
                <w:vertAlign w:val="baseline"/>
                <w:lang w:val="en-US" w:eastAsia="zh-CN"/>
              </w:rPr>
            </w:pPr>
          </w:p>
        </w:tc>
        <w:tc>
          <w:tcPr>
            <w:tcW w:w="111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 w:hAnsi="仿宋" w:eastAsia="仿宋" w:cs="仿宋"/>
                <w:b/>
                <w:bCs/>
                <w:kern w:val="0"/>
                <w:sz w:val="24"/>
                <w:highlight w:val="none"/>
                <w:lang w:bidi="ar"/>
              </w:rPr>
            </w:pPr>
          </w:p>
        </w:tc>
      </w:tr>
      <w:tr>
        <w:tblPrEx>
          <w:tblCellMar>
            <w:top w:w="0" w:type="dxa"/>
            <w:left w:w="0" w:type="dxa"/>
            <w:bottom w:w="0" w:type="dxa"/>
            <w:right w:w="0" w:type="dxa"/>
          </w:tblCellMar>
        </w:tblPrEx>
        <w:trPr>
          <w:trHeight w:val="553" w:hRule="atLeast"/>
          <w:jc w:val="center"/>
        </w:trPr>
        <w:tc>
          <w:tcPr>
            <w:tcW w:w="2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 w:hAnsi="仿宋" w:eastAsia="仿宋" w:cs="仿宋"/>
                <w:color w:val="000000"/>
                <w:sz w:val="24"/>
                <w:szCs w:val="24"/>
                <w:highlight w:val="none"/>
                <w:vertAlign w:val="baseline"/>
                <w:lang w:val="en-US" w:eastAsia="zh-CN"/>
              </w:rPr>
            </w:pPr>
            <w:r>
              <w:rPr>
                <w:rFonts w:hint="eastAsia" w:ascii="仿宋" w:hAnsi="仿宋" w:eastAsia="仿宋" w:cs="仿宋"/>
                <w:color w:val="000000"/>
                <w:sz w:val="24"/>
                <w:szCs w:val="24"/>
                <w:highlight w:val="none"/>
                <w:vertAlign w:val="baseline"/>
                <w:lang w:val="en-US" w:eastAsia="zh-CN"/>
              </w:rPr>
              <w:t>...</w:t>
            </w:r>
          </w:p>
        </w:tc>
        <w:tc>
          <w:tcPr>
            <w:tcW w:w="12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00" w:lineRule="exact"/>
              <w:contextualSpacing/>
              <w:jc w:val="center"/>
              <w:rPr>
                <w:rFonts w:hint="default" w:ascii="仿宋" w:hAnsi="仿宋" w:eastAsia="仿宋" w:cs="仿宋"/>
                <w:szCs w:val="21"/>
                <w:highlight w:val="none"/>
                <w:lang w:val="en-US" w:eastAsia="zh-CN"/>
              </w:rPr>
            </w:pPr>
            <w:r>
              <w:rPr>
                <w:rFonts w:hint="eastAsia" w:ascii="仿宋" w:hAnsi="仿宋" w:eastAsia="仿宋" w:cs="仿宋"/>
                <w:szCs w:val="21"/>
                <w:highlight w:val="none"/>
                <w:lang w:val="en-US" w:eastAsia="zh-CN"/>
              </w:rPr>
              <w:t>......</w:t>
            </w:r>
          </w:p>
        </w:tc>
        <w:tc>
          <w:tcPr>
            <w:tcW w:w="873" w:type="pct"/>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adjustRightInd w:val="0"/>
              <w:snapToGrid w:val="0"/>
              <w:spacing w:after="0" w:line="360" w:lineRule="auto"/>
              <w:jc w:val="center"/>
              <w:rPr>
                <w:rFonts w:hint="default"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w:t>
            </w:r>
          </w:p>
        </w:tc>
        <w:tc>
          <w:tcPr>
            <w:tcW w:w="87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adjustRightInd w:val="0"/>
              <w:snapToGrid w:val="0"/>
              <w:spacing w:after="0" w:line="360" w:lineRule="auto"/>
              <w:jc w:val="center"/>
              <w:rPr>
                <w:rFonts w:hint="default"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w:t>
            </w:r>
          </w:p>
        </w:tc>
        <w:tc>
          <w:tcPr>
            <w:tcW w:w="639" w:type="pct"/>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pPr>
              <w:widowControl/>
              <w:adjustRightInd w:val="0"/>
              <w:snapToGrid w:val="0"/>
              <w:spacing w:line="300" w:lineRule="exact"/>
              <w:contextualSpacing/>
              <w:jc w:val="center"/>
              <w:rPr>
                <w:rFonts w:hint="default" w:ascii="仿宋" w:hAnsi="仿宋" w:eastAsia="仿宋" w:cs="仿宋"/>
                <w:b w:val="0"/>
                <w:bCs w:val="0"/>
                <w:color w:val="000000"/>
                <w:sz w:val="24"/>
                <w:szCs w:val="24"/>
                <w:highlight w:val="none"/>
                <w:vertAlign w:val="baseline"/>
                <w:lang w:val="en-US" w:eastAsia="zh-CN"/>
              </w:rPr>
            </w:pPr>
            <w:r>
              <w:rPr>
                <w:rFonts w:hint="eastAsia" w:ascii="仿宋" w:hAnsi="仿宋" w:eastAsia="仿宋" w:cs="仿宋"/>
                <w:b w:val="0"/>
                <w:bCs w:val="0"/>
                <w:color w:val="000000"/>
                <w:sz w:val="24"/>
                <w:szCs w:val="24"/>
                <w:highlight w:val="none"/>
                <w:vertAlign w:val="baseline"/>
                <w:lang w:val="en-US" w:eastAsia="zh-CN"/>
              </w:rPr>
              <w:t>......</w:t>
            </w:r>
          </w:p>
        </w:tc>
        <w:tc>
          <w:tcPr>
            <w:tcW w:w="1115"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 w:hAnsi="仿宋" w:eastAsia="仿宋" w:cs="仿宋"/>
                <w:b/>
                <w:bCs/>
                <w:kern w:val="0"/>
                <w:sz w:val="24"/>
                <w:highlight w:val="none"/>
                <w:lang w:val="en-US" w:eastAsia="zh-CN" w:bidi="ar"/>
              </w:rPr>
            </w:pPr>
            <w:r>
              <w:rPr>
                <w:rFonts w:hint="eastAsia" w:ascii="仿宋" w:hAnsi="仿宋" w:eastAsia="仿宋" w:cs="仿宋"/>
                <w:b/>
                <w:bCs/>
                <w:kern w:val="0"/>
                <w:sz w:val="24"/>
                <w:highlight w:val="none"/>
                <w:lang w:val="en-US" w:eastAsia="zh-CN" w:bidi="ar"/>
              </w:rPr>
              <w:t>......</w:t>
            </w:r>
          </w:p>
        </w:tc>
      </w:tr>
      <w:tr>
        <w:tblPrEx>
          <w:tblCellMar>
            <w:top w:w="0" w:type="dxa"/>
            <w:left w:w="0" w:type="dxa"/>
            <w:bottom w:w="0" w:type="dxa"/>
            <w:right w:w="0" w:type="dxa"/>
          </w:tblCellMar>
        </w:tblPrEx>
        <w:trPr>
          <w:trHeight w:val="553"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 w:hAnsi="仿宋" w:eastAsia="仿宋" w:cs="仿宋"/>
                <w:b/>
                <w:bCs/>
                <w:kern w:val="0"/>
                <w:sz w:val="24"/>
                <w:highlight w:val="none"/>
                <w:lang w:val="en-US" w:eastAsia="zh-CN" w:bidi="ar"/>
              </w:rPr>
            </w:pPr>
            <w:r>
              <w:rPr>
                <w:rFonts w:hint="eastAsia" w:ascii="仿宋" w:hAnsi="仿宋" w:eastAsia="仿宋" w:cs="仿宋"/>
                <w:b/>
                <w:bCs/>
                <w:kern w:val="0"/>
                <w:sz w:val="24"/>
                <w:highlight w:val="none"/>
                <w:lang w:val="en-US" w:eastAsia="zh-CN" w:bidi="ar"/>
              </w:rPr>
              <w:t>报价合计：           （大写：            ）</w:t>
            </w:r>
          </w:p>
        </w:tc>
      </w:tr>
    </w:tbl>
    <w:p>
      <w:pPr>
        <w:widowControl/>
        <w:shd w:val="clear" w:color="auto" w:fill="FFFFFF"/>
        <w:wordWrap w:val="0"/>
        <w:jc w:val="left"/>
        <w:rPr>
          <w:rFonts w:hint="eastAsia" w:ascii="仿宋" w:hAnsi="仿宋" w:eastAsia="仿宋" w:cs="仿宋"/>
          <w:b/>
          <w:bCs/>
          <w:color w:val="auto"/>
          <w:kern w:val="0"/>
          <w:sz w:val="24"/>
          <w:szCs w:val="24"/>
          <w:highlight w:val="none"/>
        </w:rPr>
      </w:pPr>
    </w:p>
    <w:p>
      <w:pPr>
        <w:widowControl/>
        <w:shd w:val="clear" w:color="auto" w:fill="FFFFFF"/>
        <w:wordWrap w:val="0"/>
        <w:jc w:val="left"/>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注：</w:t>
      </w:r>
    </w:p>
    <w:p>
      <w:pPr>
        <w:widowControl/>
        <w:shd w:val="clear" w:color="auto" w:fill="FFFFFF"/>
        <w:wordWrap w:val="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1.报价应是最终用户验收合格后的总价，包括设备运输、保险、代理、安装调试、培训、税费、系统集成费用和采购文件规定的其它费用。</w:t>
      </w:r>
    </w:p>
    <w:p>
      <w:pPr>
        <w:widowControl/>
        <w:shd w:val="clear" w:color="auto" w:fill="FFFFFF"/>
        <w:wordWrap w:val="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2.“报价表”为多页的，每页均需由法定代表人或授权代表签字并盖</w:t>
      </w:r>
      <w:r>
        <w:rPr>
          <w:rFonts w:hint="eastAsia" w:ascii="仿宋" w:hAnsi="仿宋" w:eastAsia="仿宋" w:cs="仿宋"/>
          <w:color w:val="auto"/>
          <w:kern w:val="0"/>
          <w:sz w:val="24"/>
          <w:szCs w:val="24"/>
          <w:highlight w:val="none"/>
          <w:lang w:eastAsia="zh-CN"/>
        </w:rPr>
        <w:t>供应商</w:t>
      </w:r>
      <w:r>
        <w:rPr>
          <w:rFonts w:hint="eastAsia" w:ascii="仿宋" w:hAnsi="仿宋" w:eastAsia="仿宋" w:cs="仿宋"/>
          <w:color w:val="auto"/>
          <w:kern w:val="0"/>
          <w:sz w:val="24"/>
          <w:szCs w:val="24"/>
          <w:highlight w:val="none"/>
        </w:rPr>
        <w:t>印章。</w:t>
      </w:r>
    </w:p>
    <w:p>
      <w:pPr>
        <w:widowControl/>
        <w:shd w:val="clear" w:color="auto" w:fill="FFFFFF"/>
        <w:wordWrap w:val="0"/>
        <w:jc w:val="left"/>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3.单价报价超过单价最高限价的为无效报价，供应商响应文件将作无效响应处理。</w:t>
      </w:r>
    </w:p>
    <w:p>
      <w:pPr>
        <w:widowControl/>
        <w:shd w:val="clear" w:color="auto" w:fill="FFFFFF"/>
        <w:wordWrap w:val="0"/>
        <w:jc w:val="left"/>
        <w:rPr>
          <w:rFonts w:hint="eastAsia" w:ascii="仿宋" w:hAnsi="仿宋" w:eastAsia="仿宋" w:cs="仿宋"/>
          <w:color w:val="auto"/>
          <w:kern w:val="0"/>
          <w:sz w:val="24"/>
          <w:szCs w:val="24"/>
          <w:highlight w:val="none"/>
        </w:rPr>
      </w:pPr>
    </w:p>
    <w:p>
      <w:pPr>
        <w:widowControl/>
        <w:shd w:val="clear" w:color="auto" w:fill="FFFFFF"/>
        <w:wordWrap w:val="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供应商名称：（盖章）</w:t>
      </w:r>
    </w:p>
    <w:p>
      <w:pPr>
        <w:widowControl/>
        <w:shd w:val="clear" w:color="auto" w:fill="FFFFFF"/>
        <w:wordWrap w:val="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法定代表人或授权代表（签字）：</w:t>
      </w:r>
    </w:p>
    <w:p>
      <w:pPr>
        <w:widowControl/>
        <w:shd w:val="clear" w:color="auto" w:fill="FFFFFF"/>
        <w:wordWrap w:val="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日期：</w:t>
      </w:r>
    </w:p>
    <w:p>
      <w:pPr>
        <w:rPr>
          <w:rFonts w:hint="eastAsia" w:ascii="仿宋" w:hAnsi="仿宋" w:eastAsia="仿宋" w:cs="仿宋"/>
          <w:b/>
          <w:bCs/>
          <w:kern w:val="0"/>
          <w:sz w:val="28"/>
          <w:szCs w:val="32"/>
          <w:highlight w:val="none"/>
          <w:shd w:val="clear" w:color="auto" w:fill="FFFFFF"/>
        </w:rPr>
      </w:pPr>
      <w:r>
        <w:rPr>
          <w:rFonts w:hint="eastAsia" w:ascii="仿宋" w:hAnsi="仿宋" w:eastAsia="仿宋" w:cs="仿宋"/>
          <w:b/>
          <w:bCs/>
          <w:kern w:val="0"/>
          <w:sz w:val="28"/>
          <w:szCs w:val="32"/>
          <w:highlight w:val="none"/>
          <w:shd w:val="clear" w:color="auto" w:fill="FFFFFF"/>
        </w:rPr>
        <w:br w:type="page"/>
      </w:r>
    </w:p>
    <w:p>
      <w:pPr>
        <w:widowControl/>
        <w:shd w:val="clear" w:color="auto" w:fill="FFFFFF"/>
        <w:wordWrap w:val="0"/>
        <w:spacing w:line="400" w:lineRule="atLeast"/>
        <w:jc w:val="left"/>
        <w:rPr>
          <w:rFonts w:hint="eastAsia" w:ascii="仿宋" w:hAnsi="仿宋" w:eastAsia="仿宋" w:cs="仿宋"/>
          <w:color w:val="auto"/>
          <w:kern w:val="0"/>
          <w:sz w:val="18"/>
          <w:szCs w:val="18"/>
          <w:highlight w:val="none"/>
        </w:rPr>
      </w:pPr>
      <w:r>
        <w:rPr>
          <w:rFonts w:hint="eastAsia" w:ascii="仿宋" w:hAnsi="仿宋" w:eastAsia="仿宋" w:cs="仿宋"/>
          <w:b/>
          <w:bCs/>
          <w:color w:val="auto"/>
          <w:kern w:val="0"/>
          <w:sz w:val="24"/>
          <w:szCs w:val="24"/>
          <w:highlight w:val="none"/>
        </w:rPr>
        <w:t>附件</w:t>
      </w:r>
      <w:r>
        <w:rPr>
          <w:rFonts w:hint="eastAsia" w:ascii="仿宋" w:hAnsi="仿宋" w:eastAsia="仿宋" w:cs="仿宋"/>
          <w:b/>
          <w:bCs/>
          <w:color w:val="auto"/>
          <w:kern w:val="0"/>
          <w:sz w:val="24"/>
          <w:szCs w:val="24"/>
          <w:highlight w:val="none"/>
          <w:lang w:val="en-US" w:eastAsia="zh-CN"/>
        </w:rPr>
        <w:t>5</w:t>
      </w:r>
      <w:r>
        <w:rPr>
          <w:rFonts w:hint="eastAsia" w:ascii="仿宋" w:hAnsi="仿宋" w:eastAsia="仿宋" w:cs="仿宋"/>
          <w:b/>
          <w:bCs/>
          <w:color w:val="auto"/>
          <w:kern w:val="0"/>
          <w:sz w:val="24"/>
          <w:szCs w:val="24"/>
          <w:highlight w:val="none"/>
        </w:rPr>
        <w:t>-</w:t>
      </w:r>
      <w:r>
        <w:rPr>
          <w:rFonts w:hint="eastAsia" w:ascii="仿宋" w:hAnsi="仿宋" w:eastAsia="仿宋" w:cs="仿宋"/>
          <w:b/>
          <w:bCs/>
          <w:color w:val="auto"/>
          <w:kern w:val="0"/>
          <w:sz w:val="24"/>
          <w:szCs w:val="24"/>
          <w:highlight w:val="none"/>
          <w:lang w:val="en-US" w:eastAsia="zh-CN"/>
        </w:rPr>
        <w:t>2</w:t>
      </w:r>
      <w:r>
        <w:rPr>
          <w:rFonts w:hint="eastAsia" w:ascii="仿宋" w:hAnsi="仿宋" w:eastAsia="仿宋" w:cs="仿宋"/>
          <w:b/>
          <w:bCs/>
          <w:color w:val="auto"/>
          <w:kern w:val="0"/>
          <w:sz w:val="24"/>
          <w:szCs w:val="24"/>
          <w:highlight w:val="none"/>
        </w:rPr>
        <w:t>：</w:t>
      </w:r>
    </w:p>
    <w:p>
      <w:pPr>
        <w:widowControl/>
        <w:shd w:val="clear" w:color="auto" w:fill="FFFFFF"/>
        <w:wordWrap w:val="0"/>
        <w:spacing w:line="270" w:lineRule="atLeast"/>
        <w:jc w:val="center"/>
        <w:rPr>
          <w:rFonts w:hint="eastAsia" w:ascii="仿宋" w:hAnsi="仿宋" w:eastAsia="仿宋" w:cs="仿宋"/>
          <w:color w:val="auto"/>
          <w:kern w:val="0"/>
          <w:sz w:val="18"/>
          <w:szCs w:val="18"/>
          <w:highlight w:val="none"/>
        </w:rPr>
      </w:pPr>
      <w:r>
        <w:rPr>
          <w:rFonts w:hint="eastAsia" w:ascii="仿宋" w:hAnsi="仿宋" w:eastAsia="仿宋" w:cs="仿宋"/>
          <w:b/>
          <w:bCs/>
          <w:color w:val="auto"/>
          <w:kern w:val="0"/>
          <w:sz w:val="24"/>
          <w:szCs w:val="24"/>
          <w:highlight w:val="none"/>
        </w:rPr>
        <w:t>技术、商务要求偏离表</w:t>
      </w:r>
    </w:p>
    <w:tbl>
      <w:tblPr>
        <w:tblStyle w:val="12"/>
        <w:tblW w:w="0" w:type="auto"/>
        <w:jc w:val="center"/>
        <w:tblLayout w:type="autofit"/>
        <w:tblCellMar>
          <w:top w:w="0" w:type="dxa"/>
          <w:left w:w="0" w:type="dxa"/>
          <w:bottom w:w="0" w:type="dxa"/>
          <w:right w:w="0" w:type="dxa"/>
        </w:tblCellMar>
      </w:tblPr>
      <w:tblGrid>
        <w:gridCol w:w="1055"/>
        <w:gridCol w:w="2299"/>
        <w:gridCol w:w="2299"/>
        <w:gridCol w:w="2869"/>
      </w:tblGrid>
      <w:tr>
        <w:tblPrEx>
          <w:tblCellMar>
            <w:top w:w="0" w:type="dxa"/>
            <w:left w:w="0" w:type="dxa"/>
            <w:bottom w:w="0" w:type="dxa"/>
            <w:right w:w="0" w:type="dxa"/>
          </w:tblCellMar>
        </w:tblPrEx>
        <w:trPr>
          <w:trHeight w:val="600" w:hRule="atLeast"/>
          <w:jc w:val="center"/>
        </w:trPr>
        <w:tc>
          <w:tcPr>
            <w:tcW w:w="121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wordWrap w:val="0"/>
              <w:spacing w:line="270" w:lineRule="atLeas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序号</w:t>
            </w:r>
          </w:p>
        </w:tc>
        <w:tc>
          <w:tcPr>
            <w:tcW w:w="279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270" w:lineRule="atLeas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lang w:val="en-US" w:eastAsia="zh-CN"/>
              </w:rPr>
              <w:t>采购文件</w:t>
            </w:r>
            <w:r>
              <w:rPr>
                <w:rFonts w:hint="eastAsia" w:ascii="仿宋" w:hAnsi="仿宋" w:eastAsia="仿宋" w:cs="仿宋"/>
                <w:color w:val="auto"/>
                <w:kern w:val="0"/>
                <w:sz w:val="24"/>
                <w:szCs w:val="24"/>
                <w:highlight w:val="none"/>
              </w:rPr>
              <w:t>要求</w:t>
            </w:r>
          </w:p>
        </w:tc>
        <w:tc>
          <w:tcPr>
            <w:tcW w:w="279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270" w:lineRule="atLeas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lang w:val="en-US" w:eastAsia="zh-CN"/>
              </w:rPr>
              <w:t>供应商</w:t>
            </w:r>
            <w:r>
              <w:rPr>
                <w:rFonts w:hint="eastAsia" w:ascii="仿宋" w:hAnsi="仿宋" w:eastAsia="仿宋" w:cs="仿宋"/>
                <w:color w:val="auto"/>
                <w:kern w:val="0"/>
                <w:sz w:val="24"/>
                <w:szCs w:val="24"/>
                <w:highlight w:val="none"/>
              </w:rPr>
              <w:t>响应</w:t>
            </w:r>
          </w:p>
        </w:tc>
        <w:tc>
          <w:tcPr>
            <w:tcW w:w="351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270" w:lineRule="atLeas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偏离及其影响</w:t>
            </w:r>
          </w:p>
        </w:tc>
      </w:tr>
      <w:tr>
        <w:tblPrEx>
          <w:tblCellMar>
            <w:top w:w="0" w:type="dxa"/>
            <w:left w:w="0" w:type="dxa"/>
            <w:bottom w:w="0" w:type="dxa"/>
            <w:right w:w="0" w:type="dxa"/>
          </w:tblCellMar>
        </w:tblPrEx>
        <w:trPr>
          <w:trHeight w:val="465" w:hRule="atLeast"/>
          <w:jc w:val="center"/>
        </w:trPr>
        <w:tc>
          <w:tcPr>
            <w:tcW w:w="1215" w:type="dxa"/>
            <w:tcBorders>
              <w:top w:val="nil"/>
              <w:left w:val="single" w:color="auto" w:sz="8" w:space="0"/>
              <w:bottom w:val="single" w:color="auto" w:sz="8" w:space="0"/>
              <w:right w:val="single" w:color="auto" w:sz="8" w:space="0"/>
            </w:tcBorders>
            <w:tcMar>
              <w:top w:w="0" w:type="dxa"/>
              <w:left w:w="108" w:type="dxa"/>
              <w:bottom w:w="0" w:type="dxa"/>
              <w:right w:w="108" w:type="dxa"/>
            </w:tcMar>
          </w:tcPr>
          <w:p>
            <w:pPr>
              <w:widowControl/>
              <w:wordWrap w:val="0"/>
              <w:spacing w:line="270" w:lineRule="atLeas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pPr>
              <w:widowControl/>
              <w:wordWrap w:val="0"/>
              <w:spacing w:line="270" w:lineRule="atLeas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pPr>
              <w:widowControl/>
              <w:wordWrap w:val="0"/>
              <w:spacing w:line="270" w:lineRule="atLeas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3510" w:type="dxa"/>
            <w:tcBorders>
              <w:top w:val="nil"/>
              <w:left w:val="nil"/>
              <w:bottom w:val="single" w:color="auto" w:sz="8" w:space="0"/>
              <w:right w:val="single" w:color="auto" w:sz="8" w:space="0"/>
            </w:tcBorders>
            <w:tcMar>
              <w:top w:w="0" w:type="dxa"/>
              <w:left w:w="108" w:type="dxa"/>
              <w:bottom w:w="0" w:type="dxa"/>
              <w:right w:w="108" w:type="dxa"/>
            </w:tcMar>
          </w:tcPr>
          <w:p>
            <w:pPr>
              <w:widowControl/>
              <w:wordWrap w:val="0"/>
              <w:spacing w:line="270" w:lineRule="atLeas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r>
      <w:tr>
        <w:tblPrEx>
          <w:tblCellMar>
            <w:top w:w="0" w:type="dxa"/>
            <w:left w:w="0" w:type="dxa"/>
            <w:bottom w:w="0" w:type="dxa"/>
            <w:right w:w="0" w:type="dxa"/>
          </w:tblCellMar>
        </w:tblPrEx>
        <w:trPr>
          <w:trHeight w:val="450" w:hRule="atLeast"/>
          <w:jc w:val="center"/>
        </w:trPr>
        <w:tc>
          <w:tcPr>
            <w:tcW w:w="1215" w:type="dxa"/>
            <w:tcBorders>
              <w:top w:val="nil"/>
              <w:left w:val="single" w:color="auto" w:sz="8" w:space="0"/>
              <w:bottom w:val="single" w:color="auto" w:sz="8" w:space="0"/>
              <w:right w:val="single" w:color="auto" w:sz="8" w:space="0"/>
            </w:tcBorders>
            <w:tcMar>
              <w:top w:w="0" w:type="dxa"/>
              <w:left w:w="108" w:type="dxa"/>
              <w:bottom w:w="0" w:type="dxa"/>
              <w:right w:w="108" w:type="dxa"/>
            </w:tcMar>
          </w:tcPr>
          <w:p>
            <w:pPr>
              <w:widowControl/>
              <w:wordWrap w:val="0"/>
              <w:spacing w:line="270" w:lineRule="atLeas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pPr>
              <w:widowControl/>
              <w:wordWrap w:val="0"/>
              <w:spacing w:line="270" w:lineRule="atLeas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pPr>
              <w:widowControl/>
              <w:wordWrap w:val="0"/>
              <w:spacing w:line="270" w:lineRule="atLeas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3510" w:type="dxa"/>
            <w:tcBorders>
              <w:top w:val="nil"/>
              <w:left w:val="nil"/>
              <w:bottom w:val="single" w:color="auto" w:sz="8" w:space="0"/>
              <w:right w:val="single" w:color="auto" w:sz="8" w:space="0"/>
            </w:tcBorders>
            <w:tcMar>
              <w:top w:w="0" w:type="dxa"/>
              <w:left w:w="108" w:type="dxa"/>
              <w:bottom w:w="0" w:type="dxa"/>
              <w:right w:w="108" w:type="dxa"/>
            </w:tcMar>
          </w:tcPr>
          <w:p>
            <w:pPr>
              <w:widowControl/>
              <w:wordWrap w:val="0"/>
              <w:spacing w:line="270" w:lineRule="atLeas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r>
    </w:tbl>
    <w:p>
      <w:pPr>
        <w:widowControl/>
        <w:shd w:val="clear" w:color="auto" w:fill="FFFFFF"/>
        <w:wordWrap w:val="0"/>
        <w:spacing w:line="360" w:lineRule="auto"/>
        <w:ind w:firstLine="480"/>
        <w:jc w:val="left"/>
        <w:rPr>
          <w:rFonts w:hint="eastAsia" w:ascii="仿宋" w:hAnsi="仿宋" w:eastAsia="仿宋" w:cs="仿宋"/>
          <w:color w:val="auto"/>
          <w:kern w:val="0"/>
          <w:sz w:val="22"/>
          <w:highlight w:val="none"/>
        </w:rPr>
      </w:pPr>
      <w:r>
        <w:rPr>
          <w:rFonts w:hint="eastAsia" w:ascii="仿宋" w:hAnsi="仿宋" w:eastAsia="仿宋" w:cs="仿宋"/>
          <w:color w:val="auto"/>
          <w:kern w:val="0"/>
          <w:sz w:val="22"/>
          <w:highlight w:val="none"/>
        </w:rPr>
        <w:t>注：</w:t>
      </w:r>
    </w:p>
    <w:p>
      <w:pPr>
        <w:widowControl/>
        <w:shd w:val="clear" w:color="auto" w:fill="FFFFFF"/>
        <w:wordWrap w:val="0"/>
        <w:spacing w:line="360" w:lineRule="auto"/>
        <w:ind w:firstLine="420"/>
        <w:jc w:val="left"/>
        <w:rPr>
          <w:rFonts w:hint="eastAsia" w:ascii="仿宋" w:hAnsi="仿宋" w:eastAsia="仿宋" w:cs="仿宋"/>
          <w:color w:val="auto"/>
          <w:kern w:val="0"/>
          <w:sz w:val="22"/>
          <w:highlight w:val="none"/>
        </w:rPr>
      </w:pPr>
      <w:r>
        <w:rPr>
          <w:rFonts w:hint="eastAsia" w:ascii="仿宋" w:hAnsi="仿宋" w:eastAsia="仿宋" w:cs="仿宋"/>
          <w:color w:val="auto"/>
          <w:kern w:val="0"/>
          <w:sz w:val="22"/>
          <w:highlight w:val="none"/>
        </w:rPr>
        <w:t>1.供应商根据</w:t>
      </w:r>
      <w:r>
        <w:rPr>
          <w:rFonts w:hint="eastAsia" w:ascii="仿宋" w:hAnsi="仿宋" w:eastAsia="仿宋" w:cs="仿宋"/>
          <w:color w:val="auto"/>
          <w:kern w:val="0"/>
          <w:sz w:val="22"/>
          <w:highlight w:val="none"/>
          <w:lang w:val="en-US" w:eastAsia="zh-CN"/>
        </w:rPr>
        <w:t>附件1“采购需求”中的</w:t>
      </w:r>
      <w:r>
        <w:rPr>
          <w:rFonts w:hint="eastAsia" w:ascii="仿宋" w:hAnsi="仿宋" w:eastAsia="仿宋" w:cs="仿宋"/>
          <w:color w:val="auto"/>
          <w:kern w:val="0"/>
          <w:sz w:val="22"/>
          <w:highlight w:val="none"/>
        </w:rPr>
        <w:t>“技术要求”</w:t>
      </w:r>
      <w:r>
        <w:rPr>
          <w:rFonts w:hint="eastAsia" w:ascii="仿宋" w:hAnsi="仿宋" w:eastAsia="仿宋" w:cs="仿宋"/>
          <w:color w:val="auto"/>
          <w:kern w:val="0"/>
          <w:sz w:val="22"/>
          <w:highlight w:val="none"/>
          <w:lang w:val="en-US" w:eastAsia="zh-CN"/>
        </w:rPr>
        <w:t>、“商务要求”</w:t>
      </w:r>
      <w:r>
        <w:rPr>
          <w:rFonts w:hint="eastAsia" w:ascii="仿宋" w:hAnsi="仿宋" w:eastAsia="仿宋" w:cs="仿宋"/>
          <w:color w:val="auto"/>
          <w:kern w:val="0"/>
          <w:sz w:val="22"/>
          <w:highlight w:val="none"/>
        </w:rPr>
        <w:t>，对应进行填写。未单独填写的条款，视为默认响应。</w:t>
      </w:r>
    </w:p>
    <w:p>
      <w:pPr>
        <w:widowControl/>
        <w:shd w:val="clear" w:color="auto" w:fill="FFFFFF"/>
        <w:wordWrap w:val="0"/>
        <w:spacing w:line="360" w:lineRule="auto"/>
        <w:ind w:firstLine="420"/>
        <w:jc w:val="left"/>
        <w:rPr>
          <w:rFonts w:hint="eastAsia" w:ascii="仿宋" w:hAnsi="仿宋" w:eastAsia="仿宋" w:cs="仿宋"/>
          <w:color w:val="auto"/>
          <w:kern w:val="0"/>
          <w:sz w:val="22"/>
          <w:highlight w:val="none"/>
        </w:rPr>
      </w:pPr>
      <w:r>
        <w:rPr>
          <w:rFonts w:hint="eastAsia" w:ascii="仿宋" w:hAnsi="仿宋" w:eastAsia="仿宋" w:cs="仿宋"/>
          <w:color w:val="auto"/>
          <w:kern w:val="0"/>
          <w:sz w:val="22"/>
          <w:highlight w:val="none"/>
        </w:rPr>
        <w:t>2.若无偏离，可在偏离情况中填“/”；若有偏离，需在偏离情况中进行说明；</w:t>
      </w:r>
    </w:p>
    <w:p>
      <w:pPr>
        <w:widowControl/>
        <w:shd w:val="clear" w:color="auto" w:fill="FFFFFF"/>
        <w:wordWrap w:val="0"/>
        <w:spacing w:line="360" w:lineRule="auto"/>
        <w:ind w:firstLine="420"/>
        <w:jc w:val="left"/>
        <w:rPr>
          <w:rFonts w:hint="eastAsia" w:ascii="仿宋" w:hAnsi="仿宋" w:eastAsia="仿宋" w:cs="仿宋"/>
          <w:color w:val="auto"/>
          <w:kern w:val="0"/>
          <w:sz w:val="22"/>
          <w:highlight w:val="none"/>
        </w:rPr>
      </w:pPr>
      <w:r>
        <w:rPr>
          <w:rFonts w:hint="eastAsia" w:ascii="仿宋" w:hAnsi="仿宋" w:eastAsia="仿宋" w:cs="仿宋"/>
          <w:color w:val="auto"/>
          <w:kern w:val="0"/>
          <w:sz w:val="22"/>
          <w:highlight w:val="none"/>
        </w:rPr>
        <w:t>3.若“技术要求”</w:t>
      </w:r>
      <w:r>
        <w:rPr>
          <w:rFonts w:hint="eastAsia" w:ascii="仿宋" w:hAnsi="仿宋" w:eastAsia="仿宋" w:cs="仿宋"/>
          <w:color w:val="auto"/>
          <w:kern w:val="0"/>
          <w:sz w:val="22"/>
          <w:highlight w:val="none"/>
          <w:lang w:val="en-US" w:eastAsia="zh-CN"/>
        </w:rPr>
        <w:t>、“商务要求”</w:t>
      </w:r>
      <w:r>
        <w:rPr>
          <w:rFonts w:hint="eastAsia" w:ascii="仿宋" w:hAnsi="仿宋" w:eastAsia="仿宋" w:cs="仿宋"/>
          <w:color w:val="auto"/>
          <w:kern w:val="0"/>
          <w:sz w:val="22"/>
          <w:highlight w:val="none"/>
        </w:rPr>
        <w:t>要求提供证明材料，需按要求提供证明材料。</w:t>
      </w:r>
    </w:p>
    <w:p>
      <w:pPr>
        <w:widowControl/>
        <w:shd w:val="clear" w:color="auto" w:fill="FFFFFF"/>
        <w:wordWrap w:val="0"/>
        <w:spacing w:line="360" w:lineRule="auto"/>
        <w:ind w:firstLine="420"/>
        <w:jc w:val="left"/>
        <w:rPr>
          <w:rFonts w:hint="eastAsia" w:ascii="仿宋" w:hAnsi="仿宋" w:eastAsia="仿宋" w:cs="仿宋"/>
          <w:color w:val="auto"/>
          <w:kern w:val="0"/>
          <w:sz w:val="22"/>
          <w:highlight w:val="none"/>
        </w:rPr>
      </w:pPr>
    </w:p>
    <w:p>
      <w:pPr>
        <w:widowControl/>
        <w:shd w:val="clear" w:color="auto" w:fill="FFFFFF"/>
        <w:wordWrap w:val="0"/>
        <w:spacing w:line="360" w:lineRule="auto"/>
        <w:ind w:firstLine="420"/>
        <w:jc w:val="left"/>
        <w:rPr>
          <w:rFonts w:hint="eastAsia" w:ascii="仿宋" w:hAnsi="仿宋" w:eastAsia="仿宋" w:cs="仿宋"/>
          <w:color w:val="auto"/>
          <w:kern w:val="0"/>
          <w:sz w:val="22"/>
          <w:highlight w:val="none"/>
        </w:rPr>
      </w:pPr>
    </w:p>
    <w:p>
      <w:pPr>
        <w:widowControl/>
        <w:shd w:val="clear" w:color="auto" w:fill="FFFFFF"/>
        <w:wordWrap w:val="0"/>
        <w:spacing w:line="360" w:lineRule="auto"/>
        <w:ind w:firstLine="420"/>
        <w:jc w:val="left"/>
        <w:rPr>
          <w:rFonts w:hint="eastAsia" w:ascii="仿宋" w:hAnsi="仿宋" w:eastAsia="仿宋" w:cs="仿宋"/>
          <w:color w:val="auto"/>
          <w:kern w:val="0"/>
          <w:sz w:val="22"/>
          <w:highlight w:val="none"/>
        </w:rPr>
      </w:pPr>
      <w:r>
        <w:rPr>
          <w:rFonts w:hint="eastAsia" w:ascii="仿宋" w:hAnsi="仿宋" w:eastAsia="仿宋" w:cs="仿宋"/>
          <w:color w:val="auto"/>
          <w:kern w:val="0"/>
          <w:sz w:val="22"/>
          <w:highlight w:val="none"/>
        </w:rPr>
        <w:t>供应商名称：XXXX（盖单位公章）</w:t>
      </w:r>
    </w:p>
    <w:p>
      <w:pPr>
        <w:widowControl/>
        <w:shd w:val="clear" w:color="auto" w:fill="FFFFFF"/>
        <w:wordWrap w:val="0"/>
        <w:spacing w:line="360" w:lineRule="auto"/>
        <w:ind w:firstLine="42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2"/>
          <w:highlight w:val="none"/>
        </w:rPr>
        <w:t>法定代表人或授权代表签字：</w:t>
      </w:r>
    </w:p>
    <w:p>
      <w:pPr>
        <w:widowControl/>
        <w:shd w:val="clear" w:color="auto" w:fill="FFFFFF"/>
        <w:wordWrap w:val="0"/>
        <w:spacing w:line="360" w:lineRule="auto"/>
        <w:ind w:firstLine="36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2"/>
          <w:highlight w:val="none"/>
        </w:rPr>
        <w:t>日期:</w:t>
      </w:r>
    </w:p>
    <w:p>
      <w:pPr>
        <w:spacing w:line="360" w:lineRule="auto"/>
        <w:rPr>
          <w:rFonts w:hint="eastAsia" w:ascii="仿宋" w:hAnsi="仿宋" w:eastAsia="仿宋" w:cs="仿宋"/>
          <w:b/>
          <w:bCs/>
          <w:kern w:val="0"/>
          <w:sz w:val="28"/>
          <w:szCs w:val="32"/>
          <w:highlight w:val="none"/>
          <w:shd w:val="clear" w:color="auto" w:fill="FFFFFF"/>
        </w:rPr>
      </w:pPr>
      <w:r>
        <w:rPr>
          <w:rFonts w:hint="eastAsia" w:ascii="仿宋" w:hAnsi="仿宋" w:eastAsia="仿宋" w:cs="仿宋"/>
          <w:b/>
          <w:bCs/>
          <w:kern w:val="0"/>
          <w:sz w:val="28"/>
          <w:szCs w:val="32"/>
          <w:highlight w:val="none"/>
          <w:shd w:val="clear" w:color="auto" w:fill="FFFFFF"/>
        </w:rPr>
        <w:br w:type="page"/>
      </w:r>
    </w:p>
    <w:p>
      <w:pPr>
        <w:widowControl/>
        <w:shd w:val="clear" w:color="auto" w:fill="FFFFFF"/>
        <w:wordWrap w:val="0"/>
        <w:spacing w:line="270" w:lineRule="atLeast"/>
        <w:jc w:val="left"/>
        <w:rPr>
          <w:rFonts w:hint="eastAsia" w:ascii="仿宋" w:hAnsi="仿宋" w:eastAsia="仿宋" w:cs="仿宋"/>
          <w:color w:val="auto"/>
          <w:kern w:val="0"/>
          <w:sz w:val="18"/>
          <w:szCs w:val="18"/>
          <w:highlight w:val="none"/>
        </w:rPr>
      </w:pPr>
      <w:r>
        <w:rPr>
          <w:rFonts w:hint="eastAsia" w:ascii="仿宋" w:hAnsi="仿宋" w:eastAsia="仿宋" w:cs="仿宋"/>
          <w:b/>
          <w:bCs/>
          <w:color w:val="auto"/>
          <w:kern w:val="0"/>
          <w:sz w:val="24"/>
          <w:szCs w:val="24"/>
          <w:highlight w:val="none"/>
        </w:rPr>
        <w:t>附件</w:t>
      </w:r>
      <w:r>
        <w:rPr>
          <w:rFonts w:hint="eastAsia" w:ascii="仿宋" w:hAnsi="仿宋" w:eastAsia="仿宋" w:cs="仿宋"/>
          <w:b/>
          <w:bCs/>
          <w:color w:val="auto"/>
          <w:kern w:val="0"/>
          <w:sz w:val="24"/>
          <w:szCs w:val="24"/>
          <w:highlight w:val="none"/>
          <w:lang w:val="en-US" w:eastAsia="zh-CN"/>
        </w:rPr>
        <w:t>5</w:t>
      </w:r>
      <w:r>
        <w:rPr>
          <w:rFonts w:hint="eastAsia" w:ascii="仿宋" w:hAnsi="仿宋" w:eastAsia="仿宋" w:cs="仿宋"/>
          <w:b/>
          <w:bCs/>
          <w:color w:val="auto"/>
          <w:kern w:val="0"/>
          <w:sz w:val="24"/>
          <w:szCs w:val="24"/>
          <w:highlight w:val="none"/>
        </w:rPr>
        <w:t>-</w:t>
      </w:r>
      <w:r>
        <w:rPr>
          <w:rFonts w:hint="eastAsia" w:ascii="仿宋" w:hAnsi="仿宋" w:eastAsia="仿宋" w:cs="仿宋"/>
          <w:b/>
          <w:bCs/>
          <w:color w:val="auto"/>
          <w:kern w:val="0"/>
          <w:sz w:val="24"/>
          <w:szCs w:val="24"/>
          <w:highlight w:val="none"/>
          <w:lang w:val="en-US" w:eastAsia="zh-CN"/>
        </w:rPr>
        <w:t>3</w:t>
      </w:r>
      <w:r>
        <w:rPr>
          <w:rFonts w:hint="eastAsia" w:ascii="仿宋" w:hAnsi="仿宋" w:eastAsia="仿宋" w:cs="仿宋"/>
          <w:b/>
          <w:bCs/>
          <w:color w:val="auto"/>
          <w:kern w:val="0"/>
          <w:sz w:val="24"/>
          <w:szCs w:val="24"/>
          <w:highlight w:val="none"/>
        </w:rPr>
        <w:t>：</w:t>
      </w:r>
    </w:p>
    <w:p>
      <w:pPr>
        <w:widowControl/>
        <w:shd w:val="clear" w:color="auto" w:fill="FFFFFF"/>
        <w:wordWrap w:val="0"/>
        <w:jc w:val="center"/>
        <w:rPr>
          <w:rFonts w:hint="eastAsia" w:ascii="仿宋" w:hAnsi="仿宋" w:eastAsia="仿宋" w:cs="仿宋"/>
          <w:color w:val="auto"/>
          <w:kern w:val="0"/>
          <w:sz w:val="18"/>
          <w:szCs w:val="18"/>
          <w:highlight w:val="none"/>
        </w:rPr>
      </w:pPr>
      <w:r>
        <w:rPr>
          <w:rFonts w:hint="eastAsia" w:ascii="仿宋" w:hAnsi="仿宋" w:eastAsia="仿宋" w:cs="仿宋"/>
          <w:b/>
          <w:bCs/>
          <w:color w:val="auto"/>
          <w:kern w:val="0"/>
          <w:sz w:val="28"/>
          <w:szCs w:val="28"/>
          <w:highlight w:val="none"/>
        </w:rPr>
        <w:t>用户情况表</w:t>
      </w:r>
    </w:p>
    <w:tbl>
      <w:tblPr>
        <w:tblStyle w:val="12"/>
        <w:tblW w:w="8220" w:type="dxa"/>
        <w:jc w:val="center"/>
        <w:tblLayout w:type="autofit"/>
        <w:tblCellMar>
          <w:top w:w="0" w:type="dxa"/>
          <w:left w:w="0" w:type="dxa"/>
          <w:bottom w:w="0" w:type="dxa"/>
          <w:right w:w="0" w:type="dxa"/>
        </w:tblCellMar>
      </w:tblPr>
      <w:tblGrid>
        <w:gridCol w:w="723"/>
        <w:gridCol w:w="1500"/>
        <w:gridCol w:w="1497"/>
        <w:gridCol w:w="1260"/>
        <w:gridCol w:w="2160"/>
        <w:gridCol w:w="1080"/>
      </w:tblGrid>
      <w:tr>
        <w:tblPrEx>
          <w:tblCellMar>
            <w:top w:w="0" w:type="dxa"/>
            <w:left w:w="0" w:type="dxa"/>
            <w:bottom w:w="0" w:type="dxa"/>
            <w:right w:w="0" w:type="dxa"/>
          </w:tblCellMar>
        </w:tblPrEx>
        <w:trPr>
          <w:trHeight w:val="420" w:hRule="atLeast"/>
          <w:jc w:val="center"/>
        </w:trPr>
        <w:tc>
          <w:tcPr>
            <w:tcW w:w="723"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序号</w:t>
            </w:r>
          </w:p>
        </w:tc>
        <w:tc>
          <w:tcPr>
            <w:tcW w:w="1500" w:type="dxa"/>
            <w:tcBorders>
              <w:top w:val="single" w:color="auto" w:sz="8" w:space="0"/>
              <w:left w:val="nil"/>
              <w:bottom w:val="single" w:color="auto" w:sz="8" w:space="0"/>
              <w:right w:val="single" w:color="auto" w:sz="4"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用户名称</w:t>
            </w:r>
          </w:p>
        </w:tc>
        <w:tc>
          <w:tcPr>
            <w:tcW w:w="1497"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项目名称</w:t>
            </w:r>
          </w:p>
        </w:tc>
        <w:tc>
          <w:tcPr>
            <w:tcW w:w="12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合同时间</w:t>
            </w:r>
          </w:p>
        </w:tc>
        <w:tc>
          <w:tcPr>
            <w:tcW w:w="21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联系人及联系方式</w:t>
            </w:r>
          </w:p>
        </w:tc>
        <w:tc>
          <w:tcPr>
            <w:tcW w:w="108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备注</w:t>
            </w:r>
          </w:p>
        </w:tc>
      </w:tr>
      <w:tr>
        <w:tblPrEx>
          <w:tblCellMar>
            <w:top w:w="0" w:type="dxa"/>
            <w:left w:w="0" w:type="dxa"/>
            <w:bottom w:w="0" w:type="dxa"/>
            <w:right w:w="0" w:type="dxa"/>
          </w:tblCellMar>
        </w:tblPrEx>
        <w:trPr>
          <w:trHeight w:val="300"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24"/>
                <w:szCs w:val="24"/>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24"/>
                <w:szCs w:val="24"/>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r>
      <w:tr>
        <w:tblPrEx>
          <w:tblCellMar>
            <w:top w:w="0" w:type="dxa"/>
            <w:left w:w="0" w:type="dxa"/>
            <w:bottom w:w="0" w:type="dxa"/>
            <w:right w:w="0" w:type="dxa"/>
          </w:tblCellMar>
        </w:tblPrEx>
        <w:trPr>
          <w:trHeight w:val="300"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24"/>
                <w:szCs w:val="24"/>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24"/>
                <w:szCs w:val="24"/>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r>
      <w:tr>
        <w:tblPrEx>
          <w:tblCellMar>
            <w:top w:w="0" w:type="dxa"/>
            <w:left w:w="0" w:type="dxa"/>
            <w:bottom w:w="0" w:type="dxa"/>
            <w:right w:w="0" w:type="dxa"/>
          </w:tblCellMar>
        </w:tblPrEx>
        <w:trPr>
          <w:trHeight w:val="10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105" w:lineRule="atLeast"/>
              <w:jc w:val="center"/>
              <w:rPr>
                <w:rFonts w:hint="eastAsia" w:ascii="仿宋" w:hAnsi="仿宋" w:eastAsia="仿宋" w:cs="仿宋"/>
                <w:color w:val="auto"/>
                <w:kern w:val="0"/>
                <w:sz w:val="24"/>
                <w:szCs w:val="24"/>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pPr>
              <w:widowControl/>
              <w:wordWrap w:val="0"/>
              <w:spacing w:line="105" w:lineRule="atLeas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105" w:lineRule="atLeast"/>
              <w:jc w:val="center"/>
              <w:rPr>
                <w:rFonts w:hint="eastAsia" w:ascii="仿宋" w:hAnsi="仿宋" w:eastAsia="仿宋" w:cs="仿宋"/>
                <w:color w:val="auto"/>
                <w:kern w:val="0"/>
                <w:sz w:val="24"/>
                <w:szCs w:val="24"/>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105" w:lineRule="atLeas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105" w:lineRule="atLeas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105" w:lineRule="atLeas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r>
      <w:tr>
        <w:tblPrEx>
          <w:tblCellMar>
            <w:top w:w="0" w:type="dxa"/>
            <w:left w:w="0" w:type="dxa"/>
            <w:bottom w:w="0" w:type="dxa"/>
            <w:right w:w="0" w:type="dxa"/>
          </w:tblCellMar>
        </w:tblPrEx>
        <w:trPr>
          <w:trHeight w:val="10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105" w:lineRule="atLeast"/>
              <w:jc w:val="center"/>
              <w:rPr>
                <w:rFonts w:hint="eastAsia" w:ascii="仿宋" w:hAnsi="仿宋" w:eastAsia="仿宋" w:cs="仿宋"/>
                <w:color w:val="auto"/>
                <w:kern w:val="0"/>
                <w:sz w:val="24"/>
                <w:szCs w:val="24"/>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pPr>
              <w:widowControl/>
              <w:wordWrap w:val="0"/>
              <w:spacing w:line="105" w:lineRule="atLeas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105" w:lineRule="atLeast"/>
              <w:jc w:val="center"/>
              <w:rPr>
                <w:rFonts w:hint="eastAsia" w:ascii="仿宋" w:hAnsi="仿宋" w:eastAsia="仿宋" w:cs="仿宋"/>
                <w:color w:val="auto"/>
                <w:kern w:val="0"/>
                <w:sz w:val="24"/>
                <w:szCs w:val="24"/>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105" w:lineRule="atLeas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105" w:lineRule="atLeas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105" w:lineRule="atLeas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r>
      <w:tr>
        <w:tblPrEx>
          <w:tblCellMar>
            <w:top w:w="0" w:type="dxa"/>
            <w:left w:w="0" w:type="dxa"/>
            <w:bottom w:w="0" w:type="dxa"/>
            <w:right w:w="0" w:type="dxa"/>
          </w:tblCellMar>
        </w:tblPrEx>
        <w:trPr>
          <w:trHeight w:val="10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105" w:lineRule="atLeast"/>
              <w:jc w:val="center"/>
              <w:rPr>
                <w:rFonts w:hint="eastAsia" w:ascii="仿宋" w:hAnsi="仿宋" w:eastAsia="仿宋" w:cs="仿宋"/>
                <w:color w:val="auto"/>
                <w:kern w:val="0"/>
                <w:sz w:val="24"/>
                <w:szCs w:val="24"/>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pPr>
              <w:widowControl/>
              <w:wordWrap w:val="0"/>
              <w:spacing w:line="105" w:lineRule="atLeas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spacing w:line="105" w:lineRule="atLeast"/>
              <w:jc w:val="center"/>
              <w:rPr>
                <w:rFonts w:hint="eastAsia" w:ascii="仿宋" w:hAnsi="仿宋" w:eastAsia="仿宋" w:cs="仿宋"/>
                <w:color w:val="auto"/>
                <w:kern w:val="0"/>
                <w:sz w:val="24"/>
                <w:szCs w:val="24"/>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105" w:lineRule="atLeas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105" w:lineRule="atLeas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spacing w:line="105" w:lineRule="atLeas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r>
      <w:tr>
        <w:tblPrEx>
          <w:tblCellMar>
            <w:top w:w="0" w:type="dxa"/>
            <w:left w:w="0" w:type="dxa"/>
            <w:bottom w:w="0" w:type="dxa"/>
            <w:right w:w="0" w:type="dxa"/>
          </w:tblCellMar>
        </w:tblPrEx>
        <w:trPr>
          <w:trHeight w:val="37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24"/>
                <w:szCs w:val="24"/>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24"/>
                <w:szCs w:val="24"/>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r>
      <w:tr>
        <w:tblPrEx>
          <w:tblCellMar>
            <w:top w:w="0" w:type="dxa"/>
            <w:left w:w="0" w:type="dxa"/>
            <w:bottom w:w="0" w:type="dxa"/>
            <w:right w:w="0" w:type="dxa"/>
          </w:tblCellMar>
        </w:tblPrEx>
        <w:trPr>
          <w:trHeight w:val="37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24"/>
                <w:szCs w:val="24"/>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24"/>
                <w:szCs w:val="24"/>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r>
      <w:tr>
        <w:tblPrEx>
          <w:tblCellMar>
            <w:top w:w="0" w:type="dxa"/>
            <w:left w:w="0" w:type="dxa"/>
            <w:bottom w:w="0" w:type="dxa"/>
            <w:right w:w="0" w:type="dxa"/>
          </w:tblCellMar>
        </w:tblPrEx>
        <w:trPr>
          <w:trHeight w:val="375" w:hRule="atLeast"/>
          <w:jc w:val="center"/>
        </w:trPr>
        <w:tc>
          <w:tcPr>
            <w:tcW w:w="723"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24"/>
                <w:szCs w:val="24"/>
                <w:highlight w:val="none"/>
              </w:rPr>
            </w:pPr>
          </w:p>
        </w:tc>
        <w:tc>
          <w:tcPr>
            <w:tcW w:w="1500" w:type="dxa"/>
            <w:tcBorders>
              <w:top w:val="nil"/>
              <w:left w:val="nil"/>
              <w:bottom w:val="single" w:color="auto" w:sz="8" w:space="0"/>
              <w:right w:val="single" w:color="auto" w:sz="4"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1497" w:type="dxa"/>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24"/>
                <w:szCs w:val="24"/>
                <w:highlight w:val="none"/>
              </w:rPr>
            </w:pP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21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wordWrap w:val="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tc>
      </w:tr>
    </w:tbl>
    <w:p>
      <w:pPr>
        <w:widowControl/>
        <w:shd w:val="clear" w:color="auto" w:fill="FFFFFF"/>
        <w:wordWrap w:val="0"/>
        <w:spacing w:line="270" w:lineRule="atLeas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p>
      <w:pPr>
        <w:widowControl/>
        <w:shd w:val="clear" w:color="auto" w:fill="FFFFFF"/>
        <w:wordWrap w:val="0"/>
        <w:ind w:firstLine="48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w:t>
      </w:r>
    </w:p>
    <w:p>
      <w:pPr>
        <w:widowControl/>
        <w:shd w:val="clear" w:color="auto" w:fill="FFFFFF"/>
        <w:wordWrap w:val="0"/>
        <w:ind w:firstLine="480"/>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法定代表人或授权代表签字：</w:t>
      </w:r>
    </w:p>
    <w:p>
      <w:pPr>
        <w:widowControl/>
        <w:shd w:val="clear" w:color="auto" w:fill="FFFFFF"/>
        <w:wordWrap w:val="0"/>
        <w:spacing w:line="270" w:lineRule="atLeast"/>
        <w:ind w:firstLine="449"/>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日期</w:t>
      </w:r>
      <w:r>
        <w:rPr>
          <w:rFonts w:hint="eastAsia" w:ascii="仿宋" w:hAnsi="仿宋" w:eastAsia="仿宋" w:cs="仿宋"/>
          <w:b/>
          <w:bCs/>
          <w:color w:val="auto"/>
          <w:kern w:val="0"/>
          <w:sz w:val="24"/>
          <w:szCs w:val="24"/>
          <w:highlight w:val="none"/>
        </w:rPr>
        <w:t>:</w:t>
      </w:r>
    </w:p>
    <w:p>
      <w:pPr>
        <w:rPr>
          <w:rFonts w:hint="eastAsia" w:ascii="仿宋" w:hAnsi="仿宋" w:eastAsia="仿宋" w:cs="仿宋"/>
          <w:b/>
          <w:bCs/>
          <w:kern w:val="0"/>
          <w:sz w:val="28"/>
          <w:szCs w:val="32"/>
          <w:highlight w:val="none"/>
          <w:shd w:val="clear" w:color="auto" w:fill="FFFFFF"/>
        </w:rPr>
      </w:pPr>
      <w:r>
        <w:rPr>
          <w:rFonts w:hint="eastAsia" w:ascii="仿宋" w:hAnsi="仿宋" w:eastAsia="仿宋" w:cs="仿宋"/>
          <w:b/>
          <w:bCs/>
          <w:kern w:val="0"/>
          <w:sz w:val="28"/>
          <w:szCs w:val="32"/>
          <w:highlight w:val="none"/>
          <w:shd w:val="clear" w:color="auto" w:fill="FFFFFF"/>
        </w:rPr>
        <w:br w:type="page"/>
      </w:r>
    </w:p>
    <w:p>
      <w:pPr>
        <w:pStyle w:val="18"/>
        <w:keepNext w:val="0"/>
        <w:keepLines w:val="0"/>
        <w:pageBreakBefore w:val="0"/>
        <w:widowControl w:val="0"/>
        <w:kinsoku/>
        <w:wordWrap/>
        <w:overflowPunct/>
        <w:topLinePunct w:val="0"/>
        <w:autoSpaceDE/>
        <w:autoSpaceDN/>
        <w:bidi w:val="0"/>
        <w:adjustRightInd/>
        <w:snapToGrid/>
        <w:spacing w:line="360" w:lineRule="auto"/>
        <w:ind w:right="0" w:rightChars="0"/>
        <w:jc w:val="left"/>
        <w:textAlignment w:val="auto"/>
        <w:outlineLvl w:val="9"/>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附件</w:t>
      </w:r>
      <w:r>
        <w:rPr>
          <w:rFonts w:hint="eastAsia" w:ascii="仿宋" w:hAnsi="仿宋" w:eastAsia="仿宋" w:cs="仿宋"/>
          <w:b/>
          <w:bCs/>
          <w:color w:val="auto"/>
          <w:kern w:val="0"/>
          <w:sz w:val="24"/>
          <w:szCs w:val="24"/>
          <w:highlight w:val="none"/>
          <w:lang w:val="en-US" w:eastAsia="zh-CN"/>
        </w:rPr>
        <w:t>5</w:t>
      </w:r>
      <w:r>
        <w:rPr>
          <w:rFonts w:hint="eastAsia" w:ascii="仿宋" w:hAnsi="仿宋" w:eastAsia="仿宋" w:cs="仿宋"/>
          <w:b/>
          <w:bCs/>
          <w:color w:val="auto"/>
          <w:kern w:val="0"/>
          <w:sz w:val="24"/>
          <w:szCs w:val="24"/>
          <w:highlight w:val="none"/>
        </w:rPr>
        <w:t>-</w:t>
      </w:r>
      <w:r>
        <w:rPr>
          <w:rFonts w:hint="eastAsia" w:ascii="仿宋" w:hAnsi="仿宋" w:eastAsia="仿宋" w:cs="仿宋"/>
          <w:b/>
          <w:bCs/>
          <w:color w:val="auto"/>
          <w:kern w:val="0"/>
          <w:sz w:val="24"/>
          <w:szCs w:val="24"/>
          <w:highlight w:val="none"/>
          <w:lang w:val="en-US" w:eastAsia="zh-CN"/>
        </w:rPr>
        <w:t>4</w:t>
      </w:r>
      <w:r>
        <w:rPr>
          <w:rFonts w:hint="eastAsia" w:ascii="仿宋" w:hAnsi="仿宋" w:eastAsia="仿宋" w:cs="仿宋"/>
          <w:b/>
          <w:bCs/>
          <w:color w:val="auto"/>
          <w:kern w:val="0"/>
          <w:sz w:val="24"/>
          <w:szCs w:val="24"/>
          <w:highlight w:val="none"/>
        </w:rPr>
        <w:t>：</w:t>
      </w:r>
    </w:p>
    <w:p>
      <w:pPr>
        <w:pStyle w:val="18"/>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仿宋" w:hAnsi="仿宋" w:eastAsia="仿宋" w:cs="仿宋"/>
          <w:b/>
          <w:kern w:val="2"/>
          <w:sz w:val="32"/>
          <w:szCs w:val="32"/>
          <w:highlight w:val="none"/>
          <w:lang w:val="en-US" w:eastAsia="zh-CN" w:bidi="ar-SA"/>
        </w:rPr>
      </w:pPr>
      <w:r>
        <w:rPr>
          <w:rFonts w:hint="eastAsia" w:ascii="仿宋" w:hAnsi="仿宋" w:eastAsia="仿宋" w:cs="仿宋"/>
          <w:b/>
          <w:kern w:val="2"/>
          <w:sz w:val="32"/>
          <w:szCs w:val="32"/>
          <w:highlight w:val="none"/>
          <w:lang w:val="en-US" w:eastAsia="zh-CN" w:bidi="ar-SA"/>
        </w:rPr>
        <w:t>授权委托书</w:t>
      </w:r>
    </w:p>
    <w:p>
      <w:pPr>
        <w:pStyle w:val="18"/>
        <w:pageBreakBefore w:val="0"/>
        <w:kinsoku/>
        <w:wordWrap/>
        <w:overflowPunct/>
        <w:topLinePunct w:val="0"/>
        <w:bidi w:val="0"/>
        <w:spacing w:line="360" w:lineRule="auto"/>
        <w:jc w:val="center"/>
        <w:rPr>
          <w:rFonts w:hint="eastAsia" w:ascii="仿宋" w:hAnsi="仿宋" w:eastAsia="仿宋" w:cs="仿宋"/>
          <w:kern w:val="2"/>
          <w:sz w:val="24"/>
          <w:szCs w:val="22"/>
          <w:highlight w:val="none"/>
          <w:lang w:val="en-US" w:eastAsia="zh-CN" w:bidi="ar-SA"/>
        </w:rPr>
      </w:pPr>
      <w:r>
        <w:rPr>
          <w:rFonts w:hint="eastAsia" w:ascii="仿宋" w:hAnsi="仿宋" w:eastAsia="仿宋" w:cs="仿宋"/>
          <w:kern w:val="2"/>
          <w:sz w:val="24"/>
          <w:szCs w:val="22"/>
          <w:highlight w:val="none"/>
          <w:lang w:val="en-US" w:eastAsia="zh-CN" w:bidi="ar-SA"/>
        </w:rPr>
        <w:t>（若供应商代表为“授权代表”时，提供此委托书）</w:t>
      </w:r>
    </w:p>
    <w:p>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四川省妇幼保健院</w:t>
      </w:r>
      <w:r>
        <w:rPr>
          <w:rFonts w:hint="eastAsia" w:ascii="仿宋" w:hAnsi="仿宋" w:eastAsia="仿宋" w:cs="仿宋"/>
          <w:sz w:val="24"/>
          <w:highlight w:val="none"/>
        </w:rPr>
        <w:t>：</w:t>
      </w:r>
    </w:p>
    <w:p>
      <w:pPr>
        <w:pStyle w:val="2"/>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本人</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lang w:eastAsia="zh-CN"/>
        </w:rPr>
        <w:t>（姓名）系</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lang w:eastAsia="zh-CN"/>
        </w:rPr>
        <w:t>（供应商名称）的法定代表人（单位负责人），现委托</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lang w:eastAsia="zh-CN"/>
        </w:rPr>
        <w:t>（姓名）为我方代理人。代理人在本次采购中所签署的一切文件和处理的一切有关事宜，我公司（单位）均予承认，所产生的法律后果均由我公司（单位）承担。</w:t>
      </w:r>
    </w:p>
    <w:p>
      <w:pPr>
        <w:pStyle w:val="2"/>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委托期限：自本授权委托书签署之日起至响应文件有效期届满之日止。代理人无转委托权。</w:t>
      </w:r>
    </w:p>
    <w:p>
      <w:pPr>
        <w:pStyle w:val="2"/>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供应商名称：XXXX（盖单位公章）</w:t>
      </w:r>
    </w:p>
    <w:p>
      <w:pPr>
        <w:pStyle w:val="2"/>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法定代表人（单位负责人）（签字或加盖个人名章）：XXXX。</w:t>
      </w:r>
    </w:p>
    <w:p>
      <w:pPr>
        <w:pStyle w:val="2"/>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授权代表（代理人）签字：XXXX。</w:t>
      </w:r>
    </w:p>
    <w:p>
      <w:pPr>
        <w:pStyle w:val="2"/>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日    期：XXXX。</w:t>
      </w:r>
    </w:p>
    <w:p>
      <w:pPr>
        <w:pStyle w:val="2"/>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法定代表人（单位负责人）有效期内的居民身份证正反面</w:t>
      </w:r>
    </w:p>
    <w:tbl>
      <w:tblPr>
        <w:tblStyle w:val="12"/>
        <w:tblW w:w="5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64"/>
        <w:gridCol w:w="28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3" w:hRule="atLeast"/>
          <w:jc w:val="center"/>
        </w:trPr>
        <w:tc>
          <w:tcPr>
            <w:tcW w:w="2964" w:type="dxa"/>
            <w:noWrap w:val="0"/>
            <w:vAlign w:val="top"/>
          </w:tcPr>
          <w:p>
            <w:pPr>
              <w:tabs>
                <w:tab w:val="left" w:pos="5580"/>
              </w:tabs>
              <w:spacing w:line="360" w:lineRule="auto"/>
              <w:jc w:val="left"/>
              <w:rPr>
                <w:rFonts w:hint="eastAsia" w:ascii="仿宋" w:hAnsi="仿宋" w:eastAsia="仿宋" w:cs="仿宋"/>
                <w:color w:val="000000"/>
                <w:sz w:val="24"/>
                <w:szCs w:val="20"/>
                <w:highlight w:val="none"/>
              </w:rPr>
            </w:pPr>
          </w:p>
        </w:tc>
        <w:tc>
          <w:tcPr>
            <w:tcW w:w="2875" w:type="dxa"/>
            <w:noWrap w:val="0"/>
            <w:vAlign w:val="top"/>
          </w:tcPr>
          <w:p>
            <w:pPr>
              <w:tabs>
                <w:tab w:val="left" w:pos="5580"/>
              </w:tabs>
              <w:spacing w:line="360" w:lineRule="auto"/>
              <w:jc w:val="left"/>
              <w:rPr>
                <w:rFonts w:hint="eastAsia" w:ascii="仿宋" w:hAnsi="仿宋" w:eastAsia="仿宋" w:cs="仿宋"/>
                <w:color w:val="000000"/>
                <w:sz w:val="24"/>
                <w:szCs w:val="20"/>
                <w:highlight w:val="none"/>
              </w:rPr>
            </w:pPr>
          </w:p>
        </w:tc>
      </w:tr>
    </w:tbl>
    <w:p>
      <w:pPr>
        <w:pStyle w:val="2"/>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eastAsia="zh-CN"/>
        </w:rPr>
        <w:t>授权代表（代理人）</w:t>
      </w:r>
      <w:r>
        <w:rPr>
          <w:rFonts w:hint="eastAsia" w:ascii="仿宋" w:hAnsi="仿宋" w:eastAsia="仿宋" w:cs="仿宋"/>
          <w:sz w:val="24"/>
          <w:highlight w:val="none"/>
          <w:lang w:val="en-US" w:eastAsia="zh-CN"/>
        </w:rPr>
        <w:t>有效期内的居民身份证正反面</w:t>
      </w:r>
    </w:p>
    <w:tbl>
      <w:tblPr>
        <w:tblStyle w:val="12"/>
        <w:tblW w:w="5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64"/>
        <w:gridCol w:w="28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3" w:hRule="atLeast"/>
          <w:jc w:val="center"/>
        </w:trPr>
        <w:tc>
          <w:tcPr>
            <w:tcW w:w="2964" w:type="dxa"/>
            <w:noWrap w:val="0"/>
            <w:vAlign w:val="top"/>
          </w:tcPr>
          <w:p>
            <w:pPr>
              <w:tabs>
                <w:tab w:val="left" w:pos="5580"/>
              </w:tabs>
              <w:spacing w:line="360" w:lineRule="auto"/>
              <w:jc w:val="left"/>
              <w:rPr>
                <w:rFonts w:hint="eastAsia" w:ascii="仿宋" w:hAnsi="仿宋" w:eastAsia="仿宋" w:cs="仿宋"/>
                <w:color w:val="000000"/>
                <w:sz w:val="24"/>
                <w:szCs w:val="20"/>
                <w:highlight w:val="none"/>
              </w:rPr>
            </w:pPr>
          </w:p>
        </w:tc>
        <w:tc>
          <w:tcPr>
            <w:tcW w:w="2875" w:type="dxa"/>
            <w:noWrap w:val="0"/>
            <w:vAlign w:val="top"/>
          </w:tcPr>
          <w:p>
            <w:pPr>
              <w:tabs>
                <w:tab w:val="left" w:pos="5580"/>
              </w:tabs>
              <w:spacing w:line="360" w:lineRule="auto"/>
              <w:jc w:val="left"/>
              <w:rPr>
                <w:rFonts w:hint="eastAsia" w:ascii="仿宋" w:hAnsi="仿宋" w:eastAsia="仿宋" w:cs="仿宋"/>
                <w:color w:val="000000"/>
                <w:sz w:val="24"/>
                <w:szCs w:val="20"/>
                <w:highlight w:val="none"/>
              </w:rPr>
            </w:pPr>
          </w:p>
        </w:tc>
      </w:tr>
    </w:tbl>
    <w:p>
      <w:pPr>
        <w:ind w:firstLine="720" w:firstLineChars="300"/>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注：</w:t>
      </w:r>
      <w:r>
        <w:rPr>
          <w:rFonts w:hint="eastAsia" w:ascii="仿宋" w:hAnsi="仿宋" w:eastAsia="仿宋" w:cs="仿宋"/>
          <w:sz w:val="24"/>
          <w:highlight w:val="none"/>
          <w:lang w:val="en-US" w:eastAsia="zh-CN"/>
        </w:rPr>
        <w:t>1.</w:t>
      </w:r>
      <w:r>
        <w:rPr>
          <w:rFonts w:hint="eastAsia" w:ascii="仿宋" w:hAnsi="仿宋" w:eastAsia="仿宋" w:cs="仿宋"/>
          <w:sz w:val="24"/>
          <w:highlight w:val="none"/>
          <w:lang w:eastAsia="zh-CN"/>
        </w:rPr>
        <w:t>提供有效期内的身份证明材料，例如居民身份证或户口本或军官证或护照等；</w:t>
      </w:r>
      <w:r>
        <w:rPr>
          <w:rFonts w:hint="eastAsia" w:ascii="仿宋" w:hAnsi="仿宋" w:eastAsia="仿宋" w:cs="仿宋"/>
          <w:sz w:val="24"/>
          <w:highlight w:val="none"/>
          <w:lang w:val="en-US" w:eastAsia="zh-CN"/>
        </w:rPr>
        <w:t>2.</w:t>
      </w:r>
      <w:r>
        <w:rPr>
          <w:rFonts w:hint="eastAsia" w:ascii="仿宋" w:hAnsi="仿宋" w:eastAsia="仿宋" w:cs="仿宋"/>
          <w:sz w:val="24"/>
          <w:highlight w:val="none"/>
          <w:lang w:eastAsia="zh-CN"/>
        </w:rPr>
        <w:t>若提供居民身份证，须为正、反面复印件。</w:t>
      </w:r>
    </w:p>
    <w:p>
      <w:pPr>
        <w:widowControl/>
        <w:shd w:val="clear" w:color="auto" w:fill="FFFFFF"/>
        <w:wordWrap w:val="0"/>
        <w:spacing w:line="270" w:lineRule="atLeast"/>
        <w:ind w:left="480" w:hanging="36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★说明：上述证明文件附有法定代表人、被授权代表身份证复印件（</w:t>
      </w:r>
      <w:r>
        <w:rPr>
          <w:rFonts w:hint="eastAsia" w:ascii="仿宋" w:hAnsi="仿宋" w:eastAsia="仿宋" w:cs="仿宋"/>
          <w:color w:val="auto"/>
          <w:kern w:val="0"/>
          <w:sz w:val="24"/>
          <w:szCs w:val="24"/>
          <w:highlight w:val="none"/>
          <w:lang w:val="en-US" w:eastAsia="zh-CN"/>
        </w:rPr>
        <w:t>双方签字并</w:t>
      </w:r>
      <w:r>
        <w:rPr>
          <w:rFonts w:hint="eastAsia" w:ascii="仿宋" w:hAnsi="仿宋" w:eastAsia="仿宋" w:cs="仿宋"/>
          <w:color w:val="auto"/>
          <w:kern w:val="0"/>
          <w:sz w:val="24"/>
          <w:szCs w:val="24"/>
          <w:highlight w:val="none"/>
        </w:rPr>
        <w:t>加盖公章）时才能生效。</w:t>
      </w:r>
    </w:p>
    <w:p>
      <w:pPr>
        <w:pStyle w:val="18"/>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left"/>
        <w:textAlignment w:val="auto"/>
        <w:outlineLvl w:val="9"/>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br w:type="page"/>
      </w:r>
      <w:r>
        <w:rPr>
          <w:rFonts w:hint="eastAsia" w:ascii="仿宋" w:hAnsi="仿宋" w:eastAsia="仿宋" w:cs="仿宋"/>
          <w:b/>
          <w:bCs/>
          <w:color w:val="auto"/>
          <w:kern w:val="0"/>
          <w:sz w:val="24"/>
          <w:szCs w:val="24"/>
          <w:highlight w:val="none"/>
        </w:rPr>
        <w:t>附件</w:t>
      </w:r>
      <w:r>
        <w:rPr>
          <w:rFonts w:hint="eastAsia" w:ascii="仿宋" w:hAnsi="仿宋" w:eastAsia="仿宋" w:cs="仿宋"/>
          <w:b/>
          <w:bCs/>
          <w:color w:val="auto"/>
          <w:kern w:val="0"/>
          <w:sz w:val="24"/>
          <w:szCs w:val="24"/>
          <w:highlight w:val="none"/>
          <w:lang w:val="en-US" w:eastAsia="zh-CN"/>
        </w:rPr>
        <w:t>5</w:t>
      </w:r>
      <w:r>
        <w:rPr>
          <w:rFonts w:hint="eastAsia" w:ascii="仿宋" w:hAnsi="仿宋" w:eastAsia="仿宋" w:cs="仿宋"/>
          <w:b/>
          <w:bCs/>
          <w:color w:val="auto"/>
          <w:kern w:val="0"/>
          <w:sz w:val="24"/>
          <w:szCs w:val="24"/>
          <w:highlight w:val="none"/>
        </w:rPr>
        <w:t>-</w:t>
      </w:r>
      <w:r>
        <w:rPr>
          <w:rFonts w:hint="eastAsia" w:ascii="仿宋" w:hAnsi="仿宋" w:eastAsia="仿宋" w:cs="仿宋"/>
          <w:b/>
          <w:bCs/>
          <w:color w:val="auto"/>
          <w:kern w:val="0"/>
          <w:sz w:val="24"/>
          <w:szCs w:val="24"/>
          <w:highlight w:val="none"/>
          <w:lang w:val="en-US" w:eastAsia="zh-CN"/>
        </w:rPr>
        <w:t>5</w:t>
      </w:r>
      <w:r>
        <w:rPr>
          <w:rFonts w:hint="eastAsia" w:ascii="仿宋" w:hAnsi="仿宋" w:eastAsia="仿宋" w:cs="仿宋"/>
          <w:b/>
          <w:bCs/>
          <w:color w:val="auto"/>
          <w:kern w:val="0"/>
          <w:sz w:val="24"/>
          <w:szCs w:val="24"/>
          <w:highlight w:val="none"/>
        </w:rPr>
        <w:t>：</w:t>
      </w:r>
    </w:p>
    <w:p>
      <w:pPr>
        <w:pStyle w:val="1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643" w:firstLineChars="200"/>
        <w:jc w:val="center"/>
        <w:textAlignment w:val="auto"/>
        <w:outlineLvl w:val="9"/>
        <w:rPr>
          <w:rFonts w:hint="eastAsia" w:ascii="仿宋" w:hAnsi="仿宋" w:eastAsia="仿宋" w:cs="仿宋"/>
          <w:b/>
          <w:kern w:val="2"/>
          <w:sz w:val="32"/>
          <w:szCs w:val="32"/>
          <w:highlight w:val="none"/>
          <w:lang w:val="en-US" w:eastAsia="zh-CN" w:bidi="ar-SA"/>
        </w:rPr>
      </w:pPr>
      <w:r>
        <w:rPr>
          <w:rFonts w:hint="eastAsia" w:ascii="仿宋" w:hAnsi="仿宋" w:eastAsia="仿宋" w:cs="仿宋"/>
          <w:b/>
          <w:kern w:val="2"/>
          <w:sz w:val="32"/>
          <w:szCs w:val="32"/>
          <w:highlight w:val="none"/>
          <w:lang w:val="en-US" w:eastAsia="zh-CN" w:bidi="ar-SA"/>
        </w:rPr>
        <w:t>法定代表人（单位负责人）身份证明</w:t>
      </w:r>
    </w:p>
    <w:p>
      <w:pPr>
        <w:pStyle w:val="1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center"/>
        <w:textAlignment w:val="auto"/>
        <w:outlineLvl w:val="9"/>
        <w:rPr>
          <w:rFonts w:hint="eastAsia" w:ascii="仿宋" w:hAnsi="仿宋" w:eastAsia="仿宋" w:cs="仿宋"/>
          <w:kern w:val="2"/>
          <w:sz w:val="24"/>
          <w:szCs w:val="22"/>
          <w:highlight w:val="none"/>
          <w:lang w:val="en-US" w:eastAsia="zh-CN" w:bidi="ar-SA"/>
        </w:rPr>
      </w:pPr>
      <w:r>
        <w:rPr>
          <w:rFonts w:hint="eastAsia" w:ascii="仿宋" w:hAnsi="仿宋" w:eastAsia="仿宋" w:cs="仿宋"/>
          <w:kern w:val="2"/>
          <w:sz w:val="24"/>
          <w:szCs w:val="22"/>
          <w:highlight w:val="none"/>
          <w:lang w:val="en-US" w:eastAsia="zh-CN" w:bidi="ar-SA"/>
        </w:rPr>
        <w:t>（若供应商代表为“法定代表人（单位负责人）”时，提供此证明）</w:t>
      </w:r>
    </w:p>
    <w:p>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sz w:val="24"/>
          <w:highlight w:val="none"/>
          <w:lang w:eastAsia="zh-CN"/>
        </w:rPr>
      </w:pPr>
    </w:p>
    <w:p>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b w:val="0"/>
          <w:bCs w:val="0"/>
          <w:color w:val="auto"/>
          <w:sz w:val="24"/>
          <w:szCs w:val="24"/>
          <w:highlight w:val="none"/>
          <w:u w:val="single"/>
          <w:lang w:val="en-US" w:eastAsia="zh-CN"/>
        </w:rPr>
      </w:pPr>
      <w:r>
        <w:rPr>
          <w:rFonts w:hint="eastAsia" w:ascii="仿宋" w:hAnsi="仿宋" w:eastAsia="仿宋" w:cs="仿宋"/>
          <w:sz w:val="24"/>
          <w:highlight w:val="none"/>
          <w:lang w:eastAsia="zh-CN"/>
        </w:rPr>
        <w:t>四川省妇幼保健院</w:t>
      </w:r>
      <w:r>
        <w:rPr>
          <w:rFonts w:hint="eastAsia" w:ascii="仿宋" w:hAnsi="仿宋" w:eastAsia="仿宋" w:cs="仿宋"/>
          <w:sz w:val="24"/>
          <w:highlight w:val="none"/>
        </w:rPr>
        <w:t>：</w:t>
      </w:r>
    </w:p>
    <w:p>
      <w:pPr>
        <w:pStyle w:val="2"/>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lang w:val="en-US" w:eastAsia="zh-CN"/>
        </w:rPr>
        <w:t>（姓名）系</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lang w:val="en-US" w:eastAsia="zh-CN"/>
        </w:rPr>
        <w:t>（供应商名称）的法定代表人（单位负责人）（职务</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lang w:val="en-US" w:eastAsia="zh-CN"/>
        </w:rPr>
        <w:t>）。</w:t>
      </w:r>
    </w:p>
    <w:p>
      <w:pPr>
        <w:pStyle w:val="2"/>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特此证明。</w:t>
      </w:r>
    </w:p>
    <w:p>
      <w:pPr>
        <w:pStyle w:val="1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jc w:val="left"/>
        <w:textAlignment w:val="auto"/>
        <w:outlineLvl w:val="9"/>
        <w:rPr>
          <w:rFonts w:hint="eastAsia" w:ascii="仿宋" w:hAnsi="仿宋" w:eastAsia="仿宋" w:cs="仿宋"/>
          <w:highlight w:val="none"/>
          <w:lang w:val="en-US" w:eastAsia="zh-CN"/>
        </w:rPr>
      </w:pPr>
    </w:p>
    <w:p>
      <w:pPr>
        <w:pStyle w:val="2"/>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供应商名称：XXXX（盖单位公章）</w:t>
      </w:r>
    </w:p>
    <w:p>
      <w:pPr>
        <w:pStyle w:val="2"/>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法定代表人（单位负责人）（签字或加盖个人名章）：XXXX。</w:t>
      </w:r>
    </w:p>
    <w:p>
      <w:pPr>
        <w:pStyle w:val="2"/>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日    期：XXXX。</w:t>
      </w:r>
    </w:p>
    <w:p>
      <w:pPr>
        <w:pStyle w:val="1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auto"/>
          <w:sz w:val="24"/>
          <w:szCs w:val="24"/>
          <w:highlight w:val="none"/>
          <w:u w:val="none"/>
          <w:lang w:val="en-US" w:eastAsia="zh-CN"/>
        </w:rPr>
      </w:pPr>
    </w:p>
    <w:p>
      <w:pPr>
        <w:pStyle w:val="2"/>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法定代表人（单位负责人）有效期内的居民身份证正反面</w:t>
      </w:r>
    </w:p>
    <w:tbl>
      <w:tblPr>
        <w:tblStyle w:val="12"/>
        <w:tblW w:w="68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501"/>
        <w:gridCol w:w="33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3" w:hRule="atLeast"/>
          <w:jc w:val="center"/>
        </w:trPr>
        <w:tc>
          <w:tcPr>
            <w:tcW w:w="3501" w:type="dxa"/>
            <w:noWrap w:val="0"/>
            <w:vAlign w:val="top"/>
          </w:tcPr>
          <w:p>
            <w:pPr>
              <w:tabs>
                <w:tab w:val="left" w:pos="5580"/>
              </w:tabs>
              <w:spacing w:line="360" w:lineRule="auto"/>
              <w:jc w:val="left"/>
              <w:rPr>
                <w:rFonts w:hint="eastAsia" w:ascii="仿宋" w:hAnsi="仿宋" w:eastAsia="仿宋" w:cs="仿宋"/>
                <w:color w:val="000000"/>
                <w:sz w:val="24"/>
                <w:szCs w:val="20"/>
                <w:highlight w:val="none"/>
              </w:rPr>
            </w:pPr>
          </w:p>
        </w:tc>
        <w:tc>
          <w:tcPr>
            <w:tcW w:w="3398" w:type="dxa"/>
            <w:noWrap w:val="0"/>
            <w:vAlign w:val="top"/>
          </w:tcPr>
          <w:p>
            <w:pPr>
              <w:tabs>
                <w:tab w:val="left" w:pos="5580"/>
              </w:tabs>
              <w:spacing w:line="360" w:lineRule="auto"/>
              <w:jc w:val="left"/>
              <w:rPr>
                <w:rFonts w:hint="eastAsia" w:ascii="仿宋" w:hAnsi="仿宋" w:eastAsia="仿宋" w:cs="仿宋"/>
                <w:color w:val="000000"/>
                <w:sz w:val="24"/>
                <w:szCs w:val="20"/>
                <w:highlight w:val="none"/>
              </w:rPr>
            </w:pPr>
          </w:p>
        </w:tc>
      </w:tr>
    </w:tbl>
    <w:p>
      <w:pPr>
        <w:pStyle w:val="10"/>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i w:val="0"/>
          <w:iCs w:val="0"/>
          <w:color w:val="auto"/>
          <w:sz w:val="24"/>
          <w:szCs w:val="24"/>
          <w:highlight w:val="none"/>
          <w:u w:val="none"/>
          <w:lang w:val="en-US" w:eastAsia="zh-CN"/>
        </w:rPr>
      </w:pPr>
    </w:p>
    <w:p>
      <w:pPr>
        <w:rPr>
          <w:rFonts w:hint="eastAsia" w:ascii="仿宋" w:hAnsi="仿宋" w:eastAsia="仿宋" w:cs="仿宋"/>
          <w:b/>
          <w:bCs/>
          <w:color w:val="auto"/>
          <w:kern w:val="0"/>
          <w:sz w:val="24"/>
          <w:szCs w:val="24"/>
          <w:highlight w:val="none"/>
        </w:rPr>
      </w:pPr>
      <w:r>
        <w:rPr>
          <w:rFonts w:hint="eastAsia" w:ascii="仿宋" w:hAnsi="仿宋" w:eastAsia="仿宋" w:cs="仿宋"/>
          <w:sz w:val="24"/>
          <w:highlight w:val="none"/>
          <w:lang w:eastAsia="zh-CN"/>
        </w:rPr>
        <w:t>注：</w:t>
      </w:r>
      <w:r>
        <w:rPr>
          <w:rFonts w:hint="eastAsia" w:ascii="仿宋" w:hAnsi="仿宋" w:eastAsia="仿宋" w:cs="仿宋"/>
          <w:sz w:val="24"/>
          <w:highlight w:val="none"/>
          <w:lang w:val="en-US" w:eastAsia="zh-CN"/>
        </w:rPr>
        <w:t>1.</w:t>
      </w:r>
      <w:r>
        <w:rPr>
          <w:rFonts w:hint="eastAsia" w:ascii="仿宋" w:hAnsi="仿宋" w:eastAsia="仿宋" w:cs="仿宋"/>
          <w:sz w:val="24"/>
          <w:highlight w:val="none"/>
          <w:lang w:eastAsia="zh-CN"/>
        </w:rPr>
        <w:t>提供有效期内的身份证明材料，例如居民身份证或户口本或军官证或护照等；</w:t>
      </w:r>
      <w:r>
        <w:rPr>
          <w:rFonts w:hint="eastAsia" w:ascii="仿宋" w:hAnsi="仿宋" w:eastAsia="仿宋" w:cs="仿宋"/>
          <w:sz w:val="24"/>
          <w:highlight w:val="none"/>
          <w:lang w:val="en-US" w:eastAsia="zh-CN"/>
        </w:rPr>
        <w:t>2.</w:t>
      </w:r>
      <w:r>
        <w:rPr>
          <w:rFonts w:hint="eastAsia" w:ascii="仿宋" w:hAnsi="仿宋" w:eastAsia="仿宋" w:cs="仿宋"/>
          <w:sz w:val="24"/>
          <w:highlight w:val="none"/>
          <w:lang w:eastAsia="zh-CN"/>
        </w:rPr>
        <w:t>若提供居民身份证，须为正、反面复印件。</w:t>
      </w:r>
    </w:p>
    <w:p>
      <w:pPr>
        <w:pStyle w:val="2"/>
        <w:rPr>
          <w:rFonts w:hint="eastAsia" w:ascii="仿宋" w:hAnsi="仿宋" w:eastAsia="仿宋" w:cs="仿宋"/>
          <w:highlight w:val="none"/>
        </w:rPr>
      </w:pPr>
    </w:p>
    <w:p>
      <w:pPr>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br w:type="page"/>
      </w:r>
    </w:p>
    <w:p>
      <w:pPr>
        <w:pStyle w:val="19"/>
        <w:pageBreakBefore w:val="0"/>
        <w:kinsoku/>
        <w:overflowPunct/>
        <w:topLinePunct w:val="0"/>
        <w:autoSpaceDE/>
        <w:autoSpaceDN/>
        <w:bidi w:val="0"/>
        <w:snapToGrid w:val="0"/>
        <w:spacing w:before="156" w:beforeLines="50" w:after="312" w:afterLines="100" w:line="360" w:lineRule="auto"/>
        <w:ind w:firstLine="0" w:firstLineChars="0"/>
        <w:jc w:val="left"/>
        <w:textAlignment w:val="auto"/>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rPr>
        <w:t>附件</w:t>
      </w:r>
      <w:r>
        <w:rPr>
          <w:rFonts w:hint="eastAsia" w:ascii="仿宋" w:hAnsi="仿宋" w:eastAsia="仿宋" w:cs="仿宋"/>
          <w:b/>
          <w:bCs/>
          <w:color w:val="auto"/>
          <w:kern w:val="0"/>
          <w:sz w:val="24"/>
          <w:szCs w:val="24"/>
          <w:highlight w:val="none"/>
          <w:lang w:val="en-US" w:eastAsia="zh-CN"/>
        </w:rPr>
        <w:t>5</w:t>
      </w:r>
      <w:r>
        <w:rPr>
          <w:rFonts w:hint="eastAsia" w:ascii="仿宋" w:hAnsi="仿宋" w:eastAsia="仿宋" w:cs="仿宋"/>
          <w:b/>
          <w:bCs/>
          <w:color w:val="auto"/>
          <w:kern w:val="0"/>
          <w:sz w:val="24"/>
          <w:szCs w:val="24"/>
          <w:highlight w:val="none"/>
        </w:rPr>
        <w:t>-</w:t>
      </w:r>
      <w:r>
        <w:rPr>
          <w:rFonts w:hint="eastAsia" w:ascii="仿宋" w:hAnsi="仿宋" w:eastAsia="仿宋" w:cs="仿宋"/>
          <w:b/>
          <w:bCs/>
          <w:color w:val="auto"/>
          <w:kern w:val="0"/>
          <w:sz w:val="24"/>
          <w:szCs w:val="24"/>
          <w:highlight w:val="none"/>
          <w:lang w:val="en-US" w:eastAsia="zh-CN"/>
        </w:rPr>
        <w:t>6</w:t>
      </w:r>
      <w:r>
        <w:rPr>
          <w:rFonts w:hint="eastAsia" w:ascii="仿宋" w:hAnsi="仿宋" w:eastAsia="仿宋" w:cs="仿宋"/>
          <w:b/>
          <w:bCs/>
          <w:color w:val="auto"/>
          <w:kern w:val="0"/>
          <w:sz w:val="24"/>
          <w:szCs w:val="24"/>
          <w:highlight w:val="none"/>
        </w:rPr>
        <w:t>：</w:t>
      </w:r>
      <w:r>
        <w:rPr>
          <w:rFonts w:hint="eastAsia" w:ascii="仿宋" w:hAnsi="仿宋" w:eastAsia="仿宋" w:cs="仿宋"/>
          <w:b/>
          <w:bCs/>
          <w:color w:val="auto"/>
          <w:kern w:val="0"/>
          <w:sz w:val="24"/>
          <w:szCs w:val="24"/>
          <w:highlight w:val="none"/>
          <w:lang w:val="en-US" w:eastAsia="zh-CN"/>
        </w:rPr>
        <w:t>承诺函</w:t>
      </w:r>
    </w:p>
    <w:p>
      <w:pPr>
        <w:pStyle w:val="19"/>
        <w:pageBreakBefore w:val="0"/>
        <w:kinsoku/>
        <w:overflowPunct/>
        <w:topLinePunct w:val="0"/>
        <w:autoSpaceDE/>
        <w:autoSpaceDN/>
        <w:bidi w:val="0"/>
        <w:snapToGrid w:val="0"/>
        <w:spacing w:before="156" w:beforeLines="50" w:after="312" w:afterLines="100" w:line="360" w:lineRule="auto"/>
        <w:ind w:firstLine="0" w:firstLineChars="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shd w:val="clear" w:color="auto" w:fill="FFFFFF"/>
        </w:rPr>
        <w:t>承诺函</w:t>
      </w:r>
    </w:p>
    <w:p>
      <w:pPr>
        <w:pageBreakBefore w:val="0"/>
        <w:kinsoku/>
        <w:overflowPunct/>
        <w:topLinePunct w:val="0"/>
        <w:autoSpaceDE/>
        <w:autoSpaceDN/>
        <w:bidi w:val="0"/>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四川省妇幼保健院：</w:t>
      </w:r>
    </w:p>
    <w:p>
      <w:pPr>
        <w:pageBreakBefore w:val="0"/>
        <w:kinsoku/>
        <w:overflowPunct/>
        <w:topLinePunct w:val="0"/>
        <w:autoSpaceDE/>
        <w:autoSpaceDN/>
        <w:bidi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本供应商</w:t>
      </w:r>
      <w:r>
        <w:rPr>
          <w:rFonts w:hint="eastAsia" w:ascii="仿宋" w:hAnsi="仿宋" w:eastAsia="仿宋" w:cs="仿宋"/>
          <w:sz w:val="24"/>
          <w:szCs w:val="24"/>
          <w:highlight w:val="none"/>
          <w:u w:val="single"/>
        </w:rPr>
        <w:t xml:space="preserve">      （供应商全称）        </w:t>
      </w:r>
      <w:r>
        <w:rPr>
          <w:rFonts w:hint="eastAsia" w:ascii="仿宋" w:hAnsi="仿宋" w:eastAsia="仿宋" w:cs="仿宋"/>
          <w:sz w:val="24"/>
          <w:szCs w:val="24"/>
          <w:highlight w:val="none"/>
        </w:rPr>
        <w:t>参加</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）的</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活动，现郑重承诺：</w:t>
      </w:r>
    </w:p>
    <w:p>
      <w:pPr>
        <w:pageBreakBefore w:val="0"/>
        <w:kinsoku/>
        <w:overflowPunct/>
        <w:topLinePunct w:val="0"/>
        <w:autoSpaceDE/>
        <w:autoSpaceDN/>
        <w:bidi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一、具备本项目规定的条件：</w:t>
      </w:r>
    </w:p>
    <w:p>
      <w:pPr>
        <w:pageBreakBefore w:val="0"/>
        <w:kinsoku/>
        <w:overflowPunct/>
        <w:topLinePunct w:val="0"/>
        <w:autoSpaceDE/>
        <w:autoSpaceDN/>
        <w:bidi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（一）具有独立承担民事责任的能力； </w:t>
      </w:r>
    </w:p>
    <w:p>
      <w:pPr>
        <w:pageBreakBefore w:val="0"/>
        <w:kinsoku/>
        <w:overflowPunct/>
        <w:topLinePunct w:val="0"/>
        <w:autoSpaceDE/>
        <w:autoSpaceDN/>
        <w:bidi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（二）具有良好的商业信誉和健全的财务会计制度； </w:t>
      </w:r>
    </w:p>
    <w:p>
      <w:pPr>
        <w:pageBreakBefore w:val="0"/>
        <w:kinsoku/>
        <w:overflowPunct/>
        <w:topLinePunct w:val="0"/>
        <w:autoSpaceDE/>
        <w:autoSpaceDN/>
        <w:bidi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（三）具有履行合同所必需的设备和专业技术能力； </w:t>
      </w:r>
    </w:p>
    <w:p>
      <w:pPr>
        <w:pageBreakBefore w:val="0"/>
        <w:kinsoku/>
        <w:overflowPunct/>
        <w:topLinePunct w:val="0"/>
        <w:autoSpaceDE/>
        <w:autoSpaceDN/>
        <w:bidi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（四）有依法缴纳税收和社会保障资金的良好记录； </w:t>
      </w:r>
    </w:p>
    <w:p>
      <w:pPr>
        <w:pageBreakBefore w:val="0"/>
        <w:kinsoku/>
        <w:overflowPunct/>
        <w:topLinePunct w:val="0"/>
        <w:autoSpaceDE/>
        <w:autoSpaceDN/>
        <w:bidi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（五）参加采购活动前三年内，在经营活动中没有重大违法记录；</w:t>
      </w:r>
    </w:p>
    <w:p>
      <w:pPr>
        <w:pageBreakBefore w:val="0"/>
        <w:kinsoku/>
        <w:overflowPunct/>
        <w:topLinePunct w:val="0"/>
        <w:autoSpaceDE/>
        <w:autoSpaceDN/>
        <w:bidi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（六）法律、行政法规规定的其他条件；</w:t>
      </w:r>
    </w:p>
    <w:p>
      <w:pPr>
        <w:pageBreakBefore w:val="0"/>
        <w:kinsoku/>
        <w:overflowPunct/>
        <w:topLinePunct w:val="0"/>
        <w:autoSpaceDE/>
        <w:autoSpaceDN/>
        <w:bidi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二、完全接受和满足本项目</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文件中规定的实质性要求，如对</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文件有异议，已经在</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截止时间届满前依法进行维权救济，不存在对</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文件有异议的同时又参加</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以求侥幸成交或者为实现其他非法目的的行为。承诺成交后签订合同前按采购人要求提交技术参数相关佐证材料。</w:t>
      </w:r>
    </w:p>
    <w:p>
      <w:pPr>
        <w:pageBreakBefore w:val="0"/>
        <w:kinsoku/>
        <w:overflowPunct/>
        <w:topLinePunct w:val="0"/>
        <w:autoSpaceDE/>
        <w:autoSpaceDN/>
        <w:bidi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三、参加本次</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采购活动，不存在与单位负责人为同一人或者存在直接控股、管理关系的其他供应商参与同一合同项下的采购活动的行为。本单位未参与本采购项目前期咨询论证，不属于禁止参加本项目</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的供应商。</w:t>
      </w:r>
    </w:p>
    <w:p>
      <w:pPr>
        <w:pageBreakBefore w:val="0"/>
        <w:kinsoku/>
        <w:overflowPunct/>
        <w:topLinePunct w:val="0"/>
        <w:autoSpaceDE/>
        <w:autoSpaceDN/>
        <w:bidi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四、参加本次</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采购活动，不存在和其他供应商在同一合同项下的采购项目中，同时委托同一个自然人、同一家庭的人员、同一单位的人员作为代理人的行为。</w:t>
      </w:r>
    </w:p>
    <w:p>
      <w:pPr>
        <w:pageBreakBefore w:val="0"/>
        <w:kinsoku/>
        <w:overflowPunct/>
        <w:topLinePunct w:val="0"/>
        <w:autoSpaceDE/>
        <w:autoSpaceDN/>
        <w:bidi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五、本单位未被对列入按财库[2016]125号规定的失信被执行人、重大税收违法案件当事人名单、政府采购严重违法失信行为记录名单及其他不符合《中华人民共和国政府采购法》第二十二条规定条件的供应商。</w:t>
      </w:r>
    </w:p>
    <w:p>
      <w:pPr>
        <w:pageBreakBefore w:val="0"/>
        <w:kinsoku/>
        <w:overflowPunct/>
        <w:topLinePunct w:val="0"/>
        <w:autoSpaceDE/>
        <w:autoSpaceDN/>
        <w:bidi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六、国家或行业主管部门对采购产品的技术标准、质量标准和资格资质条件等有强制性规定的，我方承诺符合其要求。</w:t>
      </w:r>
    </w:p>
    <w:p>
      <w:pPr>
        <w:pageBreakBefore w:val="0"/>
        <w:kinsoku/>
        <w:overflowPunct/>
        <w:topLinePunct w:val="0"/>
        <w:autoSpaceDE/>
        <w:autoSpaceDN/>
        <w:bidi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本公司对上述承诺的内容事项真实性负责。如经查实上述承诺的内容事项存在虚假，本单位愿意接受以提供虚假材料谋取成交追究法律责任。</w:t>
      </w:r>
      <w:r>
        <w:rPr>
          <w:rFonts w:hint="eastAsia" w:ascii="仿宋" w:hAnsi="仿宋" w:eastAsia="仿宋" w:cs="仿宋"/>
          <w:sz w:val="24"/>
          <w:szCs w:val="24"/>
          <w:highlight w:val="none"/>
        </w:rPr>
        <w:tab/>
      </w:r>
      <w:r>
        <w:rPr>
          <w:rFonts w:hint="eastAsia" w:ascii="仿宋" w:hAnsi="仿宋" w:eastAsia="仿宋" w:cs="仿宋"/>
          <w:sz w:val="24"/>
          <w:szCs w:val="24"/>
          <w:highlight w:val="none"/>
        </w:rPr>
        <w:tab/>
      </w:r>
    </w:p>
    <w:p>
      <w:pPr>
        <w:pageBreakBefore w:val="0"/>
        <w:kinsoku/>
        <w:overflowPunct/>
        <w:topLinePunct w:val="0"/>
        <w:autoSpaceDE/>
        <w:autoSpaceDN/>
        <w:bidi w:val="0"/>
        <w:adjustRightInd w:val="0"/>
        <w:snapToGrid w:val="0"/>
        <w:spacing w:line="360" w:lineRule="auto"/>
        <w:textAlignment w:val="auto"/>
        <w:rPr>
          <w:rFonts w:hint="eastAsia" w:ascii="仿宋" w:hAnsi="仿宋" w:eastAsia="仿宋" w:cs="仿宋"/>
          <w:sz w:val="24"/>
          <w:szCs w:val="24"/>
          <w:highlight w:val="none"/>
        </w:rPr>
      </w:pPr>
    </w:p>
    <w:p>
      <w:pPr>
        <w:pageBreakBefore w:val="0"/>
        <w:kinsoku/>
        <w:overflowPunct/>
        <w:topLinePunct w:val="0"/>
        <w:autoSpaceDE/>
        <w:autoSpaceDN/>
        <w:bidi w:val="0"/>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供应商名称：        （盖章）</w:t>
      </w:r>
    </w:p>
    <w:p>
      <w:pPr>
        <w:pageBreakBefore w:val="0"/>
        <w:kinsoku/>
        <w:overflowPunct/>
        <w:topLinePunct w:val="0"/>
        <w:autoSpaceDE/>
        <w:autoSpaceDN/>
        <w:bidi w:val="0"/>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法定代表人或授权代表（</w:t>
      </w:r>
      <w:r>
        <w:rPr>
          <w:rFonts w:hint="eastAsia" w:ascii="仿宋" w:hAnsi="仿宋" w:eastAsia="仿宋" w:cs="仿宋"/>
          <w:sz w:val="24"/>
          <w:szCs w:val="24"/>
          <w:highlight w:val="none"/>
          <w:u w:val="single"/>
        </w:rPr>
        <w:t>签字或盖章</w:t>
      </w:r>
      <w:r>
        <w:rPr>
          <w:rFonts w:hint="eastAsia" w:ascii="仿宋" w:hAnsi="仿宋" w:eastAsia="仿宋" w:cs="仿宋"/>
          <w:sz w:val="24"/>
          <w:szCs w:val="24"/>
          <w:highlight w:val="none"/>
        </w:rPr>
        <w:t>）：</w:t>
      </w:r>
    </w:p>
    <w:p>
      <w:pPr>
        <w:pageBreakBefore w:val="0"/>
        <w:kinsoku/>
        <w:overflowPunct/>
        <w:topLinePunct w:val="0"/>
        <w:autoSpaceDE/>
        <w:autoSpaceDN/>
        <w:bidi w:val="0"/>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日 期：</w:t>
      </w:r>
    </w:p>
    <w:p>
      <w:pPr>
        <w:pStyle w:val="7"/>
        <w:rPr>
          <w:rFonts w:hint="eastAsia" w:ascii="仿宋" w:hAnsi="仿宋" w:eastAsia="仿宋" w:cs="仿宋"/>
          <w:highlight w:val="none"/>
        </w:rPr>
        <w:sectPr>
          <w:pgSz w:w="11906" w:h="16838"/>
          <w:pgMar w:top="1440" w:right="1800" w:bottom="1440" w:left="1800" w:header="851" w:footer="992" w:gutter="0"/>
          <w:cols w:space="425" w:num="1"/>
          <w:docGrid w:type="lines" w:linePitch="312" w:charSpace="0"/>
        </w:sectPr>
      </w:pPr>
    </w:p>
    <w:p>
      <w:pPr>
        <w:keepNext w:val="0"/>
        <w:keepLines w:val="0"/>
        <w:pageBreakBefore w:val="0"/>
        <w:widowControl/>
        <w:shd w:val="clear" w:color="auto" w:fill="FFFFFF"/>
        <w:kinsoku/>
        <w:wordWrap w:val="0"/>
        <w:overflowPunct/>
        <w:topLinePunct w:val="0"/>
        <w:autoSpaceDE/>
        <w:autoSpaceDN/>
        <w:bidi w:val="0"/>
        <w:spacing w:line="300" w:lineRule="exact"/>
        <w:jc w:val="left"/>
        <w:textAlignment w:val="auto"/>
        <w:outlineLvl w:val="0"/>
        <w:rPr>
          <w:rFonts w:hint="eastAsia" w:ascii="仿宋" w:hAnsi="仿宋" w:eastAsia="仿宋" w:cs="仿宋"/>
          <w:sz w:val="28"/>
          <w:szCs w:val="32"/>
          <w:highlight w:val="none"/>
        </w:rPr>
      </w:pPr>
      <w:r>
        <w:rPr>
          <w:rFonts w:hint="eastAsia" w:ascii="仿宋" w:hAnsi="仿宋" w:eastAsia="仿宋" w:cs="仿宋"/>
          <w:sz w:val="28"/>
          <w:szCs w:val="32"/>
          <w:highlight w:val="none"/>
        </w:rPr>
        <w:t>附件</w:t>
      </w:r>
      <w:r>
        <w:rPr>
          <w:rFonts w:hint="eastAsia" w:ascii="仿宋" w:hAnsi="仿宋" w:eastAsia="仿宋" w:cs="仿宋"/>
          <w:sz w:val="28"/>
          <w:szCs w:val="32"/>
          <w:highlight w:val="none"/>
          <w:lang w:val="en-US" w:eastAsia="zh-CN"/>
        </w:rPr>
        <w:t>6</w:t>
      </w:r>
      <w:r>
        <w:rPr>
          <w:rFonts w:hint="eastAsia" w:ascii="仿宋" w:hAnsi="仿宋" w:eastAsia="仿宋" w:cs="仿宋"/>
          <w:sz w:val="28"/>
          <w:szCs w:val="32"/>
          <w:highlight w:val="none"/>
        </w:rPr>
        <w:t>：</w:t>
      </w:r>
    </w:p>
    <w:p>
      <w:pPr>
        <w:keepNext w:val="0"/>
        <w:keepLines w:val="0"/>
        <w:pageBreakBefore w:val="0"/>
        <w:widowControl/>
        <w:shd w:val="clear" w:color="auto" w:fill="FFFFFF"/>
        <w:kinsoku/>
        <w:wordWrap w:val="0"/>
        <w:overflowPunct/>
        <w:topLinePunct w:val="0"/>
        <w:autoSpaceDE/>
        <w:autoSpaceDN/>
        <w:bidi w:val="0"/>
        <w:spacing w:line="300" w:lineRule="exact"/>
        <w:jc w:val="center"/>
        <w:textAlignment w:val="auto"/>
        <w:rPr>
          <w:rFonts w:hint="eastAsia" w:ascii="仿宋" w:hAnsi="仿宋" w:eastAsia="仿宋" w:cs="仿宋"/>
          <w:b/>
          <w:bCs/>
          <w:color w:val="auto"/>
          <w:kern w:val="0"/>
          <w:sz w:val="28"/>
          <w:szCs w:val="28"/>
          <w:highlight w:val="none"/>
          <w:lang w:val="en-US" w:eastAsia="zh-CN" w:bidi="ar-SA"/>
        </w:rPr>
      </w:pPr>
      <w:r>
        <w:rPr>
          <w:rFonts w:hint="eastAsia" w:ascii="仿宋" w:hAnsi="仿宋" w:eastAsia="仿宋" w:cs="仿宋"/>
          <w:b/>
          <w:bCs/>
          <w:color w:val="auto"/>
          <w:kern w:val="0"/>
          <w:sz w:val="28"/>
          <w:szCs w:val="28"/>
          <w:highlight w:val="none"/>
          <w:lang w:val="en-US" w:eastAsia="zh-CN" w:bidi="ar-SA"/>
        </w:rPr>
        <w:t>反商业贿赂承诺书</w:t>
      </w:r>
    </w:p>
    <w:p>
      <w:pPr>
        <w:keepNext w:val="0"/>
        <w:keepLines w:val="0"/>
        <w:pageBreakBefore w:val="0"/>
        <w:widowControl/>
        <w:shd w:val="clear" w:color="auto" w:fill="FFFFFF"/>
        <w:kinsoku/>
        <w:wordWrap w:val="0"/>
        <w:overflowPunct/>
        <w:topLinePunct w:val="0"/>
        <w:autoSpaceDE/>
        <w:autoSpaceDN/>
        <w:bidi w:val="0"/>
        <w:spacing w:line="300" w:lineRule="exact"/>
        <w:ind w:firstLine="420"/>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为维护卫生行业的整体形象，保证药品、医疗器械、仪器设备、物资、基建工程招投标工作以及药品、试剂销售等工作的合法开展，维护贵院医疗、管理工作的正常秩序，保障广大患者的健康和利益，本厂家、商家、公司特郑重承诺如下：</w:t>
      </w:r>
    </w:p>
    <w:p>
      <w:pPr>
        <w:keepNext w:val="0"/>
        <w:keepLines w:val="0"/>
        <w:pageBreakBefore w:val="0"/>
        <w:widowControl/>
        <w:shd w:val="clear" w:color="auto" w:fill="FFFFFF"/>
        <w:kinsoku/>
        <w:wordWrap w:val="0"/>
        <w:overflowPunct/>
        <w:topLinePunct w:val="0"/>
        <w:autoSpaceDE/>
        <w:autoSpaceDN/>
        <w:bidi w:val="0"/>
        <w:spacing w:line="300" w:lineRule="exact"/>
        <w:ind w:firstLine="420"/>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一、严格按照《招标投标法》、《药品管理法》、《反不正当竞争法》等有关法律、法规、规章、政策的规定，规范本厂家、商家、公司的药品、医疗器械、设备、物资、基建工程竞标工作以及药品准入贵院以后的销售等工作，保证做到合法竞标、正当竞争、廉洁经营。</w:t>
      </w:r>
    </w:p>
    <w:p>
      <w:pPr>
        <w:keepNext w:val="0"/>
        <w:keepLines w:val="0"/>
        <w:pageBreakBefore w:val="0"/>
        <w:widowControl/>
        <w:shd w:val="clear" w:color="auto" w:fill="FFFFFF"/>
        <w:kinsoku/>
        <w:wordWrap w:val="0"/>
        <w:overflowPunct/>
        <w:topLinePunct w:val="0"/>
        <w:autoSpaceDE/>
        <w:autoSpaceDN/>
        <w:bidi w:val="0"/>
        <w:spacing w:line="300" w:lineRule="exact"/>
        <w:ind w:firstLine="420"/>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二、本厂家、商家、公司保证在药品、医疗器械、设备、物资、基建工程竞标工作及药品、试剂销售等工作中承诺做到：</w:t>
      </w:r>
    </w:p>
    <w:p>
      <w:pPr>
        <w:keepNext w:val="0"/>
        <w:keepLines w:val="0"/>
        <w:pageBreakBefore w:val="0"/>
        <w:widowControl/>
        <w:shd w:val="clear" w:color="auto" w:fill="FFFFFF"/>
        <w:kinsoku/>
        <w:wordWrap w:val="0"/>
        <w:overflowPunct/>
        <w:topLinePunct w:val="0"/>
        <w:autoSpaceDE/>
        <w:autoSpaceDN/>
        <w:bidi w:val="0"/>
        <w:spacing w:line="300" w:lineRule="exact"/>
        <w:ind w:firstLine="420"/>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1、不与其他</w:t>
      </w:r>
      <w:r>
        <w:rPr>
          <w:rFonts w:hint="eastAsia" w:ascii="仿宋" w:hAnsi="仿宋" w:eastAsia="仿宋" w:cs="仿宋"/>
          <w:color w:val="auto"/>
          <w:kern w:val="0"/>
          <w:sz w:val="24"/>
          <w:szCs w:val="24"/>
          <w:highlight w:val="none"/>
          <w:lang w:eastAsia="zh-CN"/>
        </w:rPr>
        <w:t>供应商</w:t>
      </w:r>
      <w:r>
        <w:rPr>
          <w:rFonts w:hint="eastAsia" w:ascii="仿宋" w:hAnsi="仿宋" w:eastAsia="仿宋" w:cs="仿宋"/>
          <w:color w:val="auto"/>
          <w:kern w:val="0"/>
          <w:sz w:val="24"/>
          <w:szCs w:val="24"/>
          <w:highlight w:val="none"/>
        </w:rPr>
        <w:t>相互串通投标报价，损害贵院的合法权益；</w:t>
      </w:r>
    </w:p>
    <w:p>
      <w:pPr>
        <w:keepNext w:val="0"/>
        <w:keepLines w:val="0"/>
        <w:pageBreakBefore w:val="0"/>
        <w:widowControl/>
        <w:shd w:val="clear" w:color="auto" w:fill="FFFFFF"/>
        <w:kinsoku/>
        <w:wordWrap w:val="0"/>
        <w:overflowPunct/>
        <w:topLinePunct w:val="0"/>
        <w:autoSpaceDE/>
        <w:autoSpaceDN/>
        <w:bidi w:val="0"/>
        <w:spacing w:line="300" w:lineRule="exact"/>
        <w:ind w:firstLine="420"/>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2、不与招标人串通投标，损害国家利益、社会公共利益或他人的合法权益；</w:t>
      </w:r>
    </w:p>
    <w:p>
      <w:pPr>
        <w:keepNext w:val="0"/>
        <w:keepLines w:val="0"/>
        <w:pageBreakBefore w:val="0"/>
        <w:widowControl/>
        <w:shd w:val="clear" w:color="auto" w:fill="FFFFFF"/>
        <w:kinsoku/>
        <w:wordWrap w:val="0"/>
        <w:overflowPunct/>
        <w:topLinePunct w:val="0"/>
        <w:autoSpaceDE/>
        <w:autoSpaceDN/>
        <w:bidi w:val="0"/>
        <w:spacing w:line="300" w:lineRule="exact"/>
        <w:ind w:firstLine="420"/>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3、不以向招标人或者评标委员会成员行贿的手段谋取中标；</w:t>
      </w:r>
    </w:p>
    <w:p>
      <w:pPr>
        <w:keepNext w:val="0"/>
        <w:keepLines w:val="0"/>
        <w:pageBreakBefore w:val="0"/>
        <w:widowControl/>
        <w:shd w:val="clear" w:color="auto" w:fill="FFFFFF"/>
        <w:kinsoku/>
        <w:wordWrap w:val="0"/>
        <w:overflowPunct/>
        <w:topLinePunct w:val="0"/>
        <w:autoSpaceDE/>
        <w:autoSpaceDN/>
        <w:bidi w:val="0"/>
        <w:spacing w:line="300" w:lineRule="exact"/>
        <w:ind w:firstLine="420"/>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4、竞标报价不违反相关法律的规定，也不以他人名义投标或者以其他方式弄虚作假，骗取中标；</w:t>
      </w:r>
    </w:p>
    <w:p>
      <w:pPr>
        <w:keepNext w:val="0"/>
        <w:keepLines w:val="0"/>
        <w:pageBreakBefore w:val="0"/>
        <w:widowControl/>
        <w:shd w:val="clear" w:color="auto" w:fill="FFFFFF"/>
        <w:kinsoku/>
        <w:wordWrap w:val="0"/>
        <w:overflowPunct/>
        <w:topLinePunct w:val="0"/>
        <w:autoSpaceDE/>
        <w:autoSpaceDN/>
        <w:bidi w:val="0"/>
        <w:spacing w:line="300" w:lineRule="exact"/>
        <w:ind w:firstLine="420"/>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5、保证不以其他任何方式扰乱贵院的招标工作；</w:t>
      </w:r>
    </w:p>
    <w:p>
      <w:pPr>
        <w:keepNext w:val="0"/>
        <w:keepLines w:val="0"/>
        <w:pageBreakBefore w:val="0"/>
        <w:widowControl/>
        <w:shd w:val="clear" w:color="auto" w:fill="FFFFFF"/>
        <w:kinsoku/>
        <w:wordWrap w:val="0"/>
        <w:overflowPunct/>
        <w:topLinePunct w:val="0"/>
        <w:autoSpaceDE/>
        <w:autoSpaceDN/>
        <w:bidi w:val="0"/>
        <w:spacing w:line="300" w:lineRule="exact"/>
        <w:ind w:firstLine="420"/>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6、保证不在药品销售、医疗器械、设备、物资、基建工程竞标中采取账外暗中给予回扣的手段腐蚀、贿赂医护、药剂人员、干部等其他相关人员；</w:t>
      </w:r>
    </w:p>
    <w:p>
      <w:pPr>
        <w:keepNext w:val="0"/>
        <w:keepLines w:val="0"/>
        <w:pageBreakBefore w:val="0"/>
        <w:widowControl/>
        <w:shd w:val="clear" w:color="auto" w:fill="FFFFFF"/>
        <w:kinsoku/>
        <w:wordWrap w:val="0"/>
        <w:overflowPunct/>
        <w:topLinePunct w:val="0"/>
        <w:autoSpaceDE/>
        <w:autoSpaceDN/>
        <w:bidi w:val="0"/>
        <w:spacing w:line="300" w:lineRule="exact"/>
        <w:ind w:firstLine="420"/>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7、保证不以任何名义包括以宣传费、临床促销费、开单费、处方费、广告费、免费度假、考察旅游、房屋装修等任何名义给予贵院采购人员、药剂人员、医护人员、干部等有关人员以财物或者其他利益；</w:t>
      </w:r>
    </w:p>
    <w:p>
      <w:pPr>
        <w:keepNext w:val="0"/>
        <w:keepLines w:val="0"/>
        <w:pageBreakBefore w:val="0"/>
        <w:widowControl/>
        <w:shd w:val="clear" w:color="auto" w:fill="FFFFFF"/>
        <w:kinsoku/>
        <w:wordWrap w:val="0"/>
        <w:overflowPunct/>
        <w:topLinePunct w:val="0"/>
        <w:autoSpaceDE/>
        <w:autoSpaceDN/>
        <w:bidi w:val="0"/>
        <w:spacing w:line="300" w:lineRule="exact"/>
        <w:ind w:firstLine="420"/>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8、保证不让贵院临床科室、药剂部门以及有关人员登记、统计医生处方或为此提供方便，干扰贵院的正常工作秩序；</w:t>
      </w:r>
    </w:p>
    <w:p>
      <w:pPr>
        <w:keepNext w:val="0"/>
        <w:keepLines w:val="0"/>
        <w:pageBreakBefore w:val="0"/>
        <w:widowControl/>
        <w:shd w:val="clear" w:color="auto" w:fill="FFFFFF"/>
        <w:kinsoku/>
        <w:wordWrap w:val="0"/>
        <w:overflowPunct/>
        <w:topLinePunct w:val="0"/>
        <w:autoSpaceDE/>
        <w:autoSpaceDN/>
        <w:bidi w:val="0"/>
        <w:spacing w:line="300" w:lineRule="exact"/>
        <w:ind w:firstLine="420"/>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9、保证不以其他任何不正当竞争手段推销药品、医疗器械、设备、物资。</w:t>
      </w:r>
    </w:p>
    <w:p>
      <w:pPr>
        <w:keepNext w:val="0"/>
        <w:keepLines w:val="0"/>
        <w:pageBreakBefore w:val="0"/>
        <w:widowControl/>
        <w:shd w:val="clear" w:color="auto" w:fill="FFFFFF"/>
        <w:kinsoku/>
        <w:wordWrap w:val="0"/>
        <w:overflowPunct/>
        <w:topLinePunct w:val="0"/>
        <w:autoSpaceDE/>
        <w:autoSpaceDN/>
        <w:bidi w:val="0"/>
        <w:spacing w:line="300" w:lineRule="exact"/>
        <w:ind w:firstLine="420"/>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三、本厂家、商家、公司保证竭力维护贵院的声誉，不做任何有损贵院形象的事情。</w:t>
      </w:r>
    </w:p>
    <w:p>
      <w:pPr>
        <w:keepNext w:val="0"/>
        <w:keepLines w:val="0"/>
        <w:pageBreakBefore w:val="0"/>
        <w:widowControl/>
        <w:shd w:val="clear" w:color="auto" w:fill="FFFFFF"/>
        <w:kinsoku/>
        <w:wordWrap w:val="0"/>
        <w:overflowPunct/>
        <w:topLinePunct w:val="0"/>
        <w:autoSpaceDE/>
        <w:autoSpaceDN/>
        <w:bidi w:val="0"/>
        <w:spacing w:line="300" w:lineRule="exact"/>
        <w:ind w:firstLine="420"/>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四、本厂家、商家、公司保证加强对竞标、促销等工作的领导、监督和检查；加强对本厂家、商家、公司工作人员进行相关法律、法规、规章、政策等的教育工作，切实要求本厂家、商家、公司相关工作人员不得采取各类回扣手段腐蚀、贿赂采购、药剂、医护、干部等相关人员。</w:t>
      </w:r>
    </w:p>
    <w:p>
      <w:pPr>
        <w:keepNext w:val="0"/>
        <w:keepLines w:val="0"/>
        <w:pageBreakBefore w:val="0"/>
        <w:widowControl/>
        <w:shd w:val="clear" w:color="auto" w:fill="FFFFFF"/>
        <w:kinsoku/>
        <w:wordWrap w:val="0"/>
        <w:overflowPunct/>
        <w:topLinePunct w:val="0"/>
        <w:autoSpaceDE/>
        <w:autoSpaceDN/>
        <w:bidi w:val="0"/>
        <w:spacing w:line="300" w:lineRule="exact"/>
        <w:ind w:firstLine="420"/>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五、对本厂家、商家、公司及本厂家、商家、公司工作人员采取以上手段竞标、促销等，干扰贵院正常工作秩序，损害贵院形象的，本厂家、商家、公司保证：</w:t>
      </w:r>
    </w:p>
    <w:p>
      <w:pPr>
        <w:keepNext w:val="0"/>
        <w:keepLines w:val="0"/>
        <w:pageBreakBefore w:val="0"/>
        <w:widowControl/>
        <w:shd w:val="clear" w:color="auto" w:fill="FFFFFF"/>
        <w:kinsoku/>
        <w:wordWrap w:val="0"/>
        <w:overflowPunct/>
        <w:topLinePunct w:val="0"/>
        <w:autoSpaceDE/>
        <w:autoSpaceDN/>
        <w:bidi w:val="0"/>
        <w:spacing w:line="300" w:lineRule="exact"/>
        <w:ind w:firstLine="420"/>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1、对尚处在竞标阶段的，贵院有权取消本厂家、商家、公司的竞标资格；已经中标的，贵院有权取消中标；对已经获得准入资格的，贵院有权随时取消本厂家、商家、公司的准入资格；</w:t>
      </w:r>
    </w:p>
    <w:p>
      <w:pPr>
        <w:keepNext w:val="0"/>
        <w:keepLines w:val="0"/>
        <w:pageBreakBefore w:val="0"/>
        <w:widowControl/>
        <w:shd w:val="clear" w:color="auto" w:fill="FFFFFF"/>
        <w:kinsoku/>
        <w:wordWrap w:val="0"/>
        <w:overflowPunct/>
        <w:topLinePunct w:val="0"/>
        <w:autoSpaceDE/>
        <w:autoSpaceDN/>
        <w:bidi w:val="0"/>
        <w:spacing w:line="300" w:lineRule="exact"/>
        <w:ind w:firstLine="420"/>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2、对本厂家、商家、公司相关工作人员作出严肃处理；</w:t>
      </w:r>
    </w:p>
    <w:p>
      <w:pPr>
        <w:keepNext w:val="0"/>
        <w:keepLines w:val="0"/>
        <w:pageBreakBefore w:val="0"/>
        <w:widowControl/>
        <w:shd w:val="clear" w:color="auto" w:fill="FFFFFF"/>
        <w:kinsoku/>
        <w:wordWrap w:val="0"/>
        <w:overflowPunct/>
        <w:topLinePunct w:val="0"/>
        <w:autoSpaceDE/>
        <w:autoSpaceDN/>
        <w:bidi w:val="0"/>
        <w:spacing w:line="300" w:lineRule="exact"/>
        <w:ind w:firstLine="420"/>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3、对由于本厂家、商家、公司或本厂家、商家、公司工作人员的上述行为给贵院造成经济或名誉损失的，由本厂家、商家、公司负责，并愿意承担全部民事赔偿责任。</w:t>
      </w:r>
    </w:p>
    <w:p>
      <w:pPr>
        <w:keepNext w:val="0"/>
        <w:keepLines w:val="0"/>
        <w:pageBreakBefore w:val="0"/>
        <w:widowControl/>
        <w:shd w:val="clear" w:color="auto" w:fill="FFFFFF"/>
        <w:kinsoku/>
        <w:wordWrap w:val="0"/>
        <w:overflowPunct/>
        <w:topLinePunct w:val="0"/>
        <w:autoSpaceDE/>
        <w:autoSpaceDN/>
        <w:bidi w:val="0"/>
        <w:spacing w:line="300" w:lineRule="exact"/>
        <w:ind w:firstLine="420"/>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六、采购物资名称：</w:t>
      </w:r>
    </w:p>
    <w:p>
      <w:pPr>
        <w:keepNext w:val="0"/>
        <w:keepLines w:val="0"/>
        <w:pageBreakBefore w:val="0"/>
        <w:widowControl/>
        <w:shd w:val="clear" w:color="auto" w:fill="FFFFFF"/>
        <w:kinsoku/>
        <w:wordWrap w:val="0"/>
        <w:overflowPunct/>
        <w:topLinePunct w:val="0"/>
        <w:autoSpaceDE/>
        <w:autoSpaceDN/>
        <w:bidi w:val="0"/>
        <w:spacing w:line="30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24"/>
          <w:szCs w:val="24"/>
          <w:highlight w:val="none"/>
        </w:rPr>
        <w:t> 本《承诺书》一式二份（一份由承诺人自存；一份随投标文件装订）</w:t>
      </w:r>
    </w:p>
    <w:p>
      <w:pPr>
        <w:keepNext w:val="0"/>
        <w:keepLines w:val="0"/>
        <w:pageBreakBefore w:val="0"/>
        <w:widowControl/>
        <w:shd w:val="clear" w:color="auto" w:fill="FFFFFF"/>
        <w:kinsoku/>
        <w:wordWrap w:val="0"/>
        <w:overflowPunct/>
        <w:topLinePunct w:val="0"/>
        <w:autoSpaceDE/>
        <w:autoSpaceDN/>
        <w:bidi w:val="0"/>
        <w:spacing w:line="300" w:lineRule="exact"/>
        <w:ind w:firstLine="240" w:firstLineChars="100"/>
        <w:jc w:val="left"/>
        <w:textAlignment w:val="auto"/>
        <w:rPr>
          <w:rFonts w:hint="eastAsia" w:ascii="仿宋" w:hAnsi="仿宋" w:eastAsia="仿宋" w:cs="仿宋"/>
          <w:b/>
          <w:bCs/>
          <w:kern w:val="0"/>
          <w:sz w:val="28"/>
          <w:szCs w:val="32"/>
          <w:highlight w:val="none"/>
          <w:shd w:val="clear" w:color="auto" w:fill="FFFFFF"/>
        </w:rPr>
        <w:sectPr>
          <w:pgSz w:w="11906" w:h="16838"/>
          <w:pgMar w:top="1020" w:right="1800" w:bottom="1440" w:left="1800" w:header="851" w:footer="992" w:gutter="0"/>
          <w:cols w:space="425" w:num="1"/>
          <w:docGrid w:type="lines" w:linePitch="312" w:charSpace="0"/>
        </w:sectPr>
      </w:pPr>
      <w:r>
        <w:rPr>
          <w:rFonts w:hint="eastAsia" w:ascii="仿宋" w:hAnsi="仿宋" w:eastAsia="仿宋" w:cs="仿宋"/>
          <w:color w:val="auto"/>
          <w:kern w:val="0"/>
          <w:sz w:val="24"/>
          <w:szCs w:val="24"/>
          <w:highlight w:val="none"/>
        </w:rPr>
        <w:t>承诺企业名称（公章）法人代表或委托代理人（承诺人）</w:t>
      </w:r>
    </w:p>
    <w:p>
      <w:pPr>
        <w:widowControl/>
        <w:shd w:val="clear" w:color="auto" w:fill="FFFFFF"/>
        <w:wordWrap w:val="0"/>
        <w:jc w:val="left"/>
        <w:outlineLvl w:val="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附件</w:t>
      </w:r>
      <w:r>
        <w:rPr>
          <w:rFonts w:hint="eastAsia" w:ascii="仿宋" w:hAnsi="仿宋" w:eastAsia="仿宋" w:cs="仿宋"/>
          <w:color w:val="auto"/>
          <w:kern w:val="0"/>
          <w:sz w:val="24"/>
          <w:szCs w:val="24"/>
          <w:highlight w:val="none"/>
          <w:lang w:val="en-US" w:eastAsia="zh-CN"/>
        </w:rPr>
        <w:t>7</w:t>
      </w:r>
      <w:r>
        <w:rPr>
          <w:rFonts w:hint="eastAsia" w:ascii="仿宋" w:hAnsi="仿宋" w:eastAsia="仿宋" w:cs="仿宋"/>
          <w:color w:val="auto"/>
          <w:kern w:val="0"/>
          <w:sz w:val="24"/>
          <w:szCs w:val="24"/>
          <w:highlight w:val="none"/>
        </w:rPr>
        <w:t>：</w:t>
      </w:r>
    </w:p>
    <w:p>
      <w:pPr>
        <w:pStyle w:val="2"/>
        <w:ind w:firstLine="2108" w:firstLineChars="750"/>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 xml:space="preserve"> 无围标、串标行为承诺书</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本公司郑重承诺：我公司自觉遵守《中华人民共和国政府采购法》和《中华人民共和国政府采购法实施条例》的有关规定，我公司在参加本次项目（项目名称：XXXXXXX）采购活动中，无以下围标、串标行为：</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1.不同供应商的投标文件由同一单位或者个人编制；</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2.不同供应商委托同一单位或者个人办理投标事宜；</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3.不同供应商的投标文件载明的项目管理成员或者联系人员为同一人；</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4.不同供应商的投标文件异常一致或者投标报价呈规律性差异；</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5.不同供应商的投标文件相互混装；</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6.不同供应商的投标保证金从同一单位或者个人的账户转出；</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7.不同供应商的董事、监事、高管、单位负责人为同一人或者存在控股、管理关系的不同单位参加同一采购项目；</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8.供应商之间事先约定由某一特定供应商中标、成交；</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9.供应商之间商定部分供应商放弃参加采购活动或者放弃中标、成交；</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10.法律法规界定的其他围标串标行为。</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我公司承诺在本项目采购活动中，与采购人不存在关联关系，与其他投标单位不存在关联关系。如被查实在本项目采购活动中存在围标、串标的，本公司将承担法律责任，接受相应的法律法规处罚。</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供应商</w:t>
      </w:r>
      <w:r>
        <w:rPr>
          <w:rFonts w:hint="eastAsia" w:ascii="仿宋" w:hAnsi="仿宋" w:eastAsia="仿宋" w:cs="仿宋"/>
          <w:color w:val="auto"/>
          <w:kern w:val="0"/>
          <w:sz w:val="24"/>
          <w:szCs w:val="24"/>
          <w:highlight w:val="none"/>
        </w:rPr>
        <w:t>法人代表或委托代理人（承诺人） ：</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供应商</w:t>
      </w:r>
      <w:r>
        <w:rPr>
          <w:rFonts w:hint="eastAsia" w:ascii="仿宋" w:hAnsi="仿宋" w:eastAsia="仿宋" w:cs="仿宋"/>
          <w:color w:val="auto"/>
          <w:kern w:val="0"/>
          <w:sz w:val="24"/>
          <w:szCs w:val="24"/>
          <w:highlight w:val="none"/>
        </w:rPr>
        <w:t xml:space="preserve">：（公章）  </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日期：   年    月    日</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p>
    <w:p>
      <w:pPr>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br w:type="page"/>
      </w:r>
    </w:p>
    <w:p>
      <w:pPr>
        <w:widowControl/>
        <w:shd w:val="clear" w:color="auto" w:fill="FFFFFF"/>
        <w:wordWrap w:val="0"/>
        <w:jc w:val="left"/>
        <w:outlineLvl w:val="0"/>
        <w:rPr>
          <w:rFonts w:hint="eastAsia" w:ascii="仿宋" w:hAnsi="仿宋" w:eastAsia="仿宋" w:cs="仿宋"/>
          <w:color w:val="auto"/>
          <w:kern w:val="0"/>
          <w:sz w:val="44"/>
          <w:szCs w:val="44"/>
          <w:highlight w:val="none"/>
        </w:rPr>
      </w:pPr>
      <w:r>
        <w:rPr>
          <w:rFonts w:hint="eastAsia" w:ascii="仿宋" w:hAnsi="仿宋" w:eastAsia="仿宋" w:cs="仿宋"/>
          <w:bCs/>
          <w:color w:val="auto"/>
          <w:kern w:val="0"/>
          <w:sz w:val="28"/>
          <w:szCs w:val="28"/>
          <w:highlight w:val="none"/>
        </w:rPr>
        <w:t>附件</w:t>
      </w:r>
      <w:r>
        <w:rPr>
          <w:rFonts w:hint="eastAsia" w:ascii="仿宋" w:hAnsi="仿宋" w:eastAsia="仿宋" w:cs="仿宋"/>
          <w:bCs/>
          <w:color w:val="auto"/>
          <w:kern w:val="0"/>
          <w:sz w:val="28"/>
          <w:szCs w:val="28"/>
          <w:highlight w:val="none"/>
          <w:lang w:val="en-US" w:eastAsia="zh-CN"/>
        </w:rPr>
        <w:t>8</w:t>
      </w:r>
      <w:r>
        <w:rPr>
          <w:rFonts w:hint="eastAsia" w:ascii="仿宋" w:hAnsi="仿宋" w:eastAsia="仿宋" w:cs="仿宋"/>
          <w:bCs/>
          <w:color w:val="auto"/>
          <w:kern w:val="0"/>
          <w:sz w:val="28"/>
          <w:szCs w:val="28"/>
          <w:highlight w:val="none"/>
        </w:rPr>
        <w:t>：</w:t>
      </w:r>
    </w:p>
    <w:p>
      <w:pPr>
        <w:widowControl/>
        <w:jc w:val="center"/>
        <w:rPr>
          <w:rFonts w:hint="eastAsia" w:ascii="仿宋" w:hAnsi="仿宋" w:eastAsia="仿宋" w:cs="仿宋"/>
          <w:color w:val="auto"/>
          <w:kern w:val="0"/>
          <w:sz w:val="28"/>
          <w:szCs w:val="28"/>
          <w:highlight w:val="none"/>
        </w:rPr>
      </w:pPr>
      <w:r>
        <w:rPr>
          <w:rFonts w:hint="eastAsia" w:ascii="仿宋" w:hAnsi="仿宋" w:eastAsia="仿宋" w:cs="仿宋"/>
          <w:b/>
          <w:bCs/>
          <w:color w:val="auto"/>
          <w:kern w:val="0"/>
          <w:sz w:val="28"/>
          <w:szCs w:val="28"/>
          <w:highlight w:val="none"/>
        </w:rPr>
        <w:t>供应商遵守招标采购纪律承诺书</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致四川省妇幼保健院：</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我单位作为本次采购项目的供应商，根据</w:t>
      </w:r>
      <w:r>
        <w:rPr>
          <w:rFonts w:hint="eastAsia" w:ascii="仿宋" w:hAnsi="仿宋" w:eastAsia="仿宋" w:cs="仿宋"/>
          <w:color w:val="auto"/>
          <w:kern w:val="0"/>
          <w:sz w:val="24"/>
          <w:szCs w:val="24"/>
          <w:highlight w:val="none"/>
          <w:lang w:val="en-US" w:eastAsia="zh-CN"/>
        </w:rPr>
        <w:t>采购</w:t>
      </w:r>
      <w:r>
        <w:rPr>
          <w:rFonts w:hint="eastAsia" w:ascii="仿宋" w:hAnsi="仿宋" w:eastAsia="仿宋" w:cs="仿宋"/>
          <w:color w:val="auto"/>
          <w:kern w:val="0"/>
          <w:sz w:val="24"/>
          <w:szCs w:val="24"/>
          <w:highlight w:val="none"/>
        </w:rPr>
        <w:t>文件要求，现郑重承诺如下：</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一、参加本次采购活动，我单位不存在与单位负责人为同一人或者存在直接控股、管理关系的其他供应商参与同一合同项下的采购活动的行为。</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二、参加本次采购活动，不得直接或者间接从采购人或者采购代理机构处获得其他供应商的相关情况并修改其投标文件或者响应文件。</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三、参加本次采购活动，不得按照采购人的授意撤换、修改投标文件或者响应文件。</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四、参加本次采购活动，不得和本次采购供应商之间协商报价、技术方案等投标文件或者响应文件的实质性内容。</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五、本次采购活动中，不存在属于同一集团、协会、商会等组织成员的供应商按照该组织要求协同参加本次采购活动。</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六、参加本次采购活动，不存在与其他供应商之间事先约定由某一特定供应商中标、成交。</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七、参加本次采购活动，不存在与其他供应商商定部分供应商放弃参加采购活动或者放弃中标、成交。</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八、参加本次采购活动，不存在我单位的投标文件或者响应文件由其他参与本项目的单位或个人编制或委托办理投标事宜。</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九、参加本次采购活动，不存在我单位与采购人之间、供应商相互之间，为谋求特定供应商中标、成交或者排斥其他供应商的其他串通行为。</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十、与我方存在直接控股关系的单位为：_______________；</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存在管理关系单位为：____________________________。</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我单位对上述承诺的内容事项真实性负责并接受评审小组对我单位投标文件或者响应文件关于串通投标的审查。如经查实上述承诺的内容事项存在虚假，我单位愿意接受以提供虚假材料谋取成交追究法律责任。</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供应商名称（单位公章）：                 年    月   日      </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法定代表人/单位负责人或授权代表</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（签字或加盖个人名章）：        </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注：</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1.“负责人”是指单位法定代表人或者法律、行政法规规定代表单位行使职权的主要负责人。</w:t>
      </w:r>
    </w:p>
    <w:p>
      <w:pPr>
        <w:widowControl/>
        <w:shd w:val="clear" w:color="auto" w:fill="FFFFFF"/>
        <w:wordWrap w:val="0"/>
        <w:spacing w:line="270" w:lineRule="atLeast"/>
        <w:ind w:firstLine="42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控股”是指出资额占有限责任公司资本总额百分之五十以上或者其持有的股份占股份有限公司股本总额百分之五十以上的，以及出资额或者持有股份的比例虽然不足百分之五十，但依其出资额或者持有的股份所享有的表决权已足以对股东会、股东大会的决议产生重大影响。</w:t>
      </w:r>
    </w:p>
    <w:p>
      <w:pPr>
        <w:widowControl/>
        <w:shd w:val="clear" w:color="auto" w:fill="FFFFFF"/>
        <w:wordWrap w:val="0"/>
        <w:spacing w:line="270" w:lineRule="atLeast"/>
        <w:ind w:firstLine="420"/>
        <w:jc w:val="left"/>
        <w:rPr>
          <w:rFonts w:hint="eastAsia" w:ascii="仿宋" w:hAnsi="仿宋" w:eastAsia="仿宋" w:cs="仿宋"/>
          <w:highlight w:val="none"/>
        </w:rPr>
      </w:pPr>
      <w:r>
        <w:rPr>
          <w:rFonts w:hint="eastAsia" w:ascii="仿宋" w:hAnsi="仿宋" w:eastAsia="仿宋" w:cs="仿宋"/>
          <w:color w:val="auto"/>
          <w:kern w:val="0"/>
          <w:sz w:val="24"/>
          <w:szCs w:val="24"/>
          <w:highlight w:val="none"/>
        </w:rPr>
        <w:t>3.“管理关系”是指与不具有出资持股关系的单位之间存在的其他管理与被管理关系。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3AE8F1-8F4B-459E-94A2-444C9DA138A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BA0CA13-92AF-4825-85AA-B470F91BBD24}"/>
  </w:font>
  <w:font w:name="方正小标宋简体">
    <w:panose1 w:val="02010601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3E8F1FF0-4BFB-422B-A0CB-B31768ECBC17}"/>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4" w:fontKey="{EC49160D-7BCC-4D77-8737-27EF73D3EF11}"/>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D7sw5mEAIAAAkEAAAOAAAAAAAAAAEAIAAA&#10;AB8BAABkcnMvZTJvRG9jLnhtbFBLBQYAAAAABgAGAFkBAACh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9D1A39"/>
    <w:multiLevelType w:val="multilevel"/>
    <w:tmpl w:val="8F9D1A39"/>
    <w:lvl w:ilvl="0" w:tentative="0">
      <w:start w:val="1"/>
      <w:numFmt w:val="decimal"/>
      <w:lvlText w:val="%1."/>
      <w:lvlJc w:val="left"/>
      <w:pPr>
        <w:tabs>
          <w:tab w:val="left" w:pos="-108"/>
        </w:tabs>
        <w:ind w:left="-420"/>
      </w:p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346C5CA9"/>
    <w:multiLevelType w:val="multilevel"/>
    <w:tmpl w:val="346C5CA9"/>
    <w:lvl w:ilvl="0" w:tentative="0">
      <w:start w:val="1"/>
      <w:numFmt w:val="bullet"/>
      <w:pStyle w:val="17"/>
      <w:lvlText w:val="-"/>
      <w:lvlJc w:val="left"/>
      <w:pPr>
        <w:tabs>
          <w:tab w:val="left" w:pos="927"/>
        </w:tabs>
        <w:ind w:left="562" w:firstLine="5"/>
      </w:pPr>
      <w:rPr>
        <w:rFonts w:hint="eastAsia" w:ascii="宋体" w:hAnsi="Wingdings" w:eastAsia="宋体"/>
        <w:lang w:eastAsia="zh-CN"/>
      </w:rPr>
    </w:lvl>
    <w:lvl w:ilvl="1" w:tentative="0">
      <w:start w:val="1"/>
      <w:numFmt w:val="bullet"/>
      <w:lvlText w:val=""/>
      <w:lvlJc w:val="left"/>
      <w:pPr>
        <w:tabs>
          <w:tab w:val="left" w:pos="3360"/>
        </w:tabs>
        <w:ind w:left="3360" w:hanging="420"/>
      </w:pPr>
      <w:rPr>
        <w:rFonts w:hint="default" w:ascii="Wingdings" w:hAnsi="Wingdings"/>
      </w:rPr>
    </w:lvl>
    <w:lvl w:ilvl="2" w:tentative="0">
      <w:start w:val="1"/>
      <w:numFmt w:val="bullet"/>
      <w:lvlText w:val=""/>
      <w:lvlJc w:val="left"/>
      <w:pPr>
        <w:tabs>
          <w:tab w:val="left" w:pos="3780"/>
        </w:tabs>
        <w:ind w:left="3780" w:hanging="420"/>
      </w:pPr>
      <w:rPr>
        <w:rFonts w:hint="default" w:ascii="Wingdings" w:hAnsi="Wingdings"/>
      </w:rPr>
    </w:lvl>
    <w:lvl w:ilvl="3" w:tentative="0">
      <w:start w:val="1"/>
      <w:numFmt w:val="bullet"/>
      <w:lvlText w:val=""/>
      <w:lvlJc w:val="left"/>
      <w:pPr>
        <w:tabs>
          <w:tab w:val="left" w:pos="4200"/>
        </w:tabs>
        <w:ind w:left="4200" w:hanging="420"/>
      </w:pPr>
      <w:rPr>
        <w:rFonts w:hint="default" w:ascii="Wingdings" w:hAnsi="Wingdings"/>
      </w:rPr>
    </w:lvl>
    <w:lvl w:ilvl="4" w:tentative="0">
      <w:start w:val="1"/>
      <w:numFmt w:val="bullet"/>
      <w:lvlText w:val=""/>
      <w:lvlJc w:val="left"/>
      <w:pPr>
        <w:tabs>
          <w:tab w:val="left" w:pos="4620"/>
        </w:tabs>
        <w:ind w:left="4620" w:hanging="420"/>
      </w:pPr>
      <w:rPr>
        <w:rFonts w:hint="default" w:ascii="Wingdings" w:hAnsi="Wingdings"/>
      </w:rPr>
    </w:lvl>
    <w:lvl w:ilvl="5" w:tentative="0">
      <w:start w:val="1"/>
      <w:numFmt w:val="bullet"/>
      <w:lvlText w:val=""/>
      <w:lvlJc w:val="left"/>
      <w:pPr>
        <w:tabs>
          <w:tab w:val="left" w:pos="5040"/>
        </w:tabs>
        <w:ind w:left="5040" w:hanging="420"/>
      </w:pPr>
      <w:rPr>
        <w:rFonts w:hint="default" w:ascii="Wingdings" w:hAnsi="Wingdings"/>
      </w:rPr>
    </w:lvl>
    <w:lvl w:ilvl="6" w:tentative="0">
      <w:start w:val="1"/>
      <w:numFmt w:val="bullet"/>
      <w:lvlText w:val=""/>
      <w:lvlJc w:val="left"/>
      <w:pPr>
        <w:tabs>
          <w:tab w:val="left" w:pos="5460"/>
        </w:tabs>
        <w:ind w:left="5460" w:hanging="420"/>
      </w:pPr>
      <w:rPr>
        <w:rFonts w:hint="default" w:ascii="Wingdings" w:hAnsi="Wingdings"/>
      </w:rPr>
    </w:lvl>
    <w:lvl w:ilvl="7" w:tentative="0">
      <w:start w:val="1"/>
      <w:numFmt w:val="bullet"/>
      <w:lvlText w:val=""/>
      <w:lvlJc w:val="left"/>
      <w:pPr>
        <w:tabs>
          <w:tab w:val="left" w:pos="5880"/>
        </w:tabs>
        <w:ind w:left="5880" w:hanging="420"/>
      </w:pPr>
      <w:rPr>
        <w:rFonts w:hint="default" w:ascii="Wingdings" w:hAnsi="Wingdings"/>
      </w:rPr>
    </w:lvl>
    <w:lvl w:ilvl="8" w:tentative="0">
      <w:start w:val="1"/>
      <w:numFmt w:val="bullet"/>
      <w:lvlText w:val=""/>
      <w:lvlJc w:val="left"/>
      <w:pPr>
        <w:tabs>
          <w:tab w:val="left" w:pos="6300"/>
        </w:tabs>
        <w:ind w:left="630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ED4DAE"/>
    <w:rsid w:val="03B70846"/>
    <w:rsid w:val="0F8825C6"/>
    <w:rsid w:val="11096801"/>
    <w:rsid w:val="14FC0436"/>
    <w:rsid w:val="27941805"/>
    <w:rsid w:val="43D67F5B"/>
    <w:rsid w:val="45240DC6"/>
    <w:rsid w:val="48C24FF6"/>
    <w:rsid w:val="4DB6131A"/>
    <w:rsid w:val="56867584"/>
    <w:rsid w:val="5F4A19DE"/>
    <w:rsid w:val="5FED4DAE"/>
    <w:rsid w:val="62060167"/>
    <w:rsid w:val="64B16CB2"/>
    <w:rsid w:val="6D6B47C4"/>
    <w:rsid w:val="73345415"/>
    <w:rsid w:val="734D097C"/>
    <w:rsid w:val="7F296F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9"/>
    <w:pPr>
      <w:keepNext/>
      <w:keepLines/>
      <w:spacing w:before="160" w:after="80"/>
      <w:outlineLvl w:val="1"/>
    </w:pPr>
    <w:rPr>
      <w:rFonts w:asciiTheme="majorHAnsi" w:hAnsiTheme="majorHAnsi" w:eastAsiaTheme="majorEastAsia" w:cstheme="majorBidi"/>
      <w:color w:val="2E75B6" w:themeColor="accent1" w:themeShade="BF"/>
      <w:sz w:val="40"/>
      <w:szCs w:val="40"/>
      <w14:ligatures w14:val="standardContextual"/>
    </w:rPr>
  </w:style>
  <w:style w:type="paragraph" w:styleId="4">
    <w:name w:val="heading 3"/>
    <w:basedOn w:val="1"/>
    <w:next w:val="1"/>
    <w:semiHidden/>
    <w:unhideWhenUsed/>
    <w:qFormat/>
    <w:uiPriority w:val="9"/>
    <w:pPr>
      <w:keepNext/>
      <w:keepLines/>
      <w:spacing w:before="160" w:after="80"/>
      <w:outlineLvl w:val="2"/>
    </w:pPr>
    <w:rPr>
      <w:rFonts w:asciiTheme="majorHAnsi" w:hAnsiTheme="majorHAnsi" w:eastAsiaTheme="majorEastAsia" w:cstheme="majorBidi"/>
      <w:color w:val="2E75B6" w:themeColor="accent1" w:themeShade="BF"/>
      <w:sz w:val="32"/>
      <w:szCs w:val="32"/>
      <w14:ligatures w14:val="standardContextual"/>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5">
    <w:name w:val="Normal Indent"/>
    <w:basedOn w:val="1"/>
    <w:qFormat/>
    <w:uiPriority w:val="0"/>
    <w:pPr>
      <w:ind w:firstLine="420" w:firstLineChars="200"/>
    </w:pPr>
    <w:rPr>
      <w:rFonts w:ascii="Times New Roman"/>
    </w:rPr>
  </w:style>
  <w:style w:type="paragraph" w:styleId="6">
    <w:name w:val="annotation text"/>
    <w:basedOn w:val="1"/>
    <w:semiHidden/>
    <w:unhideWhenUsed/>
    <w:qFormat/>
    <w:uiPriority w:val="0"/>
    <w:pPr>
      <w:jc w:val="left"/>
    </w:pPr>
  </w:style>
  <w:style w:type="paragraph" w:styleId="7">
    <w:name w:val="Body Text Indent 2"/>
    <w:basedOn w:val="1"/>
    <w:qFormat/>
    <w:uiPriority w:val="0"/>
    <w:pPr>
      <w:spacing w:after="120" w:afterLines="0" w:line="480" w:lineRule="auto"/>
      <w:ind w:left="420" w:left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Autospacing="1" w:afterAutospacing="1"/>
      <w:jc w:val="left"/>
    </w:pPr>
    <w:rPr>
      <w:rFonts w:cs="Times New Roman"/>
      <w:kern w:val="0"/>
      <w:sz w:val="24"/>
    </w:rPr>
  </w:style>
  <w:style w:type="paragraph" w:styleId="11">
    <w:name w:val="Body Text First Indent"/>
    <w:basedOn w:val="2"/>
    <w:semiHidden/>
    <w:unhideWhenUsed/>
    <w:qFormat/>
    <w:uiPriority w:val="99"/>
    <w:pPr>
      <w:ind w:firstLine="420" w:firstLineChars="100"/>
    </w:p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
    <w:qFormat/>
    <w:uiPriority w:val="99"/>
    <w:pPr>
      <w:ind w:firstLine="420" w:firstLineChars="200"/>
    </w:pPr>
  </w:style>
  <w:style w:type="paragraph" w:customStyle="1" w:styleId="16">
    <w:name w:val="U_正文2"/>
    <w:basedOn w:val="1"/>
    <w:qFormat/>
    <w:uiPriority w:val="0"/>
    <w:pPr>
      <w:spacing w:beforeLines="10" w:line="300" w:lineRule="auto"/>
    </w:pPr>
    <w:rPr>
      <w:rFonts w:asciiTheme="minorHAnsi" w:hAnsiTheme="minorHAnsi" w:eastAsiaTheme="minorEastAsia" w:cstheme="minorBidi"/>
      <w:sz w:val="24"/>
      <w:szCs w:val="22"/>
    </w:rPr>
  </w:style>
  <w:style w:type="paragraph" w:customStyle="1" w:styleId="17">
    <w:name w:val="U_编号2"/>
    <w:basedOn w:val="1"/>
    <w:qFormat/>
    <w:uiPriority w:val="0"/>
    <w:pPr>
      <w:numPr>
        <w:ilvl w:val="0"/>
        <w:numId w:val="1"/>
      </w:numPr>
      <w:spacing w:beforeLines="10" w:line="300" w:lineRule="auto"/>
      <w:ind w:left="1124"/>
    </w:pPr>
    <w:rPr>
      <w:sz w:val="24"/>
      <w:szCs w:val="20"/>
    </w:rPr>
  </w:style>
  <w:style w:type="paragraph" w:customStyle="1" w:styleId="18">
    <w:name w:val="_正文段落"/>
    <w:basedOn w:val="1"/>
    <w:qFormat/>
    <w:uiPriority w:val="0"/>
    <w:pPr>
      <w:spacing w:beforeLines="15" w:afterLines="15" w:line="360" w:lineRule="auto"/>
      <w:ind w:firstLine="200" w:firstLineChars="200"/>
    </w:pPr>
    <w:rPr>
      <w:rFonts w:ascii="宋体" w:eastAsia="仿宋_GB2312"/>
      <w:kern w:val="0"/>
      <w:sz w:val="28"/>
    </w:rPr>
  </w:style>
  <w:style w:type="paragraph" w:customStyle="1" w:styleId="19">
    <w:name w:val="GW-正文"/>
    <w:basedOn w:val="1"/>
    <w:qFormat/>
    <w:uiPriority w:val="0"/>
    <w:pPr>
      <w:spacing w:line="360" w:lineRule="auto"/>
      <w:ind w:firstLine="200" w:firstLineChars="200"/>
    </w:pPr>
    <w:rPr>
      <w:rFonts w:eastAsia="仿宋_GB2312"/>
      <w:sz w:val="24"/>
      <w:szCs w:val="24"/>
    </w:rPr>
  </w:style>
  <w:style w:type="paragraph" w:customStyle="1" w:styleId="20">
    <w:name w:val="正文 A"/>
    <w:qFormat/>
    <w:uiPriority w:val="0"/>
    <w:pPr>
      <w:framePr w:wrap="around" w:vAnchor="margin" w:hAnchor="text" w:yAlign="top"/>
      <w:spacing w:after="160" w:line="278" w:lineRule="auto"/>
    </w:pPr>
    <w:rPr>
      <w:rFonts w:ascii="Arial Unicode MS" w:hAnsi="Arial Unicode MS" w:eastAsia="Arial Unicode MS" w:cs="Arial Unicode MS"/>
      <w:color w:val="000000"/>
      <w:sz w:val="22"/>
      <w:szCs w:val="22"/>
      <w:u w:color="000000"/>
      <w:lang w:val="zh-TW" w:eastAsia="zh-TW" w:bidi="ar-SA"/>
    </w:rPr>
  </w:style>
  <w:style w:type="paragraph" w:customStyle="1" w:styleId="21">
    <w:name w:val="列表段落1"/>
    <w:basedOn w:val="1"/>
    <w:qFormat/>
    <w:uiPriority w:val="34"/>
    <w:pPr>
      <w:widowControl/>
      <w:ind w:firstLine="420" w:firstLineChars="200"/>
      <w:jc w:val="left"/>
    </w:pPr>
    <w:rPr>
      <w:rFonts w:ascii="宋体" w:hAnsi="宋体" w:cs="宋体"/>
      <w:kern w:val="0"/>
      <w:sz w:val="24"/>
      <w:szCs w:val="24"/>
    </w:rPr>
  </w:style>
  <w:style w:type="paragraph" w:customStyle="1" w:styleId="22">
    <w:name w:val="Table Text"/>
    <w:basedOn w:val="1"/>
    <w:semiHidden/>
    <w:qFormat/>
    <w:uiPriority w:val="0"/>
    <w:rPr>
      <w:rFonts w:ascii="微软雅黑" w:hAnsi="微软雅黑" w:eastAsia="微软雅黑" w:cs="微软雅黑"/>
      <w:sz w:val="19"/>
      <w:szCs w:val="19"/>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8600</Words>
  <Characters>9037</Characters>
  <Lines>0</Lines>
  <Paragraphs>0</Paragraphs>
  <TotalTime>14</TotalTime>
  <ScaleCrop>false</ScaleCrop>
  <LinksUpToDate>false</LinksUpToDate>
  <CharactersWithSpaces>9096</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2025-07-17T02:04:00Z</dcterms:created>
  <dc:creator>嫣然一竹</dc:creator>
  <cp:lastModifiedBy>赵悦竹</cp:lastModifiedBy>
  <dcterms:modified xsi:type="dcterms:W3CDTF">2026-08-13T03:35:39Z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KSOTemplateDocerSaveRecord">
    <vt:lpwstr>eyJoZGlkIjoiNGY0ZWU5M2EzNGVhNzI3MWM5NWJkN2JhMTNhZjY4ZGQiLCJ1c2VySWQiOiIxMTM4ODg2OTkzIn0=</vt:lpwstr>
  </property>
  <property fmtid="{D5CDD505-2E9C-101B-9397-08002B2CF9AE}" pid="4" name="ICV">
    <vt:lpwstr>0752C450FE384E299CF5F6A5584AFB2F_13</vt:lpwstr>
  </property>
</Properties>
</file>