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C8AB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i w:val="0"/>
          <w:caps w:val="0"/>
          <w:color w:val="auto"/>
          <w:spacing w:val="0"/>
          <w:sz w:val="24"/>
          <w:szCs w:val="24"/>
          <w:shd w:val="clear" w:color="auto" w:fill="FFFFFF"/>
          <w:lang w:val="en-US" w:eastAsia="zh-CN"/>
        </w:rPr>
      </w:pPr>
      <w:r>
        <w:rPr>
          <w:rFonts w:hint="eastAsia" w:ascii="宋体" w:hAnsi="宋体" w:eastAsia="宋体" w:cs="宋体"/>
          <w:b/>
          <w:bCs/>
          <w:i w:val="0"/>
          <w:caps w:val="0"/>
          <w:color w:val="auto"/>
          <w:spacing w:val="0"/>
          <w:sz w:val="24"/>
          <w:szCs w:val="24"/>
          <w:shd w:val="clear" w:color="auto" w:fill="FFFFFF"/>
          <w:lang w:val="en-US" w:eastAsia="zh-CN"/>
        </w:rPr>
        <w:t>附件1：采购需求及评审方法</w:t>
      </w:r>
    </w:p>
    <w:p w14:paraId="5E0DA7E4">
      <w:pPr>
        <w:keepNext w:val="0"/>
        <w:keepLines w:val="0"/>
        <w:pageBreakBefore w:val="0"/>
        <w:kinsoku/>
        <w:bidi w:val="0"/>
        <w:spacing w:line="360" w:lineRule="auto"/>
        <w:outlineLvl w:val="1"/>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一、项目概况</w:t>
      </w:r>
      <w:r>
        <w:rPr>
          <w:rFonts w:hint="eastAsia" w:ascii="宋体" w:hAnsi="宋体" w:eastAsia="宋体" w:cs="宋体"/>
          <w:b/>
          <w:bCs/>
          <w:sz w:val="24"/>
          <w:szCs w:val="24"/>
          <w:lang w:val="en-US" w:eastAsia="zh-CN"/>
        </w:rPr>
        <w:t>：</w:t>
      </w:r>
    </w:p>
    <w:p w14:paraId="7483F2EB">
      <w:pPr>
        <w:keepNext w:val="0"/>
        <w:keepLines w:val="0"/>
        <w:pageBreakBefore w:val="0"/>
        <w:kinsoku/>
        <w:bidi w:val="0"/>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1.项目名称：</w:t>
      </w:r>
      <w:r>
        <w:rPr>
          <w:rFonts w:hint="eastAsia" w:ascii="宋体" w:hAnsi="宋体" w:eastAsia="宋体" w:cs="宋体"/>
          <w:color w:val="auto"/>
          <w:sz w:val="24"/>
          <w:szCs w:val="24"/>
          <w:highlight w:val="none"/>
          <w:lang w:val="en-US" w:eastAsia="zh-CN"/>
        </w:rPr>
        <w:t>2026年抚琴、晋阳院区监控系统改造项目</w:t>
      </w:r>
    </w:p>
    <w:p w14:paraId="668B4511">
      <w:pPr>
        <w:keepNext w:val="0"/>
        <w:keepLines w:val="0"/>
        <w:pageBreakBefore w:val="0"/>
        <w:kinsoku/>
        <w:bidi w:val="0"/>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2.项目地址：晋阳院区-武侯区沙堰西二街290号</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lang w:val="en-US" w:eastAsia="zh-CN"/>
        </w:rPr>
        <w:t>抚琴院区-金牛区抚琴西路338号</w:t>
      </w:r>
    </w:p>
    <w:p w14:paraId="35E72950">
      <w:pPr>
        <w:keepNext w:val="0"/>
        <w:keepLines w:val="0"/>
        <w:pageBreakBefore w:val="0"/>
        <w:kinsoku/>
        <w:bidi w:val="0"/>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3.项目</w:t>
      </w:r>
      <w:r>
        <w:rPr>
          <w:rFonts w:hint="eastAsia" w:ascii="宋体" w:hAnsi="宋体" w:eastAsia="宋体" w:cs="宋体"/>
          <w:b w:val="0"/>
          <w:bCs w:val="0"/>
          <w:sz w:val="24"/>
          <w:szCs w:val="24"/>
          <w:lang w:val="en-US" w:eastAsia="zh-CN"/>
        </w:rPr>
        <w:t>预算</w:t>
      </w:r>
      <w:r>
        <w:rPr>
          <w:rFonts w:hint="eastAsia" w:ascii="宋体" w:hAnsi="宋体" w:eastAsia="宋体" w:cs="宋体"/>
          <w:b w:val="0"/>
          <w:bCs w:val="0"/>
          <w:sz w:val="24"/>
          <w:szCs w:val="24"/>
          <w:lang w:val="en-US" w:eastAsia="zh-CN"/>
        </w:rPr>
        <w:t>：预算金额30万元，最高限价30万元。</w:t>
      </w:r>
    </w:p>
    <w:p w14:paraId="1DA61149">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二、技术要求：</w:t>
      </w:r>
    </w:p>
    <w:p w14:paraId="2B899BA3">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抚琴、晋阳院区监控系统改造项目具体要求如下：</w:t>
      </w:r>
    </w:p>
    <w:p w14:paraId="1086F74E">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（一）基本要求及标准★</w:t>
      </w:r>
    </w:p>
    <w:p w14:paraId="1167C3AE">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供应商按采购人需求及时提供监控安防器材设备，须提供全新、未使用过的合格正品(含零部件、配件等)，表面无划伤、无碰撞痕迹，且权属清楚，不得侵害他人的知识产权。保障采购人监控安防器材设备正常运行。</w:t>
      </w:r>
    </w:p>
    <w:p w14:paraId="5DBEC255">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2.所使用监控安防器材设备品牌为国产且技术指标须符合国家及行业最新标准；</w:t>
      </w:r>
    </w:p>
    <w:p w14:paraId="4E4195FC">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3.所有性能要求和技术要求须符合国家及行业最新标准；</w:t>
      </w:r>
    </w:p>
    <w:p w14:paraId="16AB09E4">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4.严格依照《中华人民共和国产品质量法》及国家相关规定，行业规范以及设备制造商的安装指南，保证监控安防器材设备质量；</w:t>
      </w:r>
    </w:p>
    <w:p w14:paraId="437E453C">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5.具有专业的技术及安装施工实施能力、工程中所遇到的技术及施工安全等问题由供应商负责，采购人不承担相关责任。；</w:t>
      </w:r>
    </w:p>
    <w:p w14:paraId="5B65D8BA">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6.在质量保证期内，供应商应对由于设备、安装工艺或材料的缺陷所发生的任何不足或故障负责三包(包修、包换、包退)，费用由供应商自行承担。</w:t>
      </w:r>
    </w:p>
    <w:p w14:paraId="5DFB4CBF">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7.须满足《医院安全技术防范系统要求》（GB/T31458−2015）。本项目所引用的标准、规范和规程如在合同执行期间有新版本更新或修订发布的，均按最新版本执行。</w:t>
      </w:r>
    </w:p>
    <w:p w14:paraId="4CD0ACFA">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8.本次采购产品系统须兼容我院现有海康威视系统。</w:t>
      </w:r>
    </w:p>
    <w:p w14:paraId="1E0E93D4">
      <w:pPr>
        <w:keepNext w:val="0"/>
        <w:keepLines w:val="0"/>
        <w:pageBreakBefore w:val="0"/>
        <w:widowControl/>
        <w:kinsoku/>
        <w:wordWrap/>
        <w:overflowPunct/>
        <w:topLinePunct w:val="0"/>
        <w:autoSpaceDE/>
        <w:autoSpaceDN/>
        <w:bidi w:val="0"/>
        <w:snapToGrid/>
        <w:spacing w:beforeAutospacing="0" w:afterAutospacing="0" w:line="360" w:lineRule="auto"/>
        <w:ind w:firstLine="241" w:firstLineChars="1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注：“（一）基本要求及标准”供应商须提供承诺函并加盖</w:t>
      </w:r>
      <w:r>
        <w:rPr>
          <w:rFonts w:hint="eastAsia" w:ascii="宋体" w:hAnsi="宋体" w:eastAsia="宋体" w:cs="宋体"/>
          <w:b/>
          <w:bCs/>
          <w:sz w:val="24"/>
          <w:szCs w:val="24"/>
          <w:lang w:val="en-US" w:eastAsia="zh-CN"/>
        </w:rPr>
        <w:t>盖章</w:t>
      </w:r>
      <w:r>
        <w:rPr>
          <w:rFonts w:hint="eastAsia" w:ascii="宋体" w:hAnsi="宋体" w:eastAsia="宋体" w:cs="宋体"/>
          <w:b/>
          <w:bCs/>
          <w:sz w:val="24"/>
          <w:szCs w:val="24"/>
          <w:lang w:val="en-US" w:eastAsia="zh-CN"/>
        </w:rPr>
        <w:t>。</w:t>
      </w:r>
    </w:p>
    <w:p w14:paraId="7BA33059">
      <w:pPr>
        <w:pStyle w:val="11"/>
        <w:keepNext w:val="0"/>
        <w:keepLines w:val="0"/>
        <w:pageBreakBefore w:val="0"/>
        <w:numPr>
          <w:ilvl w:val="0"/>
          <w:numId w:val="0"/>
        </w:numPr>
        <w:kinsoku/>
        <w:bidi w:val="0"/>
        <w:spacing w:line="360" w:lineRule="auto"/>
        <w:ind w:firstLine="482" w:firstLineChars="200"/>
        <w:rPr>
          <w:rFonts w:hint="eastAsia" w:ascii="宋体" w:hAnsi="宋体" w:eastAsia="宋体" w:cs="宋体"/>
          <w:b/>
          <w:bCs/>
          <w:color w:val="auto"/>
          <w:sz w:val="24"/>
          <w:szCs w:val="24"/>
          <w:highlight w:val="none"/>
          <w:lang w:val="en-US" w:eastAsia="zh-CN"/>
        </w:rPr>
      </w:pPr>
    </w:p>
    <w:p w14:paraId="1AA8C00D">
      <w:pPr>
        <w:keepNext w:val="0"/>
        <w:keepLines w:val="0"/>
        <w:pageBreakBefore w:val="0"/>
        <w:kinsoku/>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6E87788">
      <w:pPr>
        <w:pStyle w:val="11"/>
        <w:keepNext w:val="0"/>
        <w:keepLines w:val="0"/>
        <w:pageBreakBefore w:val="0"/>
        <w:numPr>
          <w:ilvl w:val="0"/>
          <w:numId w:val="0"/>
        </w:numPr>
        <w:kinsoku/>
        <w:bidi w:val="0"/>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维护更新设备</w:t>
      </w:r>
      <w:r>
        <w:rPr>
          <w:rFonts w:hint="eastAsia" w:ascii="宋体" w:hAnsi="宋体" w:eastAsia="宋体" w:cs="宋体"/>
          <w:b/>
          <w:bCs/>
          <w:color w:val="auto"/>
          <w:sz w:val="24"/>
          <w:szCs w:val="24"/>
          <w:highlight w:val="none"/>
          <w:lang w:val="en-US" w:eastAsia="zh-CN"/>
        </w:rPr>
        <w:t>参数需求</w:t>
      </w:r>
    </w:p>
    <w:tbl>
      <w:tblPr>
        <w:tblStyle w:val="16"/>
        <w:tblpPr w:leftFromText="180" w:rightFromText="180" w:vertAnchor="text" w:horzAnchor="page" w:tblpXSpec="center" w:tblpY="29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
        <w:gridCol w:w="1108"/>
        <w:gridCol w:w="631"/>
        <w:gridCol w:w="4017"/>
        <w:gridCol w:w="623"/>
        <w:gridCol w:w="1667"/>
      </w:tblGrid>
      <w:tr w14:paraId="3335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5F78D258">
            <w:pPr>
              <w:keepNext w:val="0"/>
              <w:keepLines w:val="0"/>
              <w:pageBreakBefore w:val="0"/>
              <w:kinsoku/>
              <w:bidi w:val="0"/>
              <w:spacing w:before="120" w:after="12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0" w:type="auto"/>
            <w:noWrap w:val="0"/>
            <w:tcMar>
              <w:top w:w="60" w:type="dxa"/>
              <w:left w:w="120" w:type="dxa"/>
              <w:bottom w:w="30" w:type="dxa"/>
              <w:right w:w="120" w:type="dxa"/>
            </w:tcMar>
            <w:vAlign w:val="center"/>
          </w:tcPr>
          <w:p w14:paraId="407965FA">
            <w:pPr>
              <w:keepNext w:val="0"/>
              <w:keepLines w:val="0"/>
              <w:pageBreakBefore w:val="0"/>
              <w:kinsoku/>
              <w:bidi w:val="0"/>
              <w:spacing w:before="120" w:after="12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0" w:type="auto"/>
            <w:noWrap w:val="0"/>
            <w:tcMar>
              <w:top w:w="60" w:type="dxa"/>
              <w:left w:w="120" w:type="dxa"/>
              <w:bottom w:w="30" w:type="dxa"/>
              <w:right w:w="120" w:type="dxa"/>
            </w:tcMar>
            <w:vAlign w:val="center"/>
          </w:tcPr>
          <w:p w14:paraId="7B1F2805">
            <w:pPr>
              <w:keepNext w:val="0"/>
              <w:keepLines w:val="0"/>
              <w:pageBreakBefore w:val="0"/>
              <w:kinsoku/>
              <w:bidi w:val="0"/>
              <w:spacing w:before="120" w:after="12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品牌型号</w:t>
            </w:r>
          </w:p>
        </w:tc>
        <w:tc>
          <w:tcPr>
            <w:tcW w:w="0" w:type="auto"/>
            <w:noWrap w:val="0"/>
            <w:tcMar>
              <w:top w:w="60" w:type="dxa"/>
              <w:left w:w="120" w:type="dxa"/>
              <w:bottom w:w="30" w:type="dxa"/>
              <w:right w:w="120" w:type="dxa"/>
            </w:tcMar>
            <w:vAlign w:val="center"/>
          </w:tcPr>
          <w:p w14:paraId="62E54B7A">
            <w:pPr>
              <w:keepNext w:val="0"/>
              <w:keepLines w:val="0"/>
              <w:pageBreakBefore w:val="0"/>
              <w:kinsoku/>
              <w:bidi w:val="0"/>
              <w:spacing w:before="120" w:after="12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详细参数</w:t>
            </w:r>
          </w:p>
        </w:tc>
        <w:tc>
          <w:tcPr>
            <w:tcW w:w="0" w:type="auto"/>
            <w:noWrap w:val="0"/>
            <w:tcMar>
              <w:top w:w="60" w:type="dxa"/>
              <w:left w:w="120" w:type="dxa"/>
              <w:bottom w:w="30" w:type="dxa"/>
              <w:right w:w="120" w:type="dxa"/>
            </w:tcMar>
            <w:vAlign w:val="center"/>
          </w:tcPr>
          <w:p w14:paraId="3CF2AB71">
            <w:pPr>
              <w:keepNext w:val="0"/>
              <w:keepLines w:val="0"/>
              <w:pageBreakBefore w:val="0"/>
              <w:kinsoku/>
              <w:bidi w:val="0"/>
              <w:spacing w:before="120" w:after="12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0" w:type="auto"/>
            <w:noWrap w:val="0"/>
            <w:tcMar>
              <w:top w:w="60" w:type="dxa"/>
              <w:left w:w="120" w:type="dxa"/>
              <w:bottom w:w="30" w:type="dxa"/>
              <w:right w:w="120" w:type="dxa"/>
            </w:tcMar>
            <w:vAlign w:val="center"/>
          </w:tcPr>
          <w:p w14:paraId="4DC89841">
            <w:pPr>
              <w:keepNext w:val="0"/>
              <w:keepLines w:val="0"/>
              <w:pageBreakBefore w:val="0"/>
              <w:kinsoku/>
              <w:bidi w:val="0"/>
              <w:spacing w:before="120" w:after="12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最高限价（元）（含税）</w:t>
            </w:r>
          </w:p>
        </w:tc>
      </w:tr>
      <w:tr w14:paraId="616C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shd w:val="clear" w:color="auto" w:fill="auto"/>
            <w:noWrap w:val="0"/>
            <w:tcMar>
              <w:top w:w="60" w:type="dxa"/>
              <w:left w:w="120" w:type="dxa"/>
              <w:bottom w:w="30" w:type="dxa"/>
              <w:right w:w="120" w:type="dxa"/>
            </w:tcMar>
            <w:vAlign w:val="center"/>
          </w:tcPr>
          <w:p w14:paraId="478E4C97">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0" w:type="auto"/>
            <w:shd w:val="clear" w:color="auto" w:fill="auto"/>
            <w:noWrap w:val="0"/>
            <w:tcMar>
              <w:top w:w="60" w:type="dxa"/>
              <w:left w:w="120" w:type="dxa"/>
              <w:bottom w:w="30" w:type="dxa"/>
              <w:right w:w="120" w:type="dxa"/>
            </w:tcMar>
            <w:vAlign w:val="center"/>
          </w:tcPr>
          <w:p w14:paraId="0E53D154">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24口千兆+4万兆光+2核心三层交换机</w:t>
            </w:r>
            <w:r>
              <w:rPr>
                <w:rFonts w:hint="eastAsia" w:ascii="宋体" w:hAnsi="宋体" w:eastAsia="宋体" w:cs="宋体"/>
                <w:color w:val="auto"/>
                <w:sz w:val="24"/>
                <w:szCs w:val="24"/>
                <w:highlight w:val="none"/>
                <w:lang w:val="en-US" w:eastAsia="zh-CN"/>
              </w:rPr>
              <w:t>（晋阳院区）</w:t>
            </w:r>
          </w:p>
        </w:tc>
        <w:tc>
          <w:tcPr>
            <w:tcW w:w="0" w:type="auto"/>
            <w:shd w:val="clear" w:color="auto" w:fill="auto"/>
            <w:noWrap w:val="0"/>
            <w:tcMar>
              <w:top w:w="60" w:type="dxa"/>
              <w:left w:w="120" w:type="dxa"/>
              <w:bottom w:w="30" w:type="dxa"/>
              <w:right w:w="120" w:type="dxa"/>
            </w:tcMar>
            <w:vAlign w:val="center"/>
          </w:tcPr>
          <w:p w14:paraId="236F0E87">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p>
        </w:tc>
        <w:tc>
          <w:tcPr>
            <w:tcW w:w="0" w:type="auto"/>
            <w:shd w:val="clear" w:color="auto" w:fill="FFFFFF"/>
            <w:noWrap w:val="0"/>
            <w:tcMar>
              <w:top w:w="60" w:type="dxa"/>
              <w:left w:w="120" w:type="dxa"/>
              <w:bottom w:w="30" w:type="dxa"/>
              <w:right w:w="120" w:type="dxa"/>
            </w:tcMar>
            <w:vAlign w:val="center"/>
          </w:tcPr>
          <w:p w14:paraId="6A2301E0">
            <w:pPr>
              <w:keepNext w:val="0"/>
              <w:keepLines w:val="0"/>
              <w:pageBreakBefore w:val="0"/>
              <w:widowControl/>
              <w:suppressLineNumbers w:val="0"/>
              <w:kinsoku/>
              <w:bidi w:val="0"/>
              <w:spacing w:line="360" w:lineRule="auto"/>
              <w:jc w:val="both"/>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1.交换容量≥38.4Tbps，转发性能≥7200Mpps</w:t>
            </w:r>
          </w:p>
          <w:p w14:paraId="0F092351">
            <w:pPr>
              <w:keepNext w:val="0"/>
              <w:keepLines w:val="0"/>
              <w:pageBreakBefore w:val="0"/>
              <w:widowControl/>
              <w:suppressLineNumbers w:val="0"/>
              <w:kinsoku/>
              <w:bidi w:val="0"/>
              <w:spacing w:line="360" w:lineRule="auto"/>
              <w:jc w:val="both"/>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2.支持槽位数≥3，3个业务板槽，业务板卡集成主控能力，无需独立主控板卡，支持电源冗余，整机高度≤4U</w:t>
            </w:r>
          </w:p>
          <w:p w14:paraId="6EF8A9D7">
            <w:pPr>
              <w:keepNext w:val="0"/>
              <w:keepLines w:val="0"/>
              <w:pageBreakBefore w:val="0"/>
              <w:widowControl/>
              <w:suppressLineNumbers w:val="0"/>
              <w:kinsoku/>
              <w:bidi w:val="0"/>
              <w:spacing w:line="360" w:lineRule="auto"/>
              <w:jc w:val="both"/>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3.配置双电源，千兆电口≥24个，千兆光口≥24个，万兆光口≥2个，支持独立的console管理串口，≥1个带外管理口；</w:t>
            </w:r>
          </w:p>
          <w:p w14:paraId="7FE94850">
            <w:pPr>
              <w:keepNext w:val="0"/>
              <w:keepLines w:val="0"/>
              <w:pageBreakBefore w:val="0"/>
              <w:widowControl/>
              <w:suppressLineNumbers w:val="0"/>
              <w:kinsoku/>
              <w:bidi w:val="0"/>
              <w:spacing w:line="360" w:lineRule="auto"/>
              <w:jc w:val="both"/>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4.支持静态路由、策略路由、RIP、OSPF等三层路由协议</w:t>
            </w:r>
          </w:p>
          <w:p w14:paraId="6F94440B">
            <w:pPr>
              <w:keepNext w:val="0"/>
              <w:keepLines w:val="0"/>
              <w:pageBreakBefore w:val="0"/>
              <w:widowControl/>
              <w:suppressLineNumbers w:val="0"/>
              <w:kinsoku/>
              <w:bidi w:val="0"/>
              <w:spacing w:line="360" w:lineRule="auto"/>
              <w:jc w:val="both"/>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5.支持DHCPServer、DHCPRelay、DHCPSnooping</w:t>
            </w:r>
          </w:p>
          <w:p w14:paraId="36B8C454">
            <w:pPr>
              <w:keepNext w:val="0"/>
              <w:keepLines w:val="0"/>
              <w:pageBreakBefore w:val="0"/>
              <w:widowControl/>
              <w:suppressLineNumbers w:val="0"/>
              <w:kinsoku/>
              <w:bidi w:val="0"/>
              <w:spacing w:line="360" w:lineRule="auto"/>
              <w:jc w:val="both"/>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6.支持SP、WRR、SP+WRR等队列调度方式</w:t>
            </w:r>
          </w:p>
          <w:p w14:paraId="5E1070F1">
            <w:pPr>
              <w:keepNext w:val="0"/>
              <w:keepLines w:val="0"/>
              <w:pageBreakBefore w:val="0"/>
              <w:widowControl/>
              <w:suppressLineNumbers w:val="0"/>
              <w:kinsoku/>
              <w:bidi w:val="0"/>
              <w:spacing w:line="360" w:lineRule="auto"/>
              <w:jc w:val="both"/>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bCs w:val="0"/>
                <w:color w:val="auto"/>
                <w:sz w:val="24"/>
                <w:szCs w:val="24"/>
                <w:highlight w:val="none"/>
                <w:lang w:val="en-US" w:eastAsia="zh-CN"/>
              </w:rPr>
              <w:t>▲7.支持基于源MAC地址、源IP、源端口、指定协议的ACL验证；支持802.3ad规定的链路聚合功能；支持用户访问控制，可以为远程连接用户提供访问控制，拒绝未通过验证的连接，支持用户的分级分权控制，可以为用户分配不同权限，每个用户只能进行其权限所允许的操作。</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tc>
        <w:tc>
          <w:tcPr>
            <w:tcW w:w="0" w:type="auto"/>
            <w:noWrap w:val="0"/>
            <w:tcMar>
              <w:top w:w="60" w:type="dxa"/>
              <w:left w:w="120" w:type="dxa"/>
              <w:bottom w:w="30" w:type="dxa"/>
              <w:right w:w="120" w:type="dxa"/>
            </w:tcMar>
            <w:vAlign w:val="center"/>
          </w:tcPr>
          <w:p w14:paraId="36C137EC">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c>
          <w:tcPr>
            <w:tcW w:w="0" w:type="auto"/>
            <w:noWrap w:val="0"/>
            <w:tcMar>
              <w:top w:w="60" w:type="dxa"/>
              <w:left w:w="120" w:type="dxa"/>
              <w:bottom w:w="30" w:type="dxa"/>
              <w:right w:w="120" w:type="dxa"/>
            </w:tcMar>
            <w:vAlign w:val="center"/>
          </w:tcPr>
          <w:p w14:paraId="7C22BC68">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12500</w:t>
            </w:r>
          </w:p>
        </w:tc>
      </w:tr>
      <w:tr w14:paraId="6EE2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115FC8CF">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0" w:type="auto"/>
            <w:noWrap w:val="0"/>
            <w:tcMar>
              <w:top w:w="60" w:type="dxa"/>
              <w:left w:w="120" w:type="dxa"/>
              <w:bottom w:w="30" w:type="dxa"/>
              <w:right w:w="120" w:type="dxa"/>
            </w:tcMar>
            <w:vAlign w:val="center"/>
          </w:tcPr>
          <w:p w14:paraId="1AE9752A">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rPr>
            </w:pPr>
            <w:r>
              <w:rPr>
                <w:rFonts w:hint="eastAsia" w:ascii="宋体" w:hAnsi="宋体" w:eastAsia="宋体" w:cs="宋体"/>
                <w:i w:val="0"/>
                <w:iCs w:val="0"/>
                <w:color w:val="auto"/>
                <w:kern w:val="2"/>
                <w:sz w:val="24"/>
                <w:szCs w:val="24"/>
                <w:highlight w:val="none"/>
                <w:u w:val="none"/>
                <w:lang w:val="en-US" w:eastAsia="zh-CN" w:bidi="ar"/>
              </w:rPr>
              <w:t>文搜超脑（分析服务器）</w:t>
            </w:r>
            <w:r>
              <w:rPr>
                <w:rFonts w:hint="eastAsia" w:ascii="宋体" w:hAnsi="宋体" w:eastAsia="宋体" w:cs="宋体"/>
                <w:i w:val="0"/>
                <w:iCs w:val="0"/>
                <w:color w:val="auto"/>
                <w:kern w:val="2"/>
                <w:sz w:val="24"/>
                <w:szCs w:val="24"/>
                <w:highlight w:val="none"/>
                <w:u w:val="none"/>
                <w:lang w:val="en-US" w:eastAsia="zh-CN" w:bidi="ar"/>
              </w:rPr>
              <w:t>（晋阳院区）</w:t>
            </w:r>
          </w:p>
        </w:tc>
        <w:tc>
          <w:tcPr>
            <w:tcW w:w="0" w:type="auto"/>
            <w:noWrap w:val="0"/>
            <w:tcMar>
              <w:top w:w="60" w:type="dxa"/>
              <w:left w:w="120" w:type="dxa"/>
              <w:bottom w:w="30" w:type="dxa"/>
              <w:right w:w="120" w:type="dxa"/>
            </w:tcMar>
            <w:vAlign w:val="center"/>
          </w:tcPr>
          <w:p w14:paraId="0AB8C9AD">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与院区设备匹配</w:t>
            </w:r>
          </w:p>
        </w:tc>
        <w:tc>
          <w:tcPr>
            <w:tcW w:w="0" w:type="auto"/>
            <w:noWrap w:val="0"/>
            <w:tcMar>
              <w:top w:w="60" w:type="dxa"/>
              <w:left w:w="120" w:type="dxa"/>
              <w:bottom w:w="30" w:type="dxa"/>
              <w:right w:w="120" w:type="dxa"/>
            </w:tcMar>
            <w:vAlign w:val="top"/>
          </w:tcPr>
          <w:p w14:paraId="48499AEA">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1.嵌入式多模态大模型蒸馏边缘计算主机，搭载≥12颗AI引擎，支持独立配置目标识别、开放式语义检索、周界防范、视频结构化引擎模式；</w:t>
            </w:r>
          </w:p>
          <w:p w14:paraId="3BE8B055">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64个名单库，总库容≥50万张，支持≥40路1080P视频流目标抓拍，支持≥64路图片流目标比对，支持≥64路开放式语义检索，支持≥64路以图搜图，支持≥64路图片流大模型周界防范，支持≥40路1080P视频结构化；</w:t>
            </w:r>
          </w:p>
          <w:p w14:paraId="484F3B30">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val="en-US" w:eastAsia="zh-CN"/>
              </w:rPr>
              <w:t>▲3.支持通过文字语义描述检索目标对象或内容，文字语义支持≥32个自定义字符，对于≥700W的目标数据支持≤3S输出结果，检索结果首页正样本召回率≥90%；</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11E4A8F3">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val="en-US" w:eastAsia="zh-CN"/>
              </w:rPr>
              <w:t>▲4.基于前述文字语义描述检索的结果，支持包括但不限于对目标及其周围目标进行二次检索定位、按相似度进行排序、选中查看关联录像/图片操作；</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7177D4A1">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val="en-US" w:eastAsia="zh-CN"/>
              </w:rPr>
              <w:t>▲5.文字语义描述内置包括但不限于人的上下装颜色、车的品牌、打电话、抽烟这类高频词，支持根据用户所选高频词自动填充描述成句，支持自定义≥8个高频词分组，支持保存≥10条历史检索词条；</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6EDED228">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val="en-US" w:eastAsia="zh-CN"/>
              </w:rPr>
              <w:t>▲6.支持文字语义描述搜索内容合规性检测并自动过滤敏感内容，支持视频网络数据加密和数据解密恢复；</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6DD5D5B9">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▲7.支持在独立的文字语义描述搜索应用展示界面自定义时间范围进行全通道录像检索，支持异源输出≥2路分辨率≥7680×4320的视频图像；</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28D4099B">
            <w:pPr>
              <w:keepNext w:val="0"/>
              <w:keepLines w:val="0"/>
              <w:pageBreakBefore w:val="0"/>
              <w:widowControl/>
              <w:suppressLineNumbers w:val="0"/>
              <w:kinsoku/>
              <w:bidi w:val="0"/>
              <w:spacing w:line="360" w:lineRule="auto"/>
              <w:jc w:val="both"/>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≥16个SATA接口，≥2个DP接口、≥2个V-DP接口，支持≥4个千兆网口、≥6个USB接口、≥1个eSATA接口、≥1路音频输入、≥1路音频输出，≥16路报警输入、≥8路报警输出接口，高度≤3U。</w:t>
            </w:r>
          </w:p>
        </w:tc>
        <w:tc>
          <w:tcPr>
            <w:tcW w:w="0" w:type="auto"/>
            <w:noWrap w:val="0"/>
            <w:tcMar>
              <w:top w:w="60" w:type="dxa"/>
              <w:left w:w="120" w:type="dxa"/>
              <w:bottom w:w="30" w:type="dxa"/>
              <w:right w:w="120" w:type="dxa"/>
            </w:tcMar>
            <w:vAlign w:val="center"/>
          </w:tcPr>
          <w:p w14:paraId="29F6D037">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c>
          <w:tcPr>
            <w:tcW w:w="0" w:type="auto"/>
            <w:noWrap w:val="0"/>
            <w:tcMar>
              <w:top w:w="60" w:type="dxa"/>
              <w:left w:w="120" w:type="dxa"/>
              <w:bottom w:w="30" w:type="dxa"/>
              <w:right w:w="120" w:type="dxa"/>
            </w:tcMar>
            <w:vAlign w:val="center"/>
          </w:tcPr>
          <w:p w14:paraId="3757671B">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65000（</w:t>
            </w:r>
            <w:r>
              <w:rPr>
                <w:rFonts w:hint="eastAsia" w:ascii="宋体" w:hAnsi="宋体" w:eastAsia="宋体" w:cs="宋体"/>
                <w:b/>
                <w:bCs/>
                <w:color w:val="auto"/>
                <w:sz w:val="24"/>
                <w:szCs w:val="24"/>
                <w:highlight w:val="none"/>
                <w:lang w:val="en-US" w:eastAsia="zh-CN"/>
              </w:rPr>
              <w:t>观澜大模型和文搜永久授权</w:t>
            </w:r>
            <w:r>
              <w:rPr>
                <w:rFonts w:hint="eastAsia" w:ascii="宋体" w:hAnsi="宋体" w:eastAsia="宋体" w:cs="宋体"/>
                <w:color w:val="auto"/>
                <w:sz w:val="24"/>
                <w:szCs w:val="24"/>
                <w:highlight w:val="none"/>
                <w:lang w:val="en-US" w:eastAsia="zh-CN"/>
              </w:rPr>
              <w:t>）</w:t>
            </w:r>
          </w:p>
        </w:tc>
      </w:tr>
      <w:tr w14:paraId="0CD1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0C9D6626">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center"/>
          </w:tcPr>
          <w:p w14:paraId="4D6FEB1F">
            <w:pPr>
              <w:keepNext w:val="0"/>
              <w:keepLines w:val="0"/>
              <w:pageBreakBefore w:val="0"/>
              <w:kinsoku/>
              <w:bidi w:val="0"/>
              <w:spacing w:before="120" w:after="120" w:line="360" w:lineRule="auto"/>
              <w:jc w:val="both"/>
              <w:rPr>
                <w:rFonts w:hint="eastAsia" w:ascii="宋体" w:hAnsi="宋体" w:eastAsia="宋体" w:cs="宋体"/>
                <w:i w:val="0"/>
                <w:iCs w:val="0"/>
                <w:color w:val="auto"/>
                <w:kern w:val="2"/>
                <w:sz w:val="24"/>
                <w:szCs w:val="24"/>
                <w:highlight w:val="none"/>
                <w:u w:val="none"/>
                <w:lang w:val="en-US" w:eastAsia="zh-CN" w:bidi="ar"/>
              </w:rPr>
            </w:pPr>
            <w:r>
              <w:rPr>
                <w:rFonts w:hint="eastAsia" w:ascii="宋体" w:hAnsi="宋体" w:eastAsia="宋体" w:cs="宋体"/>
                <w:i w:val="0"/>
                <w:iCs w:val="0"/>
                <w:color w:val="auto"/>
                <w:kern w:val="2"/>
                <w:sz w:val="24"/>
                <w:szCs w:val="24"/>
                <w:highlight w:val="none"/>
                <w:u w:val="none"/>
                <w:lang w:val="en-US" w:eastAsia="zh-CN" w:bidi="ar"/>
              </w:rPr>
              <w:t>平台服务器</w:t>
            </w:r>
          </w:p>
        </w:tc>
        <w:tc>
          <w:tcPr>
            <w:tcW w:w="0" w:type="auto"/>
            <w:noWrap w:val="0"/>
            <w:tcMar>
              <w:top w:w="60" w:type="dxa"/>
              <w:left w:w="120" w:type="dxa"/>
              <w:bottom w:w="30" w:type="dxa"/>
              <w:right w:w="120" w:type="dxa"/>
            </w:tcMar>
            <w:vAlign w:val="center"/>
          </w:tcPr>
          <w:p w14:paraId="235543AF">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top"/>
          </w:tcPr>
          <w:p w14:paraId="60B5D9DD">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1、配置≥2颗处理器，单处理器物理核心数≥8核，主频≥3.0GHz。</w:t>
            </w:r>
          </w:p>
          <w:p w14:paraId="09C41B4E">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2、内存配置≥64GDDR4。</w:t>
            </w:r>
          </w:p>
          <w:p w14:paraId="0025BE02">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3、硬盘配置≥2块600G10KSAS硬盘。</w:t>
            </w:r>
          </w:p>
          <w:p w14:paraId="25A25F55">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4、配置1张不低于SAS_HBA卡。</w:t>
            </w:r>
          </w:p>
          <w:p w14:paraId="76D2642D">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5、配置≥2个千兆电口和≥2个PCIE千兆电口。</w:t>
            </w:r>
          </w:p>
          <w:p w14:paraId="3B98F18D">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6、电源配置不低于550W（1+1）高效铂金CRPS冗余电源。</w:t>
            </w:r>
          </w:p>
        </w:tc>
        <w:tc>
          <w:tcPr>
            <w:tcW w:w="0" w:type="auto"/>
            <w:noWrap w:val="0"/>
            <w:tcMar>
              <w:top w:w="60" w:type="dxa"/>
              <w:left w:w="120" w:type="dxa"/>
              <w:bottom w:w="30" w:type="dxa"/>
              <w:right w:w="120" w:type="dxa"/>
            </w:tcMar>
            <w:vAlign w:val="center"/>
          </w:tcPr>
          <w:p w14:paraId="6BE7AF2A">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c>
          <w:tcPr>
            <w:tcW w:w="0" w:type="auto"/>
            <w:noWrap w:val="0"/>
            <w:tcMar>
              <w:top w:w="60" w:type="dxa"/>
              <w:left w:w="120" w:type="dxa"/>
              <w:bottom w:w="30" w:type="dxa"/>
              <w:right w:w="120" w:type="dxa"/>
            </w:tcMar>
            <w:vAlign w:val="center"/>
          </w:tcPr>
          <w:p w14:paraId="7EFD4E18">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32000</w:t>
            </w:r>
          </w:p>
        </w:tc>
      </w:tr>
      <w:tr w14:paraId="7D7C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64BBF854">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0" w:type="auto"/>
            <w:noWrap w:val="0"/>
            <w:tcMar>
              <w:top w:w="60" w:type="dxa"/>
              <w:left w:w="120" w:type="dxa"/>
              <w:bottom w:w="30" w:type="dxa"/>
              <w:right w:w="120" w:type="dxa"/>
            </w:tcMar>
            <w:vAlign w:val="center"/>
          </w:tcPr>
          <w:p w14:paraId="48E900BF">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存储服务器</w:t>
            </w:r>
            <w:r>
              <w:rPr>
                <w:rFonts w:hint="eastAsia" w:ascii="宋体" w:hAnsi="宋体" w:eastAsia="宋体" w:cs="宋体"/>
                <w:color w:val="auto"/>
                <w:sz w:val="24"/>
                <w:szCs w:val="24"/>
                <w:highlight w:val="none"/>
                <w:lang w:val="en-US" w:eastAsia="zh-CN"/>
              </w:rPr>
              <w:t>（晋阳院区）</w:t>
            </w:r>
          </w:p>
        </w:tc>
        <w:tc>
          <w:tcPr>
            <w:tcW w:w="0" w:type="auto"/>
            <w:noWrap w:val="0"/>
            <w:tcMar>
              <w:top w:w="60" w:type="dxa"/>
              <w:left w:w="120" w:type="dxa"/>
              <w:bottom w:w="30" w:type="dxa"/>
              <w:right w:w="120" w:type="dxa"/>
            </w:tcMar>
            <w:vAlign w:val="center"/>
          </w:tcPr>
          <w:p w14:paraId="548DA4B7">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与院区设备匹配</w:t>
            </w:r>
          </w:p>
        </w:tc>
        <w:tc>
          <w:tcPr>
            <w:tcW w:w="0" w:type="auto"/>
            <w:noWrap w:val="0"/>
            <w:tcMar>
              <w:top w:w="60" w:type="dxa"/>
              <w:left w:w="120" w:type="dxa"/>
              <w:bottom w:w="30" w:type="dxa"/>
              <w:right w:w="120" w:type="dxa"/>
            </w:tcMar>
            <w:vAlign w:val="center"/>
          </w:tcPr>
          <w:p w14:paraId="4BAF3A5B">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1、单设备配置≥64位多核处理器，标配8GB内存，内置EMMC系统盘，硬盘数量可按需配置，可配置硬盘数不低于36块；支持不低于2个风扇，可热插拔冗余温控调速风扇。</w:t>
            </w:r>
          </w:p>
          <w:p w14:paraId="4FB0FB2A">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2、可通过IE浏览器设置RAID组为RAID0、RAID1、RAID5、RAID6、RAID10、RAID50、VRAID模式，并支持RAID即建即用。</w:t>
            </w:r>
          </w:p>
          <w:p w14:paraId="791F4375">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3、支持接入≥450路（最大接入带宽≥900Mbps）。</w:t>
            </w:r>
          </w:p>
          <w:p w14:paraId="55E53A8C">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4、应能在RAID内丢失2块（含）以上硬盘但至少有1块正常磁盘时，无需等待丢失盘恢复，保留的硬盘中的数据可正常读出，且新数据可正常写入。</w:t>
            </w:r>
          </w:p>
          <w:p w14:paraId="2BAA65A5">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val="en-US" w:eastAsia="zh-CN"/>
              </w:rPr>
              <w:t>▲5、RAID模式下，当RAID内某一块硬盘发生故障，更换该硬盘或热备盘替换时，可自动进行RAID重构。当RAID处于降级或重构状态下，不影响数据写入。且存储的数据不丢失。</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0A98F497">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6、标配≥1个RS232串口/CONSOLE接口，≥1个VGA接口，≥1个HDMI接口，≥2个USB2.0接口，≥2个USB3.0接口，≥3个2.5G网口，≥1个2.5G管理网口，≥1个Esata接口，采用可热插拔1+1AC220V电源。</w:t>
            </w:r>
          </w:p>
          <w:p w14:paraId="4F031359">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center"/>
          </w:tcPr>
          <w:p w14:paraId="38F7BD7B">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c>
          <w:tcPr>
            <w:tcW w:w="0" w:type="auto"/>
            <w:noWrap w:val="0"/>
            <w:tcMar>
              <w:top w:w="60" w:type="dxa"/>
              <w:left w:w="120" w:type="dxa"/>
              <w:bottom w:w="30" w:type="dxa"/>
              <w:right w:w="120" w:type="dxa"/>
            </w:tcMar>
            <w:vAlign w:val="center"/>
          </w:tcPr>
          <w:p w14:paraId="0E820BA9">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35000</w:t>
            </w:r>
          </w:p>
        </w:tc>
      </w:tr>
      <w:tr w14:paraId="4C73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29" w:hRule="atLeast"/>
          <w:jc w:val="center"/>
        </w:trPr>
        <w:tc>
          <w:tcPr>
            <w:tcW w:w="0" w:type="auto"/>
            <w:noWrap w:val="0"/>
            <w:tcMar>
              <w:top w:w="60" w:type="dxa"/>
              <w:left w:w="120" w:type="dxa"/>
              <w:bottom w:w="30" w:type="dxa"/>
              <w:right w:w="120" w:type="dxa"/>
            </w:tcMar>
            <w:vAlign w:val="center"/>
          </w:tcPr>
          <w:p w14:paraId="4621DB5E">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0" w:type="auto"/>
            <w:noWrap w:val="0"/>
            <w:tcMar>
              <w:top w:w="60" w:type="dxa"/>
              <w:left w:w="120" w:type="dxa"/>
              <w:bottom w:w="30" w:type="dxa"/>
              <w:right w:w="120" w:type="dxa"/>
            </w:tcMar>
            <w:vAlign w:val="center"/>
          </w:tcPr>
          <w:p w14:paraId="79280238">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监控授权</w:t>
            </w:r>
            <w:r>
              <w:rPr>
                <w:rFonts w:hint="eastAsia" w:ascii="宋体" w:hAnsi="宋体" w:eastAsia="宋体" w:cs="宋体"/>
                <w:color w:val="auto"/>
                <w:sz w:val="24"/>
                <w:szCs w:val="24"/>
                <w:highlight w:val="none"/>
                <w:lang w:val="en-US" w:eastAsia="zh-CN"/>
              </w:rPr>
              <w:t>（晋阳院区）</w:t>
            </w:r>
          </w:p>
        </w:tc>
        <w:tc>
          <w:tcPr>
            <w:tcW w:w="0" w:type="auto"/>
            <w:noWrap w:val="0"/>
            <w:tcMar>
              <w:top w:w="60" w:type="dxa"/>
              <w:left w:w="120" w:type="dxa"/>
              <w:bottom w:w="30" w:type="dxa"/>
              <w:right w:w="120" w:type="dxa"/>
            </w:tcMar>
            <w:vAlign w:val="center"/>
          </w:tcPr>
          <w:p w14:paraId="705580A6">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与院区设备匹配</w:t>
            </w:r>
          </w:p>
        </w:tc>
        <w:tc>
          <w:tcPr>
            <w:tcW w:w="0" w:type="auto"/>
            <w:noWrap w:val="0"/>
            <w:tcMar>
              <w:top w:w="60" w:type="dxa"/>
              <w:left w:w="120" w:type="dxa"/>
              <w:bottom w:w="30" w:type="dxa"/>
              <w:right w:w="120" w:type="dxa"/>
            </w:tcMar>
            <w:vAlign w:val="center"/>
          </w:tcPr>
          <w:p w14:paraId="2064E370">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1.支持业务应用组件化，各组件独立运行、维护，支持独立安装或卸载，支持部署组件（服务）到服务器集群，并进行集群管理；</w:t>
            </w:r>
          </w:p>
          <w:p w14:paraId="61F3C98B">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支持业务应用组件化，各组件独立运行、维护，支持独立安装或卸载，支持部署组件（服务）到服务器集群，并进行集群管理；</w:t>
            </w:r>
          </w:p>
        </w:tc>
        <w:tc>
          <w:tcPr>
            <w:tcW w:w="0" w:type="auto"/>
            <w:noWrap w:val="0"/>
            <w:tcMar>
              <w:top w:w="60" w:type="dxa"/>
              <w:left w:w="120" w:type="dxa"/>
              <w:bottom w:w="30" w:type="dxa"/>
              <w:right w:w="120" w:type="dxa"/>
            </w:tcMar>
            <w:vAlign w:val="center"/>
          </w:tcPr>
          <w:p w14:paraId="5DE1CBCD">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400</w:t>
            </w:r>
          </w:p>
        </w:tc>
        <w:tc>
          <w:tcPr>
            <w:tcW w:w="0" w:type="auto"/>
            <w:noWrap w:val="0"/>
            <w:tcMar>
              <w:top w:w="60" w:type="dxa"/>
              <w:left w:w="120" w:type="dxa"/>
              <w:bottom w:w="30" w:type="dxa"/>
              <w:right w:w="120" w:type="dxa"/>
            </w:tcMar>
            <w:vAlign w:val="center"/>
          </w:tcPr>
          <w:p w14:paraId="36E03E91">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16000</w:t>
            </w:r>
          </w:p>
        </w:tc>
      </w:tr>
      <w:tr w14:paraId="46FE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10EB98F3">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0" w:type="auto"/>
            <w:noWrap w:val="0"/>
            <w:tcMar>
              <w:top w:w="60" w:type="dxa"/>
              <w:left w:w="120" w:type="dxa"/>
              <w:bottom w:w="30" w:type="dxa"/>
              <w:right w:w="120" w:type="dxa"/>
            </w:tcMar>
            <w:vAlign w:val="center"/>
          </w:tcPr>
          <w:p w14:paraId="5446959F">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lang w:val="en-US" w:eastAsia="zh-CN"/>
              </w:rPr>
              <w:t>英</w:t>
            </w:r>
            <w:r>
              <w:rPr>
                <w:rFonts w:hint="eastAsia" w:ascii="宋体" w:hAnsi="宋体" w:eastAsia="宋体" w:cs="宋体"/>
                <w:color w:val="auto"/>
                <w:sz w:val="24"/>
                <w:szCs w:val="24"/>
                <w:highlight w:val="none"/>
                <w:lang w:val="en-US" w:eastAsia="zh-CN"/>
              </w:rPr>
              <w:t>寸拼接屏(包含安装所需配件)</w:t>
            </w:r>
            <w:r>
              <w:rPr>
                <w:rFonts w:hint="eastAsia" w:ascii="宋体" w:hAnsi="宋体" w:eastAsia="宋体" w:cs="宋体"/>
                <w:color w:val="auto"/>
                <w:sz w:val="24"/>
                <w:szCs w:val="24"/>
                <w:highlight w:val="none"/>
                <w:lang w:val="en-US" w:eastAsia="zh-CN"/>
              </w:rPr>
              <w:t>（晋阳院区）</w:t>
            </w:r>
          </w:p>
        </w:tc>
        <w:tc>
          <w:tcPr>
            <w:tcW w:w="0" w:type="auto"/>
            <w:noWrap w:val="0"/>
            <w:tcMar>
              <w:top w:w="60" w:type="dxa"/>
              <w:left w:w="120" w:type="dxa"/>
              <w:bottom w:w="30" w:type="dxa"/>
              <w:right w:w="120" w:type="dxa"/>
            </w:tcMar>
            <w:vAlign w:val="center"/>
          </w:tcPr>
          <w:p w14:paraId="1DE72985">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center"/>
          </w:tcPr>
          <w:p w14:paraId="65C5B490">
            <w:pPr>
              <w:keepNext w:val="0"/>
              <w:keepLines w:val="0"/>
              <w:pageBreakBefore w:val="0"/>
              <w:widowControl/>
              <w:numPr>
                <w:ilvl w:val="0"/>
                <w:numId w:val="3"/>
              </w:numPr>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支持4比3、16比9、点对点等比例显示。</w:t>
            </w:r>
          </w:p>
          <w:p w14:paraId="53A239DB">
            <w:pPr>
              <w:keepNext w:val="0"/>
              <w:keepLines w:val="0"/>
              <w:pageBreakBefore w:val="0"/>
              <w:widowControl/>
              <w:numPr>
                <w:ilvl w:val="0"/>
                <w:numId w:val="0"/>
              </w:numPr>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2.LCD显示单元为：46</w:t>
            </w:r>
            <w:r>
              <w:rPr>
                <w:rFonts w:hint="eastAsia" w:ascii="宋体" w:hAnsi="宋体" w:eastAsia="宋体" w:cs="宋体"/>
                <w:color w:val="auto"/>
                <w:sz w:val="24"/>
                <w:szCs w:val="24"/>
                <w:highlight w:val="none"/>
                <w:lang w:val="en-US" w:eastAsia="zh-CN"/>
              </w:rPr>
              <w:t>英寸</w:t>
            </w:r>
            <w:r>
              <w:rPr>
                <w:rFonts w:hint="eastAsia" w:ascii="宋体" w:hAnsi="宋体" w:eastAsia="宋体" w:cs="宋体"/>
                <w:color w:val="auto"/>
                <w:sz w:val="24"/>
                <w:szCs w:val="24"/>
                <w:highlight w:val="none"/>
                <w:lang w:val="en-US" w:eastAsia="zh-CN"/>
              </w:rPr>
              <w:t>超窄边液晶屏；单元物理拼缝≤3.5mm，物理分辨率达到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1920×1080，对比度达</w:t>
            </w:r>
            <w:r>
              <w:rPr>
                <w:rFonts w:hint="eastAsia" w:ascii="宋体" w:hAnsi="宋体" w:eastAsia="宋体" w:cs="宋体"/>
                <w:color w:val="auto"/>
                <w:sz w:val="24"/>
                <w:szCs w:val="24"/>
                <w:highlight w:val="none"/>
                <w:lang w:val="en-US" w:eastAsia="zh-CN"/>
              </w:rPr>
              <w:t>≥1000：1。</w:t>
            </w:r>
          </w:p>
          <w:p w14:paraId="3BB3B669">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3.内置智能系统，可快速读取显示屏信息，包括屏幕背光源、亮度、对比度、分辨率等基本信息。</w:t>
            </w:r>
          </w:p>
          <w:p w14:paraId="20894354">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4.LCD显示单元响应时间≤8ms，显示色彩达到16.7M，亮度达到500cd/㎡，图像显示清晰度达到1000TVL。</w:t>
            </w:r>
          </w:p>
          <w:p w14:paraId="77FB48A3">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5.支持通过客户端和软件控制屏幕，不需要遥控器的接入，实现遥控器的所有功能。</w:t>
            </w:r>
          </w:p>
          <w:p w14:paraId="4CFBF39E">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.可通过客户端或菜单设置屏幕ID，ID属性包含行、列，实现自动分配ID。</w:t>
            </w:r>
          </w:p>
          <w:p w14:paraId="62EC55B0">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.内置MPEG、JPEG和Realmedia解码器，支持点播U盘、移动硬盘中的视频、图片、音频或文本资源。</w:t>
            </w:r>
          </w:p>
          <w:p w14:paraId="6E1AAD53">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.设备支持不断电待机功能，当无任何信号输入时，设备在规定时间内自动待机节能，当有信号接入时，设备能快速开机，正常显示。待机功耗低于0.5W</w:t>
            </w:r>
          </w:p>
          <w:p w14:paraId="6BBD03C4">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.屏幕支持防灼烧功能，能够有效改善液晶长时间显示静态画面时造成的残影现象。</w:t>
            </w:r>
          </w:p>
          <w:p w14:paraId="06C585EB">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.拼接屏具备智能温控功能，当屏幕温度在55-60℃之间时，会提醒用户温度过高，请及时通风；当温度超过60℃，屏幕会立即进入休眠状态；等温度降至50℃以下会被唤醒或者通过遥控器主动唤醒。</w:t>
            </w:r>
          </w:p>
          <w:p w14:paraId="3F16D650">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center"/>
          </w:tcPr>
          <w:p w14:paraId="5F69CAEA">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3*3套</w:t>
            </w:r>
          </w:p>
        </w:tc>
        <w:tc>
          <w:tcPr>
            <w:tcW w:w="0" w:type="auto"/>
            <w:noWrap w:val="0"/>
            <w:tcMar>
              <w:top w:w="60" w:type="dxa"/>
              <w:left w:w="120" w:type="dxa"/>
              <w:bottom w:w="30" w:type="dxa"/>
              <w:right w:w="120" w:type="dxa"/>
            </w:tcMar>
            <w:vAlign w:val="center"/>
          </w:tcPr>
          <w:p w14:paraId="22FED6B3">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39500（</w:t>
            </w:r>
            <w:r>
              <w:rPr>
                <w:rFonts w:hint="eastAsia" w:ascii="宋体" w:hAnsi="宋体" w:eastAsia="宋体" w:cs="宋体"/>
                <w:b/>
                <w:bCs/>
                <w:color w:val="auto"/>
                <w:sz w:val="24"/>
                <w:szCs w:val="24"/>
                <w:highlight w:val="none"/>
                <w:lang w:val="en-US" w:eastAsia="zh-CN"/>
              </w:rPr>
              <w:t>3*3拼接屏，包含支架、座底</w:t>
            </w:r>
            <w:r>
              <w:rPr>
                <w:rFonts w:hint="eastAsia" w:ascii="宋体" w:hAnsi="宋体" w:eastAsia="宋体" w:cs="宋体"/>
                <w:color w:val="auto"/>
                <w:sz w:val="24"/>
                <w:szCs w:val="24"/>
                <w:highlight w:val="none"/>
                <w:lang w:val="en-US" w:eastAsia="zh-CN"/>
              </w:rPr>
              <w:t>）</w:t>
            </w:r>
          </w:p>
        </w:tc>
      </w:tr>
      <w:tr w14:paraId="2129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593D3860">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0" w:type="auto"/>
            <w:noWrap w:val="0"/>
            <w:tcMar>
              <w:top w:w="60" w:type="dxa"/>
              <w:left w:w="120" w:type="dxa"/>
              <w:bottom w:w="30" w:type="dxa"/>
              <w:right w:w="120" w:type="dxa"/>
            </w:tcMar>
            <w:vAlign w:val="center"/>
          </w:tcPr>
          <w:p w14:paraId="143BCC76">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工作站</w:t>
            </w:r>
            <w:r>
              <w:rPr>
                <w:rFonts w:hint="eastAsia" w:ascii="宋体" w:hAnsi="宋体" w:eastAsia="宋体" w:cs="宋体"/>
                <w:color w:val="auto"/>
                <w:sz w:val="24"/>
                <w:szCs w:val="24"/>
                <w:highlight w:val="none"/>
                <w:lang w:val="en-US" w:eastAsia="zh-CN"/>
              </w:rPr>
              <w:t>）</w:t>
            </w:r>
          </w:p>
          <w:p w14:paraId="099AB709">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（晋阳院区两台，抚琴院区一台）</w:t>
            </w:r>
          </w:p>
        </w:tc>
        <w:tc>
          <w:tcPr>
            <w:tcW w:w="0" w:type="auto"/>
            <w:noWrap w:val="0"/>
            <w:tcMar>
              <w:top w:w="60" w:type="dxa"/>
              <w:left w:w="120" w:type="dxa"/>
              <w:bottom w:w="30" w:type="dxa"/>
              <w:right w:w="120" w:type="dxa"/>
            </w:tcMar>
            <w:vAlign w:val="center"/>
          </w:tcPr>
          <w:p w14:paraId="0FC09A3E">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center"/>
          </w:tcPr>
          <w:p w14:paraId="275F108C">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1.核心/线程：14核20线程</w:t>
            </w:r>
          </w:p>
          <w:p w14:paraId="456DB37B">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2.内存配置容量≥32GB；</w:t>
            </w:r>
          </w:p>
          <w:p w14:paraId="3856D182">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3.硬盘容量≥512G</w:t>
            </w:r>
          </w:p>
          <w:p w14:paraId="30671D4A">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p>
        </w:tc>
        <w:tc>
          <w:tcPr>
            <w:tcW w:w="0" w:type="auto"/>
            <w:noWrap w:val="0"/>
            <w:tcMar>
              <w:top w:w="60" w:type="dxa"/>
              <w:left w:w="120" w:type="dxa"/>
              <w:bottom w:w="30" w:type="dxa"/>
              <w:right w:w="120" w:type="dxa"/>
            </w:tcMar>
            <w:vAlign w:val="center"/>
          </w:tcPr>
          <w:p w14:paraId="00D88342">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台</w:t>
            </w:r>
          </w:p>
        </w:tc>
        <w:tc>
          <w:tcPr>
            <w:tcW w:w="0" w:type="auto"/>
            <w:noWrap w:val="0"/>
            <w:tcMar>
              <w:top w:w="60" w:type="dxa"/>
              <w:left w:w="120" w:type="dxa"/>
              <w:bottom w:w="30" w:type="dxa"/>
              <w:right w:w="120" w:type="dxa"/>
            </w:tcMar>
            <w:vAlign w:val="center"/>
          </w:tcPr>
          <w:p w14:paraId="3BCBAE76">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27000</w:t>
            </w:r>
          </w:p>
        </w:tc>
      </w:tr>
      <w:tr w14:paraId="4F3E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61928C05">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0" w:type="auto"/>
            <w:noWrap w:val="0"/>
            <w:tcMar>
              <w:top w:w="60" w:type="dxa"/>
              <w:left w:w="120" w:type="dxa"/>
              <w:bottom w:w="30" w:type="dxa"/>
              <w:right w:w="120" w:type="dxa"/>
            </w:tcMar>
            <w:vAlign w:val="center"/>
          </w:tcPr>
          <w:p w14:paraId="03100775">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交换机（24口千兆）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抚琴院区</w:t>
            </w:r>
            <w:r>
              <w:rPr>
                <w:rFonts w:hint="eastAsia" w:ascii="宋体" w:hAnsi="宋体" w:eastAsia="宋体" w:cs="宋体"/>
                <w:color w:val="auto"/>
                <w:sz w:val="24"/>
                <w:szCs w:val="24"/>
                <w:highlight w:val="none"/>
                <w:lang w:eastAsia="zh-CN"/>
              </w:rPr>
              <w:t>）</w:t>
            </w:r>
          </w:p>
        </w:tc>
        <w:tc>
          <w:tcPr>
            <w:tcW w:w="0" w:type="auto"/>
            <w:noWrap w:val="0"/>
            <w:tcMar>
              <w:top w:w="60" w:type="dxa"/>
              <w:left w:w="120" w:type="dxa"/>
              <w:bottom w:w="30" w:type="dxa"/>
              <w:right w:w="120" w:type="dxa"/>
            </w:tcMar>
            <w:vAlign w:val="center"/>
          </w:tcPr>
          <w:p w14:paraId="2252D3FA">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rPr>
            </w:pPr>
          </w:p>
        </w:tc>
        <w:tc>
          <w:tcPr>
            <w:tcW w:w="0" w:type="auto"/>
            <w:noWrap w:val="0"/>
            <w:tcMar>
              <w:top w:w="60" w:type="dxa"/>
              <w:left w:w="120" w:type="dxa"/>
              <w:bottom w:w="30" w:type="dxa"/>
              <w:right w:w="120" w:type="dxa"/>
            </w:tcMar>
            <w:vAlign w:val="center"/>
          </w:tcPr>
          <w:p w14:paraId="06DFA626">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，三层网管交换机交换容量≥3.36Tbps，转发性能≥126Mpps；</w:t>
            </w:r>
          </w:p>
          <w:p w14:paraId="72AE26C7">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2.可用千兆电接口数量≥24</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lang w:val="en-US" w:eastAsia="zh-CN"/>
              </w:rPr>
              <w:t>，万兆光接口数≥4</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lang w:val="en-US" w:eastAsia="zh-CN"/>
              </w:rPr>
              <w:t>，</w:t>
            </w:r>
          </w:p>
          <w:p w14:paraId="5391A36A">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3.支持IPv4/IPv6双协议栈,支持多种隧道技术，支持IPv4/IPv6的组播技术；</w:t>
            </w:r>
          </w:p>
          <w:p w14:paraId="26F0C74E">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4.支持标准和扩展ACL；支持基于VLAN的ACL；</w:t>
            </w:r>
          </w:p>
          <w:p w14:paraId="1D8DDDE7">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5.支持CPU保护技术支持VRRP、RRPP、ERPS；</w:t>
            </w:r>
          </w:p>
        </w:tc>
        <w:tc>
          <w:tcPr>
            <w:tcW w:w="0" w:type="auto"/>
            <w:noWrap w:val="0"/>
            <w:tcMar>
              <w:top w:w="60" w:type="dxa"/>
              <w:left w:w="120" w:type="dxa"/>
              <w:bottom w:w="30" w:type="dxa"/>
              <w:right w:w="120" w:type="dxa"/>
            </w:tcMar>
            <w:vAlign w:val="center"/>
          </w:tcPr>
          <w:p w14:paraId="06B540B5">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c>
          <w:tcPr>
            <w:tcW w:w="0" w:type="auto"/>
            <w:noWrap w:val="0"/>
            <w:tcMar>
              <w:top w:w="60" w:type="dxa"/>
              <w:left w:w="120" w:type="dxa"/>
              <w:bottom w:w="30" w:type="dxa"/>
              <w:right w:w="120" w:type="dxa"/>
            </w:tcMar>
            <w:vAlign w:val="center"/>
          </w:tcPr>
          <w:p w14:paraId="4A461072">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8000</w:t>
            </w:r>
          </w:p>
        </w:tc>
      </w:tr>
      <w:tr w14:paraId="522F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0183A3DD">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0" w:type="auto"/>
            <w:noWrap w:val="0"/>
            <w:tcMar>
              <w:top w:w="60" w:type="dxa"/>
              <w:left w:w="120" w:type="dxa"/>
              <w:bottom w:w="30" w:type="dxa"/>
              <w:right w:w="120" w:type="dxa"/>
            </w:tcMar>
            <w:vAlign w:val="center"/>
          </w:tcPr>
          <w:p w14:paraId="45D5CB1B">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
              </w:rPr>
              <w:t>平台服务器</w:t>
            </w:r>
            <w:r>
              <w:rPr>
                <w:rFonts w:hint="eastAsia" w:ascii="宋体" w:hAnsi="宋体" w:eastAsia="宋体" w:cs="宋体"/>
                <w:i w:val="0"/>
                <w:iCs w:val="0"/>
                <w:color w:val="auto"/>
                <w:kern w:val="2"/>
                <w:sz w:val="24"/>
                <w:szCs w:val="24"/>
                <w:highlight w:val="none"/>
                <w:u w:val="none"/>
                <w:lang w:val="en-US" w:eastAsia="zh-CN" w:bidi="ar"/>
              </w:rPr>
              <w:t>（抚琴院区）</w:t>
            </w:r>
          </w:p>
        </w:tc>
        <w:tc>
          <w:tcPr>
            <w:tcW w:w="0" w:type="auto"/>
            <w:noWrap w:val="0"/>
            <w:tcMar>
              <w:top w:w="60" w:type="dxa"/>
              <w:left w:w="120" w:type="dxa"/>
              <w:bottom w:w="30" w:type="dxa"/>
              <w:right w:w="120" w:type="dxa"/>
            </w:tcMar>
            <w:vAlign w:val="center"/>
          </w:tcPr>
          <w:p w14:paraId="520897D1">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与其他院区设备匹配</w:t>
            </w:r>
          </w:p>
        </w:tc>
        <w:tc>
          <w:tcPr>
            <w:tcW w:w="0" w:type="auto"/>
            <w:noWrap w:val="0"/>
            <w:tcMar>
              <w:top w:w="60" w:type="dxa"/>
              <w:left w:w="120" w:type="dxa"/>
              <w:bottom w:w="30" w:type="dxa"/>
              <w:right w:w="120" w:type="dxa"/>
            </w:tcMar>
            <w:vAlign w:val="center"/>
          </w:tcPr>
          <w:p w14:paraId="208FE47A">
            <w:pPr>
              <w:keepNext w:val="0"/>
              <w:keepLines w:val="0"/>
              <w:pageBreakBefore w:val="0"/>
              <w:widowControl/>
              <w:numPr>
                <w:ilvl w:val="0"/>
                <w:numId w:val="4"/>
              </w:numPr>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配置处理器≥1颗，单处理器物理核心数≥12核，主频≥2.4GHz</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2、内存配置≥32GDDR4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3、硬盘配置≥</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块600G10KSAS硬盘</w:t>
            </w:r>
            <w:r>
              <w:rPr>
                <w:rFonts w:hint="eastAsia" w:ascii="宋体" w:hAnsi="宋体" w:eastAsia="宋体" w:cs="宋体"/>
                <w:color w:val="auto"/>
                <w:sz w:val="24"/>
                <w:szCs w:val="24"/>
                <w:highlight w:val="none"/>
                <w:lang w:val="en-US" w:eastAsia="zh-CN"/>
              </w:rPr>
              <w:t>；</w:t>
            </w:r>
          </w:p>
          <w:p w14:paraId="67116438">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服务器需完成安防管理平台部署。</w:t>
            </w:r>
          </w:p>
          <w:p w14:paraId="5EB6A1EE">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5、安防管理</w:t>
            </w:r>
            <w:r>
              <w:rPr>
                <w:rFonts w:hint="eastAsia" w:ascii="宋体" w:hAnsi="宋体" w:eastAsia="宋体" w:cs="宋体"/>
                <w:color w:val="auto"/>
                <w:sz w:val="24"/>
                <w:szCs w:val="24"/>
                <w:highlight w:val="none"/>
                <w:lang w:val="en-US" w:eastAsia="zh-CN"/>
              </w:rPr>
              <w:t>平台基础功能应涵盖七大管理模块：组织、区域、人员、车辆、设备、用户及事件处理。支持各类基础信息的增删改查、导入导出，并具备人员生物特征采集、设备统一接入、角色权限配置、用户安全管控及报警事件处置等专项功能。同时提供行业数据动态建模、多数据库适配、数据集成查询与安全加密等五大基础服务能力。</w:t>
            </w:r>
          </w:p>
          <w:p w14:paraId="66595571">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6、安防管理平台</w:t>
            </w:r>
            <w:r>
              <w:rPr>
                <w:rFonts w:hint="eastAsia" w:ascii="宋体" w:hAnsi="宋体" w:eastAsia="宋体" w:cs="宋体"/>
                <w:color w:val="auto"/>
                <w:sz w:val="24"/>
                <w:szCs w:val="24"/>
                <w:highlight w:val="none"/>
                <w:lang w:val="en-US" w:eastAsia="zh-CN"/>
              </w:rPr>
              <w:t>支持根据用户使用习惯自定义配置快捷功能入口，支持首页投放大屏展示，支持最近7天每日的用户活跃数统计；</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需</w:t>
            </w:r>
            <w:r>
              <w:rPr>
                <w:rFonts w:hint="eastAsia" w:ascii="宋体" w:hAnsi="宋体" w:eastAsia="宋体" w:cs="宋体"/>
                <w:bCs w:val="0"/>
                <w:color w:val="auto"/>
                <w:sz w:val="24"/>
                <w:szCs w:val="24"/>
                <w:highlight w:val="none"/>
                <w:u w:val="none"/>
                <w:lang w:val="en-US" w:eastAsia="zh-CN"/>
              </w:rPr>
              <w:t>提供国家认可的第三方检测机构出具的检测报告佐证材料</w:t>
            </w:r>
            <w:r>
              <w:rPr>
                <w:rFonts w:hint="eastAsia" w:ascii="宋体" w:hAnsi="宋体" w:eastAsia="宋体" w:cs="宋体"/>
                <w:color w:val="auto"/>
                <w:sz w:val="24"/>
                <w:szCs w:val="24"/>
                <w:highlight w:val="none"/>
                <w:u w:val="none"/>
                <w:lang w:eastAsia="zh-CN"/>
              </w:rPr>
              <w:t>）</w:t>
            </w:r>
          </w:p>
          <w:p w14:paraId="5FB31456">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视频监控应用提供视频管理服务，支持编码设备通过设备网络SDK协议、GB28181协议、ONVIF协议接入平台，实现视频预览、录像回放、视频上墙、视频事件监控服务能力，并且在网络带宽不足、有流量限制的网络环境下可以通过以图片替代视频的模式提供监控服务。</w:t>
            </w:r>
          </w:p>
          <w:p w14:paraId="0DEE53DA">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、支持对监控点、编码设备的在线状态进行设备巡检，并以统计图方式展示巡检结果；</w:t>
            </w:r>
          </w:p>
          <w:p w14:paraId="5CE522AE">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、支持以脸搜脸，对人脸图片进行检索，检索结果支持列表模式和地图模式，地图模式可以按照时间顺序形成人脸轨迹，用于描述目标人员在该区域的移动路线。</w:t>
            </w:r>
          </w:p>
          <w:p w14:paraId="0D8081B8">
            <w:pPr>
              <w:keepNext w:val="0"/>
              <w:keepLines w:val="0"/>
              <w:pageBreakBefore w:val="0"/>
              <w:widowControl/>
              <w:numPr>
                <w:ilvl w:val="0"/>
                <w:numId w:val="0"/>
              </w:numPr>
              <w:suppressLineNumbers w:val="0"/>
              <w:kinsoku/>
              <w:bidi w:val="0"/>
              <w:spacing w:line="360" w:lineRule="auto"/>
              <w:jc w:val="both"/>
              <w:textAlignment w:val="center"/>
              <w:rPr>
                <w:rFonts w:hint="eastAsia" w:ascii="宋体" w:hAnsi="宋体" w:eastAsia="宋体" w:cs="宋体"/>
                <w:color w:val="auto"/>
                <w:sz w:val="24"/>
                <w:szCs w:val="24"/>
                <w:highlight w:val="none"/>
              </w:rPr>
            </w:pPr>
          </w:p>
        </w:tc>
        <w:tc>
          <w:tcPr>
            <w:tcW w:w="0" w:type="auto"/>
            <w:noWrap w:val="0"/>
            <w:tcMar>
              <w:top w:w="60" w:type="dxa"/>
              <w:left w:w="120" w:type="dxa"/>
              <w:bottom w:w="30" w:type="dxa"/>
              <w:right w:w="120" w:type="dxa"/>
            </w:tcMar>
            <w:vAlign w:val="center"/>
          </w:tcPr>
          <w:p w14:paraId="4BEF6099">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c>
          <w:tcPr>
            <w:tcW w:w="0" w:type="auto"/>
            <w:noWrap w:val="0"/>
            <w:tcMar>
              <w:top w:w="60" w:type="dxa"/>
              <w:left w:w="120" w:type="dxa"/>
              <w:bottom w:w="30" w:type="dxa"/>
              <w:right w:w="120" w:type="dxa"/>
            </w:tcMar>
            <w:vAlign w:val="center"/>
          </w:tcPr>
          <w:p w14:paraId="3E4020D1">
            <w:pPr>
              <w:keepNext w:val="0"/>
              <w:keepLines w:val="0"/>
              <w:pageBreakBefore w:val="0"/>
              <w:widowControl/>
              <w:suppressLineNumbers w:val="0"/>
              <w:kinsoku/>
              <w:bidi w:val="0"/>
              <w:spacing w:line="360" w:lineRule="auto"/>
              <w:jc w:val="both"/>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50000（</w:t>
            </w:r>
            <w:r>
              <w:rPr>
                <w:rFonts w:hint="eastAsia" w:ascii="宋体" w:hAnsi="宋体" w:eastAsia="宋体" w:cs="宋体"/>
                <w:b/>
                <w:bCs/>
                <w:color w:val="auto"/>
                <w:sz w:val="24"/>
                <w:szCs w:val="24"/>
                <w:highlight w:val="none"/>
                <w:lang w:val="en-US" w:eastAsia="zh-CN"/>
              </w:rPr>
              <w:t>安装医院智慧管理平台，观澜大模型和文搜永久授权。500路监控点、50路门禁点。</w:t>
            </w:r>
          </w:p>
          <w:p w14:paraId="52970F1C">
            <w:pPr>
              <w:keepNext w:val="0"/>
              <w:keepLines w:val="0"/>
              <w:pageBreakBefore w:val="0"/>
              <w:widowControl/>
              <w:suppressLineNumbers w:val="0"/>
              <w:kinsoku/>
              <w:bidi w:val="0"/>
              <w:spacing w:line="360" w:lineRule="auto"/>
              <w:jc w:val="both"/>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328D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0" w:type="auto"/>
            <w:noWrap w:val="0"/>
            <w:tcMar>
              <w:top w:w="60" w:type="dxa"/>
              <w:left w:w="120" w:type="dxa"/>
              <w:bottom w:w="30" w:type="dxa"/>
              <w:right w:w="120" w:type="dxa"/>
            </w:tcMar>
            <w:vAlign w:val="center"/>
          </w:tcPr>
          <w:p w14:paraId="07AFBE09">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0" w:type="auto"/>
            <w:noWrap w:val="0"/>
            <w:tcMar>
              <w:top w:w="60" w:type="dxa"/>
              <w:left w:w="120" w:type="dxa"/>
              <w:bottom w:w="30" w:type="dxa"/>
              <w:right w:w="120" w:type="dxa"/>
            </w:tcMar>
            <w:vAlign w:val="center"/>
          </w:tcPr>
          <w:p w14:paraId="00F845CF">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院区周界监控线路恢复</w:t>
            </w:r>
            <w:r>
              <w:rPr>
                <w:rFonts w:hint="eastAsia" w:ascii="宋体" w:hAnsi="宋体" w:eastAsia="宋体" w:cs="宋体"/>
                <w:color w:val="auto"/>
                <w:sz w:val="24"/>
                <w:szCs w:val="24"/>
                <w:highlight w:val="none"/>
                <w:lang w:val="en-US" w:eastAsia="zh-CN"/>
              </w:rPr>
              <w:t>（晋阳院区）</w:t>
            </w:r>
          </w:p>
        </w:tc>
        <w:tc>
          <w:tcPr>
            <w:tcW w:w="0" w:type="auto"/>
            <w:noWrap w:val="0"/>
            <w:tcMar>
              <w:top w:w="60" w:type="dxa"/>
              <w:left w:w="120" w:type="dxa"/>
              <w:bottom w:w="30" w:type="dxa"/>
              <w:right w:w="120" w:type="dxa"/>
            </w:tcMar>
            <w:vAlign w:val="center"/>
          </w:tcPr>
          <w:p w14:paraId="3DC20B3D">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rPr>
            </w:pPr>
          </w:p>
        </w:tc>
        <w:tc>
          <w:tcPr>
            <w:tcW w:w="0" w:type="auto"/>
            <w:noWrap w:val="0"/>
            <w:tcMar>
              <w:top w:w="60" w:type="dxa"/>
              <w:left w:w="120" w:type="dxa"/>
              <w:bottom w:w="30" w:type="dxa"/>
              <w:right w:w="120" w:type="dxa"/>
            </w:tcMar>
            <w:vAlign w:val="center"/>
          </w:tcPr>
          <w:p w14:paraId="5BC86652">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晋阳院区中控室到周界</w:t>
            </w:r>
            <w:r>
              <w:rPr>
                <w:rFonts w:hint="eastAsia" w:ascii="宋体" w:hAnsi="宋体" w:eastAsia="宋体" w:cs="宋体"/>
                <w:color w:val="auto"/>
                <w:sz w:val="24"/>
                <w:szCs w:val="24"/>
                <w:highlight w:val="none"/>
                <w:lang w:val="en-US" w:eastAsia="zh-CN"/>
              </w:rPr>
              <w:t>多处</w:t>
            </w:r>
            <w:r>
              <w:rPr>
                <w:rFonts w:hint="eastAsia" w:ascii="宋体" w:hAnsi="宋体" w:eastAsia="宋体" w:cs="宋体"/>
                <w:color w:val="auto"/>
                <w:sz w:val="24"/>
                <w:szCs w:val="24"/>
                <w:highlight w:val="none"/>
                <w:lang w:val="en-US" w:eastAsia="zh-CN"/>
              </w:rPr>
              <w:t>监控光缆</w:t>
            </w:r>
            <w:r>
              <w:rPr>
                <w:rFonts w:hint="eastAsia" w:ascii="宋体" w:hAnsi="宋体" w:eastAsia="宋体" w:cs="宋体"/>
                <w:color w:val="auto"/>
                <w:sz w:val="24"/>
                <w:szCs w:val="24"/>
                <w:highlight w:val="none"/>
                <w:lang w:val="en-US" w:eastAsia="zh-CN"/>
              </w:rPr>
              <w:t>敷设及线路维护。</w:t>
            </w:r>
          </w:p>
        </w:tc>
        <w:tc>
          <w:tcPr>
            <w:tcW w:w="0" w:type="auto"/>
            <w:noWrap w:val="0"/>
            <w:tcMar>
              <w:top w:w="60" w:type="dxa"/>
              <w:left w:w="120" w:type="dxa"/>
              <w:bottom w:w="30" w:type="dxa"/>
              <w:right w:w="120" w:type="dxa"/>
            </w:tcMar>
            <w:vAlign w:val="center"/>
          </w:tcPr>
          <w:p w14:paraId="77E74D9C">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500米</w:t>
            </w:r>
          </w:p>
        </w:tc>
        <w:tc>
          <w:tcPr>
            <w:tcW w:w="0" w:type="auto"/>
            <w:noWrap w:val="0"/>
            <w:tcMar>
              <w:top w:w="60" w:type="dxa"/>
              <w:left w:w="120" w:type="dxa"/>
              <w:bottom w:w="30" w:type="dxa"/>
              <w:right w:w="120" w:type="dxa"/>
            </w:tcMar>
            <w:vAlign w:val="center"/>
          </w:tcPr>
          <w:p w14:paraId="7700ED88">
            <w:pPr>
              <w:keepNext w:val="0"/>
              <w:keepLines w:val="0"/>
              <w:pageBreakBefore w:val="0"/>
              <w:kinsoku/>
              <w:bidi w:val="0"/>
              <w:spacing w:before="120" w:after="120"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15000</w:t>
            </w:r>
          </w:p>
        </w:tc>
      </w:tr>
      <w:tr w14:paraId="41F9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7" w:hRule="atLeast"/>
          <w:jc w:val="center"/>
        </w:trPr>
        <w:tc>
          <w:tcPr>
            <w:tcW w:w="0" w:type="auto"/>
            <w:gridSpan w:val="6"/>
            <w:noWrap w:val="0"/>
            <w:tcMar>
              <w:top w:w="60" w:type="dxa"/>
              <w:left w:w="120" w:type="dxa"/>
              <w:bottom w:w="30" w:type="dxa"/>
              <w:right w:w="120" w:type="dxa"/>
            </w:tcMar>
            <w:vAlign w:val="center"/>
          </w:tcPr>
          <w:p w14:paraId="6C912C60">
            <w:pPr>
              <w:keepNext w:val="0"/>
              <w:keepLines w:val="0"/>
              <w:pageBreakBefore w:val="0"/>
              <w:kinsoku/>
              <w:bidi w:val="0"/>
              <w:spacing w:before="120"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该项目</w:t>
            </w:r>
            <w:r>
              <w:rPr>
                <w:rFonts w:hint="eastAsia" w:ascii="宋体" w:hAnsi="宋体" w:eastAsia="宋体" w:cs="宋体"/>
                <w:color w:val="auto"/>
                <w:sz w:val="24"/>
                <w:szCs w:val="24"/>
                <w:highlight w:val="none"/>
                <w:lang w:val="en-US" w:eastAsia="zh-CN"/>
              </w:rPr>
              <w:t>最高限价（含税）：30万</w:t>
            </w:r>
          </w:p>
          <w:p w14:paraId="12EA93A3">
            <w:pPr>
              <w:pStyle w:val="6"/>
              <w:keepNext w:val="0"/>
              <w:keepLines w:val="0"/>
              <w:pageBreakBefore w:val="0"/>
              <w:kinsoku/>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注：供应商以统一折扣率形式报价。中标价格=最高限价*中标统一折扣率，采购人最终结算总价=最高限价*中标统一折扣率。</w:t>
            </w:r>
          </w:p>
        </w:tc>
      </w:tr>
    </w:tbl>
    <w:p w14:paraId="44B9C0F0">
      <w:pPr>
        <w:keepNext w:val="0"/>
        <w:keepLines w:val="0"/>
        <w:pageBreakBefore w:val="0"/>
        <w:widowControl/>
        <w:numPr>
          <w:ilvl w:val="0"/>
          <w:numId w:val="5"/>
        </w:numPr>
        <w:tabs>
          <w:tab w:val="left" w:pos="3573"/>
        </w:tabs>
        <w:kinsoku/>
        <w:bidi w:val="0"/>
        <w:spacing w:line="360" w:lineRule="auto"/>
        <w:ind w:left="-272" w:leftChars="0" w:firstLine="482" w:firstLineChars="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b/>
          <w:bCs/>
          <w:color w:val="auto"/>
          <w:kern w:val="2"/>
          <w:sz w:val="24"/>
          <w:szCs w:val="24"/>
          <w:highlight w:val="none"/>
          <w:lang w:val="en-US" w:eastAsia="zh-CN" w:bidi="ar-SA"/>
        </w:rPr>
        <w:t>商务要求：</w:t>
      </w:r>
    </w:p>
    <w:p w14:paraId="16F5C679">
      <w:pPr>
        <w:pStyle w:val="6"/>
        <w:keepNext w:val="0"/>
        <w:keepLines w:val="0"/>
        <w:pageBreakBefore w:val="0"/>
        <w:numPr>
          <w:ilvl w:val="0"/>
          <w:numId w:val="0"/>
        </w:numPr>
        <w:kinsoku/>
        <w:bidi w:val="0"/>
        <w:spacing w:line="360" w:lineRule="auto"/>
        <w:ind w:left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（一）项目地点：</w:t>
      </w:r>
    </w:p>
    <w:p w14:paraId="469566B2">
      <w:pPr>
        <w:pStyle w:val="6"/>
        <w:keepNext w:val="0"/>
        <w:keepLines w:val="0"/>
        <w:pageBreakBefore w:val="0"/>
        <w:numPr>
          <w:ilvl w:val="0"/>
          <w:numId w:val="0"/>
        </w:numPr>
        <w:kinsoku/>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1.晋阳院区-武侯区沙堰西二街290号</w:t>
      </w:r>
    </w:p>
    <w:p w14:paraId="5B76714E">
      <w:pPr>
        <w:pStyle w:val="6"/>
        <w:keepNext w:val="0"/>
        <w:keepLines w:val="0"/>
        <w:pageBreakBefore w:val="0"/>
        <w:kinsoku/>
        <w:bidi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2.抚琴院区-金牛区抚琴西路338号</w:t>
      </w:r>
    </w:p>
    <w:p w14:paraId="11D7F0CE">
      <w:pPr>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（二）项目需求：</w:t>
      </w:r>
    </w:p>
    <w:p w14:paraId="7BDA83E2">
      <w:pPr>
        <w:pStyle w:val="6"/>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1.更新维护四川省妇幼保健院（抚琴院区）现有监控设备，满足抚琴院区开展临床业务需求，满足医院全域安防集中管控、视频统一调取、运维高效管理的需求，满足智慧医院安防管理标准。</w:t>
      </w:r>
    </w:p>
    <w:p w14:paraId="44501A49">
      <w:pPr>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更新维护四川省妇幼保健院（晋阳院区）现有视频监控系统，合并一期、二期监控系统，满足医院全域数据互通、安防、车辆道闸等集中管控、视频统一调取、运维高效管理的需求。确保升级后系统稳定兼容、功能完备、运维便捷，全力保障医院诊疗、办公、公共区域安防管控工作，满足智慧医院安防管理标准。</w:t>
      </w:r>
    </w:p>
    <w:p w14:paraId="7E1E5234">
      <w:pPr>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（三）支付方式</w:t>
      </w:r>
    </w:p>
    <w:p w14:paraId="1252F312">
      <w:pPr>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分期付款</w:t>
      </w:r>
    </w:p>
    <w:p w14:paraId="590E312D">
      <w:pPr>
        <w:keepNext w:val="0"/>
        <w:keepLines w:val="0"/>
        <w:pageBreakBefore w:val="0"/>
        <w:numPr>
          <w:ilvl w:val="-1"/>
          <w:numId w:val="0"/>
        </w:numPr>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1.完成所有服务内容</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且考核得分≥（85分）</w:t>
      </w:r>
      <w:r>
        <w:rPr>
          <w:rFonts w:hint="eastAsia" w:ascii="宋体" w:hAnsi="宋体" w:eastAsia="宋体" w:cs="宋体"/>
          <w:b w:val="0"/>
          <w:bCs w:val="0"/>
          <w:color w:val="auto"/>
          <w:kern w:val="2"/>
          <w:sz w:val="24"/>
          <w:szCs w:val="24"/>
          <w:highlight w:val="none"/>
          <w:lang w:val="en-US" w:eastAsia="zh-CN" w:bidi="ar-SA"/>
        </w:rPr>
        <w:t>（具体考核标准见附件1：</w:t>
      </w:r>
      <w:bookmarkStart w:id="0" w:name="OLE_LINK1"/>
      <w:r>
        <w:rPr>
          <w:rFonts w:hint="eastAsia" w:ascii="宋体" w:hAnsi="宋体" w:eastAsia="宋体" w:cs="宋体"/>
          <w:b w:val="0"/>
          <w:bCs w:val="0"/>
          <w:color w:val="auto"/>
          <w:kern w:val="2"/>
          <w:sz w:val="24"/>
          <w:szCs w:val="24"/>
          <w:highlight w:val="none"/>
          <w:lang w:val="en-US" w:eastAsia="zh-CN" w:bidi="ar-SA"/>
        </w:rPr>
        <w:t>2026年抚琴、</w:t>
      </w:r>
      <w:r>
        <w:rPr>
          <w:rFonts w:hint="eastAsia" w:ascii="宋体" w:hAnsi="宋体" w:eastAsia="宋体" w:cs="宋体"/>
          <w:b w:val="0"/>
          <w:bCs w:val="0"/>
          <w:color w:val="auto"/>
          <w:kern w:val="2"/>
          <w:sz w:val="24"/>
          <w:szCs w:val="24"/>
          <w:highlight w:val="none"/>
          <w:lang w:val="en-US" w:eastAsia="zh-CN" w:bidi="ar-SA"/>
        </w:rPr>
        <w:t>晋阳院区监控系统改造项目服务考核表），收到供应商出具的合法有效完整的全额完税发票及凭证资料，经采购人确认无误后45个工作日内，支付合同总价的100.00%。</w:t>
      </w:r>
      <w:bookmarkEnd w:id="0"/>
      <w:r>
        <w:rPr>
          <w:rFonts w:hint="eastAsia" w:ascii="宋体" w:hAnsi="宋体" w:eastAsia="宋体" w:cs="宋体"/>
          <w:b w:val="0"/>
          <w:bCs w:val="0"/>
          <w:color w:val="auto"/>
          <w:kern w:val="2"/>
          <w:sz w:val="24"/>
          <w:szCs w:val="24"/>
          <w:highlight w:val="none"/>
          <w:lang w:val="en-US" w:eastAsia="zh-CN" w:bidi="ar-SA"/>
        </w:rPr>
        <w:t>服务考核得分＜85分，视为不合格，采购人有权暂缓付款，要求供应商10个工作日内整改并重新考核，重新考核得分≥85分，支付中标合同总金额100%。若</w:t>
      </w:r>
      <w:bookmarkStart w:id="1" w:name="OLE_LINK2"/>
      <w:r>
        <w:rPr>
          <w:rFonts w:hint="eastAsia" w:ascii="宋体" w:hAnsi="宋体" w:eastAsia="宋体" w:cs="宋体"/>
          <w:b w:val="0"/>
          <w:bCs w:val="0"/>
          <w:color w:val="auto"/>
          <w:kern w:val="2"/>
          <w:sz w:val="24"/>
          <w:szCs w:val="24"/>
          <w:highlight w:val="none"/>
          <w:lang w:val="en-US" w:eastAsia="zh-CN" w:bidi="ar-SA"/>
        </w:rPr>
        <w:t>两次考核仍不合格，采购人有权解除合同并追究供应商合同总价20%的违约金乙方承担由此给甲方带来的一切损失。</w:t>
      </w:r>
      <w:bookmarkEnd w:id="1"/>
    </w:p>
    <w:p w14:paraId="2A4168A0">
      <w:pPr>
        <w:keepNext w:val="0"/>
        <w:keepLines w:val="0"/>
        <w:pageBreakBefore w:val="0"/>
        <w:numPr>
          <w:ilvl w:val="-1"/>
          <w:numId w:val="0"/>
        </w:numPr>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2.说明：本章中的条款为本项目的实质性要求条款（★），供应商应全部满足，否则其投标文件作无效处理。</w:t>
      </w:r>
    </w:p>
    <w:p w14:paraId="7CB90ED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val="en-US" w:eastAsia="zh-CN"/>
        </w:rPr>
        <w:t>（四）履约</w:t>
      </w:r>
      <w:r>
        <w:rPr>
          <w:rFonts w:hint="eastAsia" w:ascii="宋体" w:hAnsi="宋体" w:eastAsia="宋体" w:cs="宋体"/>
          <w:color w:val="auto"/>
          <w:sz w:val="24"/>
          <w:szCs w:val="24"/>
          <w:highlight w:val="none"/>
          <w:shd w:val="clear" w:color="auto" w:fill="FFFFFF"/>
          <w:lang w:val="en-US" w:eastAsia="zh-CN"/>
        </w:rPr>
        <w:t>保证</w:t>
      </w:r>
      <w:r>
        <w:rPr>
          <w:rFonts w:hint="eastAsia" w:ascii="宋体" w:hAnsi="宋体" w:eastAsia="宋体" w:cs="宋体"/>
          <w:color w:val="auto"/>
          <w:sz w:val="24"/>
          <w:szCs w:val="24"/>
          <w:highlight w:val="none"/>
          <w:shd w:val="clear" w:color="auto" w:fill="FFFFFF"/>
          <w:lang w:val="en-US" w:eastAsia="zh-CN"/>
        </w:rPr>
        <w:t>金</w:t>
      </w:r>
      <w:r>
        <w:rPr>
          <w:rFonts w:hint="eastAsia" w:ascii="宋体" w:hAnsi="宋体" w:eastAsia="宋体" w:cs="宋体"/>
          <w:color w:val="auto"/>
          <w:sz w:val="24"/>
          <w:szCs w:val="24"/>
          <w:highlight w:val="none"/>
          <w:shd w:val="clear" w:color="auto" w:fill="FFFFFF"/>
          <w:lang w:eastAsia="zh-CN"/>
        </w:rPr>
        <w:t>：</w:t>
      </w:r>
    </w:p>
    <w:p w14:paraId="703681F2">
      <w:pPr>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kern w:val="2"/>
          <w:sz w:val="24"/>
          <w:szCs w:val="24"/>
          <w:highlight w:val="none"/>
          <w:lang w:val="en-US" w:eastAsia="zh-CN" w:bidi="ar-SA"/>
        </w:rPr>
        <w:t>供应商在采购人发布中标公告之日起，签订合同前，供应商自主选择支票、汇票、本票、保函（保险）或银行转账等非现金形式缴纳履约保证金</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履约保证金按合同总价</w:t>
      </w:r>
      <w:r>
        <w:rPr>
          <w:rFonts w:hint="eastAsia" w:ascii="宋体" w:hAnsi="宋体" w:eastAsia="宋体" w:cs="宋体"/>
          <w:b w:val="0"/>
          <w:bCs w:val="0"/>
          <w:color w:val="auto"/>
          <w:kern w:val="2"/>
          <w:sz w:val="24"/>
          <w:szCs w:val="24"/>
          <w:highlight w:val="none"/>
          <w:lang w:val="en-US" w:eastAsia="zh-CN" w:bidi="ar-SA"/>
        </w:rPr>
        <w:t>的</w:t>
      </w:r>
      <w:r>
        <w:rPr>
          <w:rFonts w:hint="eastAsia" w:ascii="宋体" w:hAnsi="宋体" w:eastAsia="宋体" w:cs="宋体"/>
          <w:b w:val="0"/>
          <w:bCs w:val="0"/>
          <w:color w:val="auto"/>
          <w:kern w:val="2"/>
          <w:sz w:val="24"/>
          <w:szCs w:val="24"/>
          <w:highlight w:val="none"/>
          <w:lang w:val="en-US" w:eastAsia="zh-CN" w:bidi="ar-SA"/>
        </w:rPr>
        <w:t>10%</w:t>
      </w:r>
      <w:r>
        <w:rPr>
          <w:rFonts w:hint="eastAsia" w:ascii="宋体" w:hAnsi="宋体" w:eastAsia="宋体" w:cs="宋体"/>
          <w:b w:val="0"/>
          <w:bCs w:val="0"/>
          <w:color w:val="auto"/>
          <w:kern w:val="2"/>
          <w:sz w:val="24"/>
          <w:szCs w:val="24"/>
          <w:highlight w:val="none"/>
          <w:lang w:val="en-US" w:eastAsia="zh-CN" w:bidi="ar-SA"/>
        </w:rPr>
        <w:t>缴纳</w:t>
      </w:r>
      <w:r>
        <w:rPr>
          <w:rFonts w:hint="eastAsia" w:ascii="宋体" w:hAnsi="宋体" w:eastAsia="宋体" w:cs="宋体"/>
          <w:b w:val="0"/>
          <w:bCs w:val="0"/>
          <w:color w:val="auto"/>
          <w:kern w:val="2"/>
          <w:sz w:val="24"/>
          <w:szCs w:val="24"/>
          <w:highlight w:val="none"/>
          <w:lang w:val="en-US" w:eastAsia="zh-CN" w:bidi="ar-SA"/>
        </w:rPr>
        <w:t>（收款单位：四川省妇幼保健院，纳税人识别号：12510000450718378T；地址：成都市武侯区沙堰西二街290号028-65978221；开户行及账号：建行成都金河支行51001508608050696923）</w:t>
      </w:r>
    </w:p>
    <w:p w14:paraId="3B50FB9F">
      <w:pPr>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eastAsia="宋体" w:cs="宋体"/>
          <w:color w:val="auto"/>
          <w:sz w:val="24"/>
          <w:szCs w:val="24"/>
          <w:highlight w:val="none"/>
          <w:lang w:val="en-US" w:eastAsia="zh-CN"/>
        </w:rPr>
        <w:t>保证金扣罚情形</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出现逾期交付、报告造假、重大隐患瞒报、擅自转包/分包、拒不履约等违约行为，采购人有权扣除全部履约保证金</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bidi="ar-SA"/>
        </w:rPr>
        <w:t>考核</w:t>
      </w:r>
      <w:r>
        <w:rPr>
          <w:rFonts w:hint="eastAsia" w:ascii="宋体" w:hAnsi="宋体" w:eastAsia="宋体" w:cs="宋体"/>
          <w:color w:val="auto"/>
          <w:sz w:val="24"/>
          <w:szCs w:val="24"/>
          <w:highlight w:val="none"/>
        </w:rPr>
        <w:t>合格后一年，</w:t>
      </w:r>
      <w:r>
        <w:rPr>
          <w:rFonts w:hint="eastAsia" w:ascii="宋体" w:hAnsi="宋体" w:eastAsia="宋体" w:cs="宋体"/>
          <w:color w:val="auto"/>
          <w:sz w:val="24"/>
          <w:szCs w:val="24"/>
          <w:highlight w:val="none"/>
          <w:lang w:val="en-US" w:eastAsia="zh-CN"/>
        </w:rPr>
        <w:t>供应商无扣罚情形的，供应商提出付款申请，</w:t>
      </w:r>
      <w:r>
        <w:rPr>
          <w:rFonts w:hint="eastAsia" w:ascii="宋体" w:hAnsi="宋体" w:eastAsia="宋体" w:cs="宋体"/>
          <w:b w:val="0"/>
          <w:bCs w:val="0"/>
          <w:color w:val="auto"/>
          <w:kern w:val="2"/>
          <w:sz w:val="24"/>
          <w:szCs w:val="24"/>
          <w:highlight w:val="none"/>
          <w:lang w:val="en-US" w:eastAsia="zh-CN" w:bidi="ar-SA"/>
        </w:rPr>
        <w:t>采购人接到供应商退还履约保证金申请后</w:t>
      </w:r>
      <w:r>
        <w:rPr>
          <w:rFonts w:hint="eastAsia" w:ascii="宋体" w:hAnsi="宋体" w:eastAsia="宋体" w:cs="宋体"/>
          <w:b w:val="0"/>
          <w:bCs w:val="0"/>
          <w:color w:val="auto"/>
          <w:kern w:val="2"/>
          <w:sz w:val="24"/>
          <w:szCs w:val="24"/>
          <w:highlight w:val="none"/>
          <w:lang w:val="en-US" w:eastAsia="zh-CN" w:bidi="ar-SA"/>
        </w:rPr>
        <w:t>45个工作日</w:t>
      </w:r>
      <w:r>
        <w:rPr>
          <w:rFonts w:hint="eastAsia" w:ascii="宋体" w:hAnsi="宋体" w:eastAsia="宋体" w:cs="宋体"/>
          <w:b w:val="0"/>
          <w:bCs w:val="0"/>
          <w:color w:val="auto"/>
          <w:kern w:val="2"/>
          <w:sz w:val="24"/>
          <w:szCs w:val="24"/>
          <w:highlight w:val="none"/>
          <w:lang w:val="en-US" w:eastAsia="zh-CN" w:bidi="ar-SA"/>
        </w:rPr>
        <w:t>内，采购人一次性无息退还供应商的履约保证金。</w:t>
      </w:r>
    </w:p>
    <w:p w14:paraId="1853097A">
      <w:pPr>
        <w:keepNext w:val="0"/>
        <w:keepLines w:val="0"/>
        <w:pageBreakBefore w:val="0"/>
        <w:kinsoku/>
        <w:bidi w:val="0"/>
        <w:spacing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（五）违约责任</w:t>
      </w:r>
    </w:p>
    <w:p w14:paraId="4386AE32">
      <w:pPr>
        <w:pStyle w:val="11"/>
        <w:keepNext w:val="0"/>
        <w:keepLines w:val="0"/>
        <w:pageBreakBefore w:val="0"/>
        <w:kinsoku/>
        <w:bidi w:val="0"/>
        <w:spacing w:line="360" w:lineRule="auto"/>
        <w:ind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1.供应商存在失信、影响合同履行的行为，按中标合同总价5%扣除失信违约金；</w:t>
      </w:r>
    </w:p>
    <w:p w14:paraId="4CA8C547">
      <w:pPr>
        <w:keepNext w:val="0"/>
        <w:keepLines w:val="0"/>
        <w:pageBreakBefore w:val="0"/>
        <w:kinsoku/>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2.逾期交付成果：每逾期1个工作日，扣除中标合同总价1%违约金；逾期超过15个工作日，采购人有权解除合同、没收履约保证金；</w:t>
      </w:r>
    </w:p>
    <w:p w14:paraId="3A800048">
      <w:pPr>
        <w:pStyle w:val="11"/>
        <w:keepNext w:val="0"/>
        <w:keepLines w:val="0"/>
        <w:pageBreakBefore w:val="0"/>
        <w:kinsoku/>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bidi="ar-SA"/>
        </w:rPr>
        <w:t>严禁转包、违法分包本项目，一经发现立即终止合同、没收履约保证金，并上报行业主管部门。</w:t>
      </w:r>
    </w:p>
    <w:p w14:paraId="4EE23BA4">
      <w:pPr>
        <w:keepNext w:val="0"/>
        <w:keepLines w:val="0"/>
        <w:pageBreakBefore w:val="0"/>
        <w:widowControl/>
        <w:numPr>
          <w:ilvl w:val="0"/>
          <w:numId w:val="5"/>
        </w:numPr>
        <w:kinsoku/>
        <w:bidi w:val="0"/>
        <w:spacing w:line="360" w:lineRule="auto"/>
        <w:ind w:left="-272" w:leftChars="0" w:firstLine="482" w:firstLineChars="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其他要求：</w:t>
      </w:r>
      <w:r>
        <w:rPr>
          <w:rFonts w:hint="eastAsia" w:ascii="宋体" w:hAnsi="宋体" w:eastAsia="宋体" w:cs="宋体"/>
          <w:b w:val="0"/>
          <w:bCs w:val="0"/>
          <w:color w:val="auto"/>
          <w:kern w:val="2"/>
          <w:sz w:val="24"/>
          <w:szCs w:val="24"/>
          <w:highlight w:val="none"/>
          <w:lang w:val="en-US" w:eastAsia="zh-CN" w:bidi="ar-SA"/>
        </w:rPr>
        <w:t>★</w:t>
      </w:r>
    </w:p>
    <w:p w14:paraId="30A1C9C2">
      <w:pPr>
        <w:pStyle w:val="6"/>
        <w:keepNext w:val="0"/>
        <w:keepLines w:val="0"/>
        <w:pageBreakBefore w:val="0"/>
        <w:numPr>
          <w:ilvl w:val="0"/>
          <w:numId w:val="0"/>
        </w:numPr>
        <w:kinsoku/>
        <w:bidi w:val="0"/>
        <w:spacing w:line="360" w:lineRule="auto"/>
        <w:ind w:left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1.所有设备质保期（质保期从验收合格之日起计算）不低于5年，质保期内免费上门维修、更换故障设备，免收人工费、材料费。</w:t>
      </w:r>
    </w:p>
    <w:p w14:paraId="0CA99F0B">
      <w:pPr>
        <w:pStyle w:val="6"/>
        <w:keepNext w:val="0"/>
        <w:keepLines w:val="0"/>
        <w:pageBreakBefore w:val="0"/>
        <w:numPr>
          <w:ilvl w:val="0"/>
          <w:numId w:val="0"/>
        </w:numPr>
        <w:kinsoku/>
        <w:bidi w:val="0"/>
        <w:spacing w:line="360" w:lineRule="auto"/>
        <w:ind w:left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2.供应商提供7*24小时售后响应服务，接到故障报修后，2小时内响应，4小时内上门排查，24小时内解决故障。</w:t>
      </w:r>
    </w:p>
    <w:p w14:paraId="493B552D">
      <w:pPr>
        <w:pStyle w:val="6"/>
        <w:keepNext w:val="0"/>
        <w:keepLines w:val="0"/>
        <w:pageBreakBefore w:val="0"/>
        <w:numPr>
          <w:ilvl w:val="0"/>
          <w:numId w:val="0"/>
        </w:numPr>
        <w:kinsoku/>
        <w:bidi w:val="0"/>
        <w:spacing w:line="360" w:lineRule="auto"/>
        <w:ind w:left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3.项目完工后，对医院运维人员进行</w:t>
      </w:r>
      <w:r>
        <w:rPr>
          <w:rFonts w:hint="eastAsia" w:ascii="宋体" w:hAnsi="宋体" w:eastAsia="宋体" w:cs="宋体"/>
          <w:b w:val="0"/>
          <w:bCs w:val="0"/>
          <w:strike/>
          <w:color w:val="auto"/>
          <w:kern w:val="2"/>
          <w:sz w:val="24"/>
          <w:szCs w:val="24"/>
          <w:highlight w:val="none"/>
          <w:lang w:val="en-US" w:eastAsia="zh-CN" w:bidi="ar-SA"/>
        </w:rPr>
        <w:t>免费</w:t>
      </w:r>
      <w:r>
        <w:rPr>
          <w:rFonts w:hint="eastAsia" w:ascii="宋体" w:hAnsi="宋体" w:eastAsia="宋体" w:cs="宋体"/>
          <w:b w:val="0"/>
          <w:bCs w:val="0"/>
          <w:color w:val="auto"/>
          <w:kern w:val="2"/>
          <w:sz w:val="24"/>
          <w:szCs w:val="24"/>
          <w:highlight w:val="none"/>
          <w:lang w:val="en-US" w:eastAsia="zh-CN" w:bidi="ar-SA"/>
        </w:rPr>
        <w:t>培训，涵盖系统操作、设备运维、故障排查等内容，确保操作人员熟练掌握。</w:t>
      </w:r>
    </w:p>
    <w:p w14:paraId="0DA6AF0E">
      <w:pPr>
        <w:pStyle w:val="6"/>
        <w:keepNext w:val="0"/>
        <w:keepLines w:val="0"/>
        <w:pageBreakBefore w:val="0"/>
        <w:numPr>
          <w:ilvl w:val="0"/>
          <w:numId w:val="0"/>
        </w:numPr>
        <w:kinsoku/>
        <w:bidi w:val="0"/>
        <w:spacing w:line="360" w:lineRule="auto"/>
        <w:ind w:left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4.提供技术支持，其中，质保期满后，仅收取设备</w:t>
      </w:r>
      <w:r>
        <w:rPr>
          <w:rFonts w:hint="eastAsia" w:ascii="宋体" w:hAnsi="宋体" w:eastAsia="宋体" w:cs="宋体"/>
          <w:color w:val="auto"/>
          <w:sz w:val="24"/>
          <w:szCs w:val="24"/>
          <w:highlight w:val="none"/>
          <w:lang w:val="en-US" w:eastAsia="zh-CN"/>
        </w:rPr>
        <w:t>或零配件</w:t>
      </w:r>
      <w:r>
        <w:rPr>
          <w:rFonts w:hint="eastAsia" w:ascii="宋体" w:hAnsi="宋体" w:eastAsia="宋体" w:cs="宋体"/>
          <w:b w:val="0"/>
          <w:bCs w:val="0"/>
          <w:color w:val="auto"/>
          <w:kern w:val="2"/>
          <w:sz w:val="24"/>
          <w:szCs w:val="24"/>
          <w:highlight w:val="none"/>
          <w:lang w:val="en-US" w:eastAsia="zh-CN" w:bidi="ar-SA"/>
        </w:rPr>
        <w:t>成本费，不得收取上门服务费。</w:t>
      </w:r>
    </w:p>
    <w:p w14:paraId="5F927C9E">
      <w:pPr>
        <w:keepNext w:val="0"/>
        <w:keepLines w:val="0"/>
        <w:pageBreakBefore w:val="0"/>
        <w:widowControl/>
        <w:kinsoku/>
        <w:bidi w:val="0"/>
        <w:spacing w:line="360" w:lineRule="auto"/>
        <w:ind w:firstLine="480" w:firstLineChars="200"/>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5.报价为含税全包价，包含设备供货、运输、安装、调试、系统对接、授权、培训、质保、</w:t>
      </w:r>
      <w:r>
        <w:rPr>
          <w:rFonts w:hint="eastAsia" w:ascii="宋体" w:hAnsi="宋体" w:eastAsia="宋体" w:cs="宋体"/>
          <w:b w:val="0"/>
          <w:bCs w:val="0"/>
          <w:color w:val="auto"/>
          <w:kern w:val="2"/>
          <w:sz w:val="24"/>
          <w:szCs w:val="24"/>
          <w:highlight w:val="none"/>
          <w:lang w:val="en-US" w:eastAsia="zh-CN" w:bidi="ar-SA"/>
        </w:rPr>
        <w:t>技术支持、</w:t>
      </w:r>
      <w:r>
        <w:rPr>
          <w:rFonts w:hint="eastAsia" w:ascii="宋体" w:hAnsi="宋体" w:eastAsia="宋体" w:cs="宋体"/>
          <w:b w:val="0"/>
          <w:bCs w:val="0"/>
          <w:color w:val="auto"/>
          <w:kern w:val="2"/>
          <w:sz w:val="24"/>
          <w:szCs w:val="24"/>
          <w:highlight w:val="none"/>
          <w:lang w:val="en-US" w:eastAsia="zh-CN" w:bidi="ar-SA"/>
        </w:rPr>
        <w:t>辅材等全部费用，无需额外支付其他费用。</w:t>
      </w:r>
    </w:p>
    <w:p w14:paraId="1A1D41DA">
      <w:pPr>
        <w:pStyle w:val="6"/>
        <w:keepNext w:val="0"/>
        <w:keepLines w:val="0"/>
        <w:pageBreakBefore w:val="0"/>
        <w:kinsoku/>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6.说明：本章中的条款为本项目的实质性要求条款（★），供应商应全部满足，否则其投标文件作无效处理。</w:t>
      </w:r>
    </w:p>
    <w:p w14:paraId="1C447D5A">
      <w:pPr>
        <w:keepNext w:val="0"/>
        <w:keepLines w:val="0"/>
        <w:pageBreakBefore w:val="0"/>
        <w:widowControl/>
        <w:kinsoku/>
        <w:wordWrap/>
        <w:overflowPunct/>
        <w:topLinePunct w:val="0"/>
        <w:autoSpaceDE/>
        <w:autoSpaceDN/>
        <w:bidi w:val="0"/>
        <w:snapToGrid/>
        <w:spacing w:beforeAutospacing="0" w:afterAutospacing="0" w:line="360" w:lineRule="auto"/>
        <w:ind w:firstLine="241" w:firstLineChars="100"/>
        <w:jc w:val="both"/>
        <w:textAlignment w:val="auto"/>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四、</w:t>
      </w:r>
      <w:r>
        <w:rPr>
          <w:rFonts w:hint="eastAsia" w:ascii="宋体" w:hAnsi="宋体" w:eastAsia="宋体" w:cs="宋体"/>
          <w:b/>
          <w:bCs/>
          <w:color w:val="auto"/>
          <w:kern w:val="0"/>
          <w:sz w:val="24"/>
          <w:szCs w:val="24"/>
          <w:highlight w:val="none"/>
          <w:lang w:val="en-US" w:eastAsia="zh-CN"/>
        </w:rPr>
        <w:t>《响应文件》的评审</w:t>
      </w:r>
    </w:p>
    <w:p w14:paraId="3191AB7D">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1.由</w:t>
      </w:r>
      <w:r>
        <w:rPr>
          <w:rFonts w:hint="eastAsia" w:ascii="宋体" w:hAnsi="宋体" w:eastAsia="宋体" w:cs="宋体"/>
          <w:color w:val="auto"/>
          <w:kern w:val="0"/>
          <w:sz w:val="24"/>
          <w:szCs w:val="24"/>
          <w:highlight w:val="none"/>
          <w:lang w:val="en-US" w:eastAsia="zh-CN"/>
        </w:rPr>
        <w:t>招标采购部</w:t>
      </w:r>
      <w:r>
        <w:rPr>
          <w:rFonts w:hint="eastAsia" w:ascii="宋体" w:hAnsi="宋体" w:eastAsia="宋体" w:cs="宋体"/>
          <w:color w:val="auto"/>
          <w:kern w:val="0"/>
          <w:sz w:val="24"/>
          <w:szCs w:val="24"/>
          <w:highlight w:val="none"/>
          <w:lang w:val="en-US" w:eastAsia="zh-CN"/>
        </w:rPr>
        <w:t>组织</w:t>
      </w:r>
      <w:r>
        <w:rPr>
          <w:rFonts w:hint="eastAsia" w:ascii="宋体" w:hAnsi="宋体" w:eastAsia="宋体" w:cs="宋体"/>
          <w:color w:val="auto"/>
          <w:kern w:val="0"/>
          <w:sz w:val="24"/>
          <w:szCs w:val="24"/>
          <w:highlight w:val="none"/>
        </w:rPr>
        <w:t>成立评审</w:t>
      </w:r>
      <w:r>
        <w:rPr>
          <w:rFonts w:hint="eastAsia" w:ascii="宋体" w:hAnsi="宋体" w:eastAsia="宋体" w:cs="宋体"/>
          <w:color w:val="auto"/>
          <w:kern w:val="0"/>
          <w:sz w:val="24"/>
          <w:szCs w:val="24"/>
          <w:highlight w:val="none"/>
          <w:lang w:val="en-US" w:eastAsia="zh-CN"/>
        </w:rPr>
        <w:t>小组</w:t>
      </w:r>
      <w:r>
        <w:rPr>
          <w:rFonts w:hint="eastAsia" w:ascii="宋体" w:hAnsi="宋体" w:eastAsia="宋体" w:cs="宋体"/>
          <w:color w:val="auto"/>
          <w:kern w:val="0"/>
          <w:sz w:val="24"/>
          <w:szCs w:val="24"/>
          <w:highlight w:val="none"/>
        </w:rPr>
        <w:t>，对《</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kern w:val="0"/>
          <w:sz w:val="24"/>
          <w:szCs w:val="24"/>
          <w:highlight w:val="none"/>
        </w:rPr>
        <w:t>。</w:t>
      </w:r>
    </w:p>
    <w:p w14:paraId="1D6AB925">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2.评审方法</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本项采用</w:t>
      </w:r>
      <w:r>
        <w:rPr>
          <w:rFonts w:hint="eastAsia" w:ascii="宋体" w:hAnsi="宋体" w:eastAsia="宋体" w:cs="宋体"/>
          <w:color w:val="auto"/>
          <w:kern w:val="0"/>
          <w:sz w:val="24"/>
          <w:szCs w:val="24"/>
          <w:highlight w:val="none"/>
          <w:lang w:val="en-US" w:eastAsia="zh-CN"/>
        </w:rPr>
        <w:t>综合评分法</w:t>
      </w:r>
      <w:r>
        <w:rPr>
          <w:rFonts w:hint="eastAsia" w:ascii="宋体" w:hAnsi="宋体" w:eastAsia="宋体" w:cs="宋体"/>
          <w:color w:val="auto"/>
          <w:kern w:val="0"/>
          <w:sz w:val="24"/>
          <w:szCs w:val="24"/>
          <w:highlight w:val="none"/>
          <w:lang w:eastAsia="zh-CN"/>
        </w:rPr>
        <w:t>。</w:t>
      </w:r>
    </w:p>
    <w:p w14:paraId="1EA2FF90">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综合评分明细表</w:t>
      </w:r>
    </w:p>
    <w:p w14:paraId="79AC7E7B">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val="en-US" w:eastAsia="zh-CN"/>
        </w:rPr>
      </w:pPr>
    </w:p>
    <w:p w14:paraId="460ADD8D">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val="en-US" w:eastAsia="zh-CN"/>
        </w:rPr>
      </w:pPr>
    </w:p>
    <w:p w14:paraId="489ABE71">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val="en-US" w:eastAsia="zh-CN"/>
        </w:rPr>
      </w:pPr>
    </w:p>
    <w:p w14:paraId="177C42D3">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val="en-US" w:eastAsia="zh-CN"/>
        </w:rPr>
      </w:pPr>
    </w:p>
    <w:tbl>
      <w:tblPr>
        <w:tblStyle w:val="16"/>
        <w:tblW w:w="9675" w:type="dxa"/>
        <w:tblInd w:w="-5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18"/>
        <w:gridCol w:w="645"/>
        <w:gridCol w:w="6660"/>
        <w:gridCol w:w="855"/>
      </w:tblGrid>
      <w:tr w14:paraId="45B1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675" w:type="dxa"/>
            <w:gridSpan w:val="5"/>
            <w:noWrap w:val="0"/>
            <w:vAlign w:val="center"/>
          </w:tcPr>
          <w:p w14:paraId="76AB3AE2">
            <w:pPr>
              <w:keepNext w:val="0"/>
              <w:keepLines w:val="0"/>
              <w:pageBreakBefore w:val="0"/>
              <w:widowControl/>
              <w:kinsoku/>
              <w:bidi w:val="0"/>
              <w:spacing w:line="360" w:lineRule="auto"/>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rPr>
              <w:t>评分实施细则（根据项目实际情况进行增减）</w:t>
            </w:r>
          </w:p>
        </w:tc>
      </w:tr>
      <w:tr w14:paraId="1E8D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2BF82552">
            <w:pPr>
              <w:keepNext w:val="0"/>
              <w:keepLines w:val="0"/>
              <w:pageBreakBefore w:val="0"/>
              <w:kinsoku/>
              <w:wordWrap w:val="0"/>
              <w:overflowPunct w:val="0"/>
              <w:topLinePunct/>
              <w:bidi w:val="0"/>
              <w:spacing w:line="360" w:lineRule="auto"/>
              <w:jc w:val="center"/>
              <w:textAlignment w:val="center"/>
              <w:rPr>
                <w:rFonts w:hint="eastAsia" w:ascii="宋体" w:hAnsi="宋体" w:eastAsia="宋体" w:cs="宋体"/>
                <w:bCs/>
                <w:color w:val="000000"/>
                <w:sz w:val="24"/>
                <w:szCs w:val="24"/>
              </w:rPr>
            </w:pPr>
            <w:r>
              <w:rPr>
                <w:rFonts w:hint="eastAsia" w:ascii="宋体" w:hAnsi="宋体" w:eastAsia="宋体" w:cs="宋体"/>
                <w:bCs/>
                <w:sz w:val="24"/>
                <w:szCs w:val="24"/>
              </w:rPr>
              <w:t>序号</w:t>
            </w:r>
          </w:p>
        </w:tc>
        <w:tc>
          <w:tcPr>
            <w:tcW w:w="718" w:type="dxa"/>
            <w:noWrap w:val="0"/>
            <w:vAlign w:val="center"/>
          </w:tcPr>
          <w:p w14:paraId="63F3E3DC">
            <w:pPr>
              <w:keepNext w:val="0"/>
              <w:keepLines w:val="0"/>
              <w:pageBreakBefore w:val="0"/>
              <w:kinsoku/>
              <w:wordWrap w:val="0"/>
              <w:overflowPunct w:val="0"/>
              <w:topLinePunct/>
              <w:bidi w:val="0"/>
              <w:spacing w:line="360" w:lineRule="auto"/>
              <w:jc w:val="center"/>
              <w:textAlignment w:val="center"/>
              <w:rPr>
                <w:rFonts w:hint="eastAsia" w:ascii="宋体" w:hAnsi="宋体" w:eastAsia="宋体" w:cs="宋体"/>
                <w:bCs/>
                <w:sz w:val="24"/>
                <w:szCs w:val="24"/>
              </w:rPr>
            </w:pPr>
            <w:r>
              <w:rPr>
                <w:rFonts w:hint="eastAsia" w:ascii="宋体" w:hAnsi="宋体" w:eastAsia="宋体" w:cs="宋体"/>
                <w:bCs/>
                <w:sz w:val="24"/>
                <w:szCs w:val="24"/>
              </w:rPr>
              <w:t>评分</w:t>
            </w:r>
          </w:p>
          <w:p w14:paraId="0F61B300">
            <w:pPr>
              <w:keepNext w:val="0"/>
              <w:keepLines w:val="0"/>
              <w:pageBreakBefore w:val="0"/>
              <w:kinsoku/>
              <w:wordWrap w:val="0"/>
              <w:overflowPunct w:val="0"/>
              <w:topLinePunct/>
              <w:bidi w:val="0"/>
              <w:spacing w:line="360" w:lineRule="auto"/>
              <w:jc w:val="center"/>
              <w:textAlignment w:val="center"/>
              <w:rPr>
                <w:rFonts w:hint="eastAsia" w:ascii="宋体" w:hAnsi="宋体" w:eastAsia="宋体" w:cs="宋体"/>
                <w:bCs/>
                <w:color w:val="000000"/>
                <w:sz w:val="24"/>
                <w:szCs w:val="24"/>
              </w:rPr>
            </w:pPr>
            <w:r>
              <w:rPr>
                <w:rFonts w:hint="eastAsia" w:ascii="宋体" w:hAnsi="宋体" w:eastAsia="宋体" w:cs="宋体"/>
                <w:bCs/>
                <w:sz w:val="24"/>
                <w:szCs w:val="24"/>
              </w:rPr>
              <w:t>因素</w:t>
            </w:r>
          </w:p>
        </w:tc>
        <w:tc>
          <w:tcPr>
            <w:tcW w:w="645" w:type="dxa"/>
            <w:noWrap w:val="0"/>
            <w:vAlign w:val="center"/>
          </w:tcPr>
          <w:p w14:paraId="1030B58E">
            <w:pPr>
              <w:keepNext w:val="0"/>
              <w:keepLines w:val="0"/>
              <w:pageBreakBefore w:val="0"/>
              <w:kinsoku/>
              <w:wordWrap w:val="0"/>
              <w:overflowPunct w:val="0"/>
              <w:topLinePunct/>
              <w:bidi w:val="0"/>
              <w:spacing w:line="360" w:lineRule="auto"/>
              <w:jc w:val="center"/>
              <w:textAlignment w:val="center"/>
              <w:rPr>
                <w:rFonts w:hint="eastAsia" w:ascii="宋体" w:hAnsi="宋体" w:eastAsia="宋体" w:cs="宋体"/>
                <w:bCs/>
                <w:color w:val="000000"/>
                <w:sz w:val="24"/>
                <w:szCs w:val="24"/>
              </w:rPr>
            </w:pPr>
            <w:r>
              <w:rPr>
                <w:rFonts w:hint="eastAsia" w:ascii="宋体" w:hAnsi="宋体" w:eastAsia="宋体" w:cs="宋体"/>
                <w:bCs/>
                <w:sz w:val="24"/>
                <w:szCs w:val="24"/>
              </w:rPr>
              <w:t>分值</w:t>
            </w:r>
          </w:p>
        </w:tc>
        <w:tc>
          <w:tcPr>
            <w:tcW w:w="6660" w:type="dxa"/>
            <w:noWrap w:val="0"/>
            <w:vAlign w:val="center"/>
          </w:tcPr>
          <w:p w14:paraId="5CFD15E7">
            <w:pPr>
              <w:keepNext w:val="0"/>
              <w:keepLines w:val="0"/>
              <w:pageBreakBefore w:val="0"/>
              <w:kinsoku/>
              <w:wordWrap w:val="0"/>
              <w:overflowPunct w:val="0"/>
              <w:topLinePunct/>
              <w:bidi w:val="0"/>
              <w:spacing w:line="360" w:lineRule="auto"/>
              <w:jc w:val="center"/>
              <w:textAlignment w:val="center"/>
              <w:rPr>
                <w:rFonts w:hint="eastAsia" w:ascii="宋体" w:hAnsi="宋体" w:eastAsia="宋体" w:cs="宋体"/>
                <w:bCs/>
                <w:sz w:val="24"/>
                <w:szCs w:val="24"/>
              </w:rPr>
            </w:pPr>
            <w:r>
              <w:rPr>
                <w:rFonts w:hint="eastAsia" w:ascii="宋体" w:hAnsi="宋体" w:eastAsia="宋体" w:cs="宋体"/>
                <w:bCs/>
                <w:sz w:val="24"/>
                <w:szCs w:val="24"/>
              </w:rPr>
              <w:t>评分标准</w:t>
            </w:r>
          </w:p>
        </w:tc>
        <w:tc>
          <w:tcPr>
            <w:tcW w:w="855" w:type="dxa"/>
            <w:noWrap w:val="0"/>
            <w:vAlign w:val="center"/>
          </w:tcPr>
          <w:p w14:paraId="04ADD9D0">
            <w:pPr>
              <w:keepNext w:val="0"/>
              <w:keepLines w:val="0"/>
              <w:pageBreakBefore w:val="0"/>
              <w:kinsoku/>
              <w:wordWrap w:val="0"/>
              <w:overflowPunct w:val="0"/>
              <w:topLinePunct/>
              <w:bidi w:val="0"/>
              <w:spacing w:line="360" w:lineRule="auto"/>
              <w:jc w:val="center"/>
              <w:textAlignment w:val="center"/>
              <w:rPr>
                <w:rFonts w:hint="eastAsia" w:ascii="宋体" w:hAnsi="宋体" w:eastAsia="宋体" w:cs="宋体"/>
                <w:bCs/>
                <w:sz w:val="24"/>
                <w:szCs w:val="24"/>
              </w:rPr>
            </w:pPr>
            <w:r>
              <w:rPr>
                <w:rFonts w:hint="eastAsia" w:ascii="宋体" w:hAnsi="宋体" w:eastAsia="宋体" w:cs="宋体"/>
                <w:bCs/>
                <w:sz w:val="24"/>
                <w:szCs w:val="24"/>
              </w:rPr>
              <w:t>主/客观分</w:t>
            </w:r>
          </w:p>
        </w:tc>
      </w:tr>
      <w:tr w14:paraId="4C9A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7475A4A8">
            <w:pPr>
              <w:keepNext w:val="0"/>
              <w:keepLines w:val="0"/>
              <w:pageBreakBefore w:val="0"/>
              <w:kinsoku/>
              <w:bidi w:val="0"/>
              <w:spacing w:line="360" w:lineRule="auto"/>
              <w:ind w:firstLine="28"/>
              <w:jc w:val="center"/>
              <w:rPr>
                <w:rFonts w:hint="eastAsia" w:ascii="宋体" w:hAnsi="宋体" w:eastAsia="宋体" w:cs="宋体"/>
                <w:bCs/>
                <w:sz w:val="24"/>
                <w:szCs w:val="24"/>
              </w:rPr>
            </w:pPr>
            <w:r>
              <w:rPr>
                <w:rFonts w:hint="eastAsia" w:ascii="宋体" w:hAnsi="宋体" w:eastAsia="宋体" w:cs="宋体"/>
                <w:sz w:val="24"/>
                <w:szCs w:val="24"/>
              </w:rPr>
              <w:t>1</w:t>
            </w:r>
          </w:p>
        </w:tc>
        <w:tc>
          <w:tcPr>
            <w:tcW w:w="718" w:type="dxa"/>
            <w:noWrap w:val="0"/>
            <w:vAlign w:val="center"/>
          </w:tcPr>
          <w:p w14:paraId="397BE11E">
            <w:pPr>
              <w:keepNext w:val="0"/>
              <w:keepLines w:val="0"/>
              <w:pageBreakBefore w:val="0"/>
              <w:kinsoku/>
              <w:bidi w:val="0"/>
              <w:spacing w:line="360" w:lineRule="auto"/>
              <w:jc w:val="center"/>
              <w:rPr>
                <w:rFonts w:hint="eastAsia" w:ascii="宋体" w:hAnsi="宋体" w:eastAsia="宋体" w:cs="宋体"/>
                <w:bCs/>
                <w:sz w:val="24"/>
                <w:szCs w:val="24"/>
              </w:rPr>
            </w:pPr>
            <w:r>
              <w:rPr>
                <w:rFonts w:hint="eastAsia" w:ascii="宋体" w:hAnsi="宋体" w:eastAsia="宋体" w:cs="宋体"/>
                <w:sz w:val="24"/>
                <w:szCs w:val="24"/>
                <w:lang w:val="en-US" w:eastAsia="zh-CN"/>
              </w:rPr>
              <w:t>价格</w:t>
            </w:r>
          </w:p>
        </w:tc>
        <w:tc>
          <w:tcPr>
            <w:tcW w:w="645" w:type="dxa"/>
            <w:noWrap w:val="0"/>
            <w:vAlign w:val="center"/>
          </w:tcPr>
          <w:p w14:paraId="6548560D">
            <w:pPr>
              <w:keepNext w:val="0"/>
              <w:keepLines w:val="0"/>
              <w:pageBreakBefore w:val="0"/>
              <w:kinsoku/>
              <w:bidi w:val="0"/>
              <w:spacing w:line="360" w:lineRule="auto"/>
              <w:jc w:val="center"/>
              <w:rPr>
                <w:rFonts w:hint="eastAsia" w:ascii="宋体" w:hAnsi="宋体" w:eastAsia="宋体" w:cs="宋体"/>
                <w:bCs/>
                <w:sz w:val="24"/>
                <w:szCs w:val="24"/>
                <w:lang w:val="en-US"/>
              </w:rPr>
            </w:pPr>
            <w:r>
              <w:rPr>
                <w:rFonts w:hint="eastAsia" w:ascii="宋体" w:hAnsi="宋体" w:eastAsia="宋体" w:cs="宋体"/>
                <w:sz w:val="24"/>
                <w:szCs w:val="24"/>
                <w:lang w:val="en-US" w:eastAsia="zh-CN"/>
              </w:rPr>
              <w:t>17</w:t>
            </w:r>
          </w:p>
        </w:tc>
        <w:tc>
          <w:tcPr>
            <w:tcW w:w="6660" w:type="dxa"/>
            <w:noWrap w:val="0"/>
            <w:vAlign w:val="center"/>
          </w:tcPr>
          <w:p w14:paraId="2075265F">
            <w:pPr>
              <w:keepNext w:val="0"/>
              <w:keepLines w:val="0"/>
              <w:pageBreakBefore w:val="0"/>
              <w:kinsoku/>
              <w:bidi w:val="0"/>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评标基准折扣率：所有通过资格、符合性审查，且未超过最高限价的有效投标中的最低折扣率。</w:t>
            </w:r>
          </w:p>
          <w:p w14:paraId="26F51213">
            <w:pPr>
              <w:keepNext w:val="0"/>
              <w:keepLines w:val="0"/>
              <w:pageBreakBefore w:val="0"/>
              <w:kinsoku/>
              <w:bidi w:val="0"/>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计分公式：</w:t>
            </w:r>
          </w:p>
          <w:p w14:paraId="5589763E">
            <w:pPr>
              <w:keepNext w:val="0"/>
              <w:keepLines w:val="0"/>
              <w:pageBreakBefore w:val="0"/>
              <w:kinsoku/>
              <w:bidi w:val="0"/>
              <w:spacing w:line="360" w:lineRule="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投标报价得分=（评标基准折扣率÷投标人投标折扣率）</w:t>
            </w:r>
            <w:r>
              <w:rPr>
                <w:rFonts w:hint="eastAsia" w:ascii="宋体" w:hAnsi="宋体" w:eastAsia="宋体" w:cs="宋体"/>
                <w:b w:val="0"/>
                <w:bCs/>
                <w:sz w:val="24"/>
                <w:szCs w:val="24"/>
                <w:lang w:val="en-US" w:eastAsia="zh-CN"/>
              </w:rPr>
              <w:t>×17</w:t>
            </w:r>
            <w:r>
              <w:rPr>
                <w:rFonts w:hint="eastAsia" w:ascii="宋体" w:hAnsi="宋体" w:eastAsia="宋体" w:cs="宋体"/>
                <w:b w:val="0"/>
                <w:bCs/>
                <w:sz w:val="24"/>
                <w:szCs w:val="24"/>
              </w:rPr>
              <w:t>得分保留两位小数，计算结果最高不超过</w:t>
            </w:r>
            <w:r>
              <w:rPr>
                <w:rFonts w:hint="eastAsia" w:ascii="宋体" w:hAnsi="宋体" w:eastAsia="宋体" w:cs="宋体"/>
                <w:b w:val="0"/>
                <w:bCs/>
                <w:sz w:val="24"/>
                <w:szCs w:val="24"/>
                <w:lang w:val="en-US" w:eastAsia="zh-CN"/>
              </w:rPr>
              <w:t>17分</w:t>
            </w:r>
          </w:p>
          <w:p w14:paraId="3330408D">
            <w:pPr>
              <w:keepNext w:val="0"/>
              <w:keepLines w:val="0"/>
              <w:pageBreakBefore w:val="0"/>
              <w:kinsoku/>
              <w:bidi w:val="0"/>
              <w:spacing w:line="360" w:lineRule="auto"/>
              <w:rPr>
                <w:rFonts w:hint="eastAsia" w:ascii="宋体" w:hAnsi="宋体" w:eastAsia="宋体" w:cs="宋体"/>
                <w:bCs/>
                <w:sz w:val="24"/>
                <w:szCs w:val="24"/>
              </w:rPr>
            </w:pPr>
            <w:r>
              <w:rPr>
                <w:rFonts w:hint="eastAsia" w:ascii="宋体" w:hAnsi="宋体" w:eastAsia="宋体" w:cs="宋体"/>
                <w:b w:val="0"/>
                <w:bCs/>
                <w:sz w:val="24"/>
                <w:szCs w:val="24"/>
                <w:lang w:val="en-US" w:eastAsia="zh-CN"/>
              </w:rPr>
              <w:t>注：</w:t>
            </w:r>
            <w:r>
              <w:rPr>
                <w:rFonts w:hint="eastAsia" w:ascii="宋体" w:hAnsi="宋体" w:eastAsia="宋体" w:cs="宋体"/>
                <w:b w:val="0"/>
                <w:bCs/>
                <w:sz w:val="24"/>
                <w:szCs w:val="24"/>
              </w:rPr>
              <w:t>（1）本项目最高限价</w:t>
            </w:r>
            <w:r>
              <w:rPr>
                <w:rFonts w:hint="eastAsia" w:ascii="宋体" w:hAnsi="宋体" w:eastAsia="宋体" w:cs="宋体"/>
                <w:b w:val="0"/>
                <w:bCs/>
                <w:sz w:val="24"/>
                <w:szCs w:val="24"/>
                <w:lang w:val="en-US" w:eastAsia="zh-CN"/>
              </w:rPr>
              <w:t>30万供应商</w:t>
            </w:r>
            <w:r>
              <w:rPr>
                <w:rFonts w:hint="eastAsia" w:ascii="宋体" w:hAnsi="宋体" w:eastAsia="宋体" w:cs="宋体"/>
                <w:b w:val="0"/>
                <w:bCs/>
                <w:sz w:val="24"/>
                <w:szCs w:val="24"/>
              </w:rPr>
              <w:t>折算后总价不得超出最高限价，否则作无效投标</w:t>
            </w:r>
            <w:r>
              <w:rPr>
                <w:rFonts w:hint="eastAsia" w:ascii="宋体" w:hAnsi="宋体" w:eastAsia="宋体" w:cs="宋体"/>
                <w:b w:val="0"/>
                <w:bCs/>
                <w:sz w:val="24"/>
                <w:szCs w:val="24"/>
                <w:lang w:eastAsia="zh-CN"/>
              </w:rPr>
              <w:t>。</w:t>
            </w:r>
          </w:p>
        </w:tc>
        <w:tc>
          <w:tcPr>
            <w:tcW w:w="855" w:type="dxa"/>
            <w:noWrap w:val="0"/>
            <w:vAlign w:val="center"/>
          </w:tcPr>
          <w:p w14:paraId="492AF84C">
            <w:pPr>
              <w:keepNext w:val="0"/>
              <w:keepLines w:val="0"/>
              <w:pageBreakBefore w:val="0"/>
              <w:kinsoku/>
              <w:bidi w:val="0"/>
              <w:spacing w:line="360" w:lineRule="auto"/>
              <w:rPr>
                <w:rFonts w:hint="eastAsia" w:ascii="宋体" w:hAnsi="宋体" w:eastAsia="宋体" w:cs="宋体"/>
                <w:bCs/>
                <w:sz w:val="24"/>
                <w:szCs w:val="24"/>
              </w:rPr>
            </w:pPr>
            <w:r>
              <w:rPr>
                <w:rFonts w:hint="eastAsia" w:ascii="宋体" w:hAnsi="宋体" w:eastAsia="宋体" w:cs="宋体"/>
                <w:sz w:val="24"/>
                <w:szCs w:val="24"/>
                <w:lang w:val="en-US" w:eastAsia="zh-CN"/>
              </w:rPr>
              <w:t>客观分</w:t>
            </w:r>
          </w:p>
        </w:tc>
      </w:tr>
      <w:tr w14:paraId="3610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66E3A79E">
            <w:pPr>
              <w:keepNext w:val="0"/>
              <w:keepLines w:val="0"/>
              <w:pageBreakBefore w:val="0"/>
              <w:kinsoku/>
              <w:bidi w:val="0"/>
              <w:spacing w:line="360" w:lineRule="auto"/>
              <w:ind w:firstLine="28"/>
              <w:jc w:val="center"/>
              <w:rPr>
                <w:rFonts w:hint="eastAsia" w:ascii="宋体" w:hAnsi="宋体" w:eastAsia="宋体" w:cs="宋体"/>
                <w:bCs/>
                <w:sz w:val="24"/>
                <w:szCs w:val="24"/>
              </w:rPr>
            </w:pPr>
            <w:r>
              <w:rPr>
                <w:rFonts w:hint="eastAsia" w:ascii="宋体" w:hAnsi="宋体" w:eastAsia="宋体" w:cs="宋体"/>
                <w:sz w:val="24"/>
                <w:szCs w:val="24"/>
              </w:rPr>
              <w:t>2</w:t>
            </w:r>
          </w:p>
        </w:tc>
        <w:tc>
          <w:tcPr>
            <w:tcW w:w="718" w:type="dxa"/>
            <w:noWrap w:val="0"/>
            <w:vAlign w:val="center"/>
          </w:tcPr>
          <w:p w14:paraId="6981D50F">
            <w:pPr>
              <w:keepNext w:val="0"/>
              <w:keepLines w:val="0"/>
              <w:pageBreakBefore w:val="0"/>
              <w:kinsoku/>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实施方案</w:t>
            </w:r>
          </w:p>
        </w:tc>
        <w:tc>
          <w:tcPr>
            <w:tcW w:w="645" w:type="dxa"/>
            <w:noWrap w:val="0"/>
            <w:vAlign w:val="center"/>
          </w:tcPr>
          <w:p w14:paraId="37854DD4">
            <w:pPr>
              <w:keepNext w:val="0"/>
              <w:keepLines w:val="0"/>
              <w:pageBreakBefore w:val="0"/>
              <w:kinsoku/>
              <w:bidi w:val="0"/>
              <w:spacing w:line="360" w:lineRule="auto"/>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20</w:t>
            </w:r>
          </w:p>
        </w:tc>
        <w:tc>
          <w:tcPr>
            <w:tcW w:w="6660" w:type="dxa"/>
            <w:noWrap w:val="0"/>
            <w:vAlign w:val="center"/>
          </w:tcPr>
          <w:p w14:paraId="573A964B">
            <w:pPr>
              <w:keepNext w:val="0"/>
              <w:keepLines w:val="0"/>
              <w:pageBreakBefore w:val="0"/>
              <w:kinsoku/>
              <w:bidi w:val="0"/>
              <w:spacing w:line="360" w:lineRule="auto"/>
              <w:rPr>
                <w:rFonts w:hint="eastAsia" w:ascii="宋体" w:hAnsi="宋体" w:eastAsia="宋体" w:cs="宋体"/>
                <w:sz w:val="24"/>
                <w:szCs w:val="24"/>
              </w:rPr>
            </w:pPr>
            <w:r>
              <w:rPr>
                <w:rFonts w:hint="eastAsia" w:ascii="宋体" w:hAnsi="宋体" w:eastAsia="宋体" w:cs="宋体"/>
                <w:bCs/>
                <w:color w:val="auto"/>
                <w:sz w:val="24"/>
                <w:szCs w:val="24"/>
                <w:highlight w:val="none"/>
                <w:lang w:val="en-US" w:eastAsia="zh-CN"/>
              </w:rPr>
              <w:t>根据供应商针对本项目提供的实施方案进行评审包含:①质量保障措施；②进度计划安排；③测试方案；④人员管理方案；上述4项内容齐全且无缺陷（缺陷是指：内容涉及的规范或标准错误、内容表述错误、内容与本项目无关、内容不利于项目实施的任意一种情形）得20分，每缺少一项内容扣5分，扣完为止；单项内容每存在一处缺陷扣2.5分，单项内容分扣完为止。</w:t>
            </w:r>
          </w:p>
        </w:tc>
        <w:tc>
          <w:tcPr>
            <w:tcW w:w="855" w:type="dxa"/>
            <w:noWrap w:val="0"/>
            <w:vAlign w:val="center"/>
          </w:tcPr>
          <w:p w14:paraId="30532D05">
            <w:pPr>
              <w:keepNext w:val="0"/>
              <w:keepLines w:val="0"/>
              <w:pageBreakBefore w:val="0"/>
              <w:kinsoku/>
              <w:bidi w:val="0"/>
              <w:spacing w:line="360" w:lineRule="auto"/>
              <w:rPr>
                <w:rFonts w:hint="eastAsia" w:ascii="宋体" w:hAnsi="宋体" w:eastAsia="宋体" w:cs="宋体"/>
                <w:bCs/>
                <w:sz w:val="24"/>
                <w:szCs w:val="24"/>
              </w:rPr>
            </w:pPr>
            <w:r>
              <w:rPr>
                <w:rFonts w:hint="eastAsia" w:ascii="宋体" w:hAnsi="宋体" w:eastAsia="宋体" w:cs="宋体"/>
                <w:sz w:val="24"/>
                <w:szCs w:val="24"/>
                <w:lang w:val="en-US" w:eastAsia="zh-CN"/>
              </w:rPr>
              <w:t>主观分</w:t>
            </w:r>
          </w:p>
        </w:tc>
      </w:tr>
      <w:tr w14:paraId="7D1A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7" w:type="dxa"/>
            <w:noWrap w:val="0"/>
            <w:vAlign w:val="center"/>
          </w:tcPr>
          <w:p w14:paraId="7FFCE5CC">
            <w:pPr>
              <w:keepNext w:val="0"/>
              <w:keepLines w:val="0"/>
              <w:pageBreakBefore w:val="0"/>
              <w:kinsoku/>
              <w:bidi w:val="0"/>
              <w:spacing w:line="360" w:lineRule="auto"/>
              <w:ind w:firstLine="28"/>
              <w:jc w:val="center"/>
              <w:rPr>
                <w:rFonts w:hint="eastAsia" w:ascii="宋体" w:hAnsi="宋体" w:eastAsia="宋体" w:cs="宋体"/>
                <w:bCs/>
                <w:sz w:val="24"/>
                <w:szCs w:val="24"/>
              </w:rPr>
            </w:pPr>
            <w:r>
              <w:rPr>
                <w:rFonts w:hint="eastAsia" w:ascii="宋体" w:hAnsi="宋体" w:eastAsia="宋体" w:cs="宋体"/>
                <w:sz w:val="24"/>
                <w:szCs w:val="24"/>
              </w:rPr>
              <w:t>3</w:t>
            </w:r>
          </w:p>
        </w:tc>
        <w:tc>
          <w:tcPr>
            <w:tcW w:w="718" w:type="dxa"/>
            <w:noWrap w:val="0"/>
            <w:vAlign w:val="center"/>
          </w:tcPr>
          <w:p w14:paraId="7841BFAB">
            <w:pPr>
              <w:keepNext w:val="0"/>
              <w:keepLines w:val="0"/>
              <w:pageBreakBefore w:val="0"/>
              <w:kinsoku/>
              <w:bidi w:val="0"/>
              <w:spacing w:line="360" w:lineRule="auto"/>
              <w:jc w:val="center"/>
              <w:rPr>
                <w:rFonts w:hint="eastAsia" w:ascii="宋体" w:hAnsi="宋体" w:eastAsia="宋体" w:cs="宋体"/>
                <w:sz w:val="24"/>
                <w:szCs w:val="24"/>
              </w:rPr>
            </w:pPr>
            <w:r>
              <w:rPr>
                <w:rFonts w:hint="eastAsia" w:ascii="宋体" w:hAnsi="宋体" w:eastAsia="宋体" w:cs="宋体"/>
                <w:bCs/>
                <w:color w:val="auto"/>
                <w:sz w:val="24"/>
                <w:szCs w:val="24"/>
                <w:highlight w:val="none"/>
                <w:lang w:val="en-US" w:eastAsia="zh-CN"/>
              </w:rPr>
              <w:t>服务团队能力</w:t>
            </w:r>
          </w:p>
        </w:tc>
        <w:tc>
          <w:tcPr>
            <w:tcW w:w="645" w:type="dxa"/>
            <w:noWrap w:val="0"/>
            <w:vAlign w:val="center"/>
          </w:tcPr>
          <w:p w14:paraId="5EEAF6C0">
            <w:pPr>
              <w:keepNext w:val="0"/>
              <w:keepLines w:val="0"/>
              <w:pageBreakBefore w:val="0"/>
              <w:kinsoku/>
              <w:bidi w:val="0"/>
              <w:spacing w:line="360" w:lineRule="auto"/>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14</w:t>
            </w:r>
          </w:p>
        </w:tc>
        <w:tc>
          <w:tcPr>
            <w:tcW w:w="6660" w:type="dxa"/>
            <w:noWrap w:val="0"/>
            <w:vAlign w:val="center"/>
          </w:tcPr>
          <w:p w14:paraId="75DB3A55">
            <w:pPr>
              <w:keepNext w:val="0"/>
              <w:keepLines w:val="0"/>
              <w:pageBreakBefore w:val="0"/>
              <w:kinsoku/>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在满足本项目实质性要求基础之上：</w:t>
            </w:r>
          </w:p>
          <w:p w14:paraId="3B75994A">
            <w:pPr>
              <w:keepNext w:val="0"/>
              <w:keepLines w:val="0"/>
              <w:pageBreakBefore w:val="0"/>
              <w:kinsoku/>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1.项目经理（1名，满分5分）同时具备（1）机电专业二级建造师，（2）具备安全员B证，得5分。缺任一证不得分。</w:t>
            </w:r>
          </w:p>
          <w:p w14:paraId="302A5FAC">
            <w:pPr>
              <w:keepNext w:val="0"/>
              <w:keepLines w:val="0"/>
              <w:pageBreakBefore w:val="0"/>
              <w:kinsoku/>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2.项目技术负责人（1名，满分3分）具备本项目相关专业中级及以上职称人，得3分。</w:t>
            </w:r>
          </w:p>
          <w:p w14:paraId="7347B7F5">
            <w:pPr>
              <w:keepNext w:val="0"/>
              <w:keepLines w:val="0"/>
              <w:pageBreakBefore w:val="0"/>
              <w:kinsoku/>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3.施工人员（4名，6满分）具备低压电工证，每提供一个得1.5分。</w:t>
            </w:r>
          </w:p>
          <w:p w14:paraId="12FA0D52">
            <w:pPr>
              <w:keepNext w:val="0"/>
              <w:keepLines w:val="0"/>
              <w:pageBreakBefore w:val="0"/>
              <w:kinsoku/>
              <w:bidi w:val="0"/>
              <w:spacing w:line="360" w:lineRule="auto"/>
              <w:rPr>
                <w:rFonts w:hint="eastAsia" w:ascii="宋体" w:hAnsi="宋体" w:eastAsia="宋体" w:cs="宋体"/>
                <w:sz w:val="24"/>
                <w:szCs w:val="24"/>
                <w:lang w:val="en-US"/>
              </w:rPr>
            </w:pPr>
            <w:r>
              <w:rPr>
                <w:rFonts w:hint="eastAsia" w:ascii="宋体" w:hAnsi="宋体" w:eastAsia="宋体" w:cs="宋体"/>
                <w:sz w:val="24"/>
                <w:szCs w:val="24"/>
                <w:lang w:val="en-US" w:eastAsia="zh-CN"/>
              </w:rPr>
              <w:t>注：以上人员不重复计分；提供人员的证书及在职证明。</w:t>
            </w:r>
          </w:p>
        </w:tc>
        <w:tc>
          <w:tcPr>
            <w:tcW w:w="855" w:type="dxa"/>
            <w:noWrap w:val="0"/>
            <w:vAlign w:val="center"/>
          </w:tcPr>
          <w:p w14:paraId="5DB01905">
            <w:pPr>
              <w:keepNext w:val="0"/>
              <w:keepLines w:val="0"/>
              <w:pageBreakBefore w:val="0"/>
              <w:kinsoku/>
              <w:bidi w:val="0"/>
              <w:spacing w:line="360" w:lineRule="auto"/>
              <w:rPr>
                <w:rFonts w:hint="eastAsia" w:ascii="宋体" w:hAnsi="宋体" w:eastAsia="宋体" w:cs="宋体"/>
                <w:bCs/>
                <w:sz w:val="24"/>
                <w:szCs w:val="24"/>
              </w:rPr>
            </w:pPr>
            <w:r>
              <w:rPr>
                <w:rFonts w:hint="eastAsia" w:ascii="宋体" w:hAnsi="宋体" w:eastAsia="宋体" w:cs="宋体"/>
                <w:sz w:val="24"/>
                <w:szCs w:val="24"/>
                <w:lang w:val="en-US" w:eastAsia="zh-CN"/>
              </w:rPr>
              <w:t>客观分</w:t>
            </w:r>
          </w:p>
        </w:tc>
      </w:tr>
      <w:tr w14:paraId="4621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768AAA7D">
            <w:pPr>
              <w:keepNext w:val="0"/>
              <w:keepLines w:val="0"/>
              <w:pageBreakBefore w:val="0"/>
              <w:kinsoku/>
              <w:bidi w:val="0"/>
              <w:spacing w:line="360" w:lineRule="auto"/>
              <w:ind w:firstLine="28"/>
              <w:jc w:val="center"/>
              <w:rPr>
                <w:rFonts w:hint="eastAsia" w:ascii="宋体" w:hAnsi="宋体" w:eastAsia="宋体" w:cs="宋体"/>
                <w:bCs/>
                <w:sz w:val="24"/>
                <w:szCs w:val="24"/>
              </w:rPr>
            </w:pPr>
            <w:r>
              <w:rPr>
                <w:rFonts w:hint="eastAsia" w:ascii="宋体" w:hAnsi="宋体" w:eastAsia="宋体" w:cs="宋体"/>
                <w:sz w:val="24"/>
                <w:szCs w:val="24"/>
              </w:rPr>
              <w:t>4</w:t>
            </w:r>
          </w:p>
        </w:tc>
        <w:tc>
          <w:tcPr>
            <w:tcW w:w="718" w:type="dxa"/>
            <w:noWrap w:val="0"/>
            <w:vAlign w:val="center"/>
          </w:tcPr>
          <w:p w14:paraId="31173304">
            <w:pPr>
              <w:keepNext w:val="0"/>
              <w:keepLines w:val="0"/>
              <w:pageBreakBefore w:val="0"/>
              <w:kinsoku/>
              <w:bidi w:val="0"/>
              <w:spacing w:line="360" w:lineRule="auto"/>
              <w:jc w:val="center"/>
              <w:rPr>
                <w:rFonts w:hint="eastAsia" w:ascii="宋体" w:hAnsi="宋体" w:eastAsia="宋体" w:cs="宋体"/>
                <w:sz w:val="24"/>
                <w:szCs w:val="24"/>
              </w:rPr>
            </w:pPr>
            <w:r>
              <w:rPr>
                <w:rFonts w:hint="eastAsia" w:ascii="宋体" w:hAnsi="宋体" w:eastAsia="宋体" w:cs="宋体"/>
                <w:bCs/>
                <w:color w:val="auto"/>
                <w:sz w:val="24"/>
                <w:szCs w:val="24"/>
                <w:highlight w:val="none"/>
                <w:lang w:val="en-US" w:eastAsia="zh-CN"/>
              </w:rPr>
              <w:t>售后服务方案</w:t>
            </w:r>
          </w:p>
        </w:tc>
        <w:tc>
          <w:tcPr>
            <w:tcW w:w="645" w:type="dxa"/>
            <w:noWrap w:val="0"/>
            <w:vAlign w:val="center"/>
          </w:tcPr>
          <w:p w14:paraId="7332562D">
            <w:pPr>
              <w:keepNext w:val="0"/>
              <w:keepLines w:val="0"/>
              <w:pageBreakBefore w:val="0"/>
              <w:kinsoku/>
              <w:bidi w:val="0"/>
              <w:spacing w:line="360" w:lineRule="auto"/>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20</w:t>
            </w:r>
          </w:p>
        </w:tc>
        <w:tc>
          <w:tcPr>
            <w:tcW w:w="6660" w:type="dxa"/>
            <w:noWrap w:val="0"/>
            <w:vAlign w:val="center"/>
          </w:tcPr>
          <w:p w14:paraId="1C3DC6B6">
            <w:pPr>
              <w:keepNext w:val="0"/>
              <w:keepLines w:val="0"/>
              <w:pageBreakBefore w:val="0"/>
              <w:kinsoku/>
              <w:bidi w:val="0"/>
              <w:spacing w:line="360" w:lineRule="auto"/>
              <w:rPr>
                <w:rFonts w:hint="eastAsia" w:ascii="宋体" w:hAnsi="宋体" w:eastAsia="宋体" w:cs="宋体"/>
                <w:sz w:val="24"/>
                <w:szCs w:val="24"/>
              </w:rPr>
            </w:pPr>
            <w:r>
              <w:rPr>
                <w:rFonts w:hint="eastAsia" w:ascii="宋体" w:hAnsi="宋体" w:eastAsia="宋体" w:cs="宋体"/>
                <w:bCs/>
                <w:color w:val="auto"/>
                <w:sz w:val="24"/>
                <w:szCs w:val="24"/>
                <w:highlight w:val="none"/>
                <w:lang w:val="en-US" w:eastAsia="zh-CN"/>
              </w:rPr>
              <w:t>据供应商依据“四、其他要求”针对本项目的售后服务方案进行评审包含:①售后人员安排；②应急处置；③售后响应机制；④售后保障措施。上述4项内容齐全且无缺陷（缺陷是指：内容涉及的规范或标准错误、内容表述错误、内容与本项目无关、内容不利于项目实施的任意一种情形）得20分，每缺少一项内容扣5分，扣完为止；单项内容每存在一处缺陷扣2.5分，单项内容分扣完为止</w:t>
            </w:r>
          </w:p>
        </w:tc>
        <w:tc>
          <w:tcPr>
            <w:tcW w:w="855" w:type="dxa"/>
            <w:noWrap w:val="0"/>
            <w:vAlign w:val="center"/>
          </w:tcPr>
          <w:p w14:paraId="2116CB06">
            <w:pPr>
              <w:keepNext w:val="0"/>
              <w:keepLines w:val="0"/>
              <w:pageBreakBefore w:val="0"/>
              <w:kinsoku/>
              <w:bidi w:val="0"/>
              <w:spacing w:line="360" w:lineRule="auto"/>
              <w:rPr>
                <w:rFonts w:hint="eastAsia" w:ascii="宋体" w:hAnsi="宋体" w:eastAsia="宋体" w:cs="宋体"/>
                <w:bCs/>
                <w:sz w:val="24"/>
                <w:szCs w:val="24"/>
              </w:rPr>
            </w:pPr>
            <w:r>
              <w:rPr>
                <w:rFonts w:hint="eastAsia" w:ascii="宋体" w:hAnsi="宋体" w:eastAsia="宋体" w:cs="宋体"/>
                <w:sz w:val="24"/>
                <w:szCs w:val="24"/>
                <w:lang w:val="en-US" w:eastAsia="zh-CN"/>
              </w:rPr>
              <w:t>主观分</w:t>
            </w:r>
          </w:p>
        </w:tc>
      </w:tr>
      <w:tr w14:paraId="1CB9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7" w:type="dxa"/>
            <w:noWrap w:val="0"/>
            <w:vAlign w:val="center"/>
          </w:tcPr>
          <w:p w14:paraId="24E001D0">
            <w:pPr>
              <w:keepNext w:val="0"/>
              <w:keepLines w:val="0"/>
              <w:pageBreakBefore w:val="0"/>
              <w:kinsoku/>
              <w:bidi w:val="0"/>
              <w:spacing w:line="360" w:lineRule="auto"/>
              <w:ind w:firstLine="28"/>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5</w:t>
            </w:r>
          </w:p>
        </w:tc>
        <w:tc>
          <w:tcPr>
            <w:tcW w:w="718" w:type="dxa"/>
            <w:noWrap w:val="0"/>
            <w:vAlign w:val="center"/>
          </w:tcPr>
          <w:p w14:paraId="653BC978">
            <w:pPr>
              <w:keepNext w:val="0"/>
              <w:keepLines w:val="0"/>
              <w:pageBreakBefore w:val="0"/>
              <w:kinsoku/>
              <w:bidi w:val="0"/>
              <w:spacing w:line="360" w:lineRule="auto"/>
              <w:rPr>
                <w:rFonts w:hint="eastAsia" w:ascii="宋体" w:hAnsi="宋体" w:eastAsia="宋体" w:cs="宋体"/>
                <w:sz w:val="24"/>
                <w:szCs w:val="24"/>
              </w:rPr>
            </w:pPr>
            <w:r>
              <w:rPr>
                <w:rFonts w:hint="eastAsia" w:ascii="宋体" w:hAnsi="宋体" w:eastAsia="宋体" w:cs="宋体"/>
                <w:bCs/>
                <w:color w:val="auto"/>
                <w:sz w:val="24"/>
                <w:szCs w:val="24"/>
                <w:highlight w:val="none"/>
                <w:lang w:val="en-US" w:eastAsia="zh-CN"/>
              </w:rPr>
              <w:t>类似项目业绩</w:t>
            </w:r>
          </w:p>
        </w:tc>
        <w:tc>
          <w:tcPr>
            <w:tcW w:w="645" w:type="dxa"/>
            <w:noWrap w:val="0"/>
            <w:vAlign w:val="center"/>
          </w:tcPr>
          <w:p w14:paraId="79205764">
            <w:pPr>
              <w:keepNext w:val="0"/>
              <w:keepLines w:val="0"/>
              <w:pageBreakBefore w:val="0"/>
              <w:kinsoku/>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6660" w:type="dxa"/>
            <w:noWrap w:val="0"/>
            <w:vAlign w:val="center"/>
          </w:tcPr>
          <w:p w14:paraId="33A2C2FB">
            <w:pPr>
              <w:keepNext w:val="0"/>
              <w:keepLines w:val="0"/>
              <w:pageBreakBefore w:val="0"/>
              <w:kinsoku/>
              <w:bidi w:val="0"/>
              <w:spacing w:line="360" w:lineRule="auto"/>
              <w:rPr>
                <w:rFonts w:hint="eastAsia" w:ascii="宋体" w:hAnsi="宋体" w:eastAsia="宋体" w:cs="宋体"/>
                <w:sz w:val="24"/>
                <w:szCs w:val="24"/>
              </w:rPr>
            </w:pPr>
            <w:r>
              <w:rPr>
                <w:rFonts w:hint="eastAsia" w:ascii="宋体" w:hAnsi="宋体" w:eastAsia="宋体" w:cs="宋体"/>
                <w:bCs/>
                <w:color w:val="auto"/>
                <w:sz w:val="24"/>
                <w:szCs w:val="24"/>
                <w:highlight w:val="none"/>
                <w:lang w:val="en-US" w:eastAsia="zh-CN"/>
              </w:rPr>
              <w:t>根据供应商2023年1月1日（含1日）至提交首次响应文件截止日的类似项目业绩（是指：</w:t>
            </w:r>
            <w:r>
              <w:rPr>
                <w:rFonts w:hint="eastAsia" w:ascii="宋体" w:hAnsi="宋体" w:eastAsia="宋体" w:cs="宋体"/>
                <w:bCs/>
                <w:color w:val="auto"/>
                <w:sz w:val="24"/>
                <w:szCs w:val="24"/>
                <w:highlight w:val="none"/>
                <w:lang w:val="en-US" w:eastAsia="zh-CN"/>
              </w:rPr>
              <w:t>相关</w:t>
            </w:r>
            <w:r>
              <w:rPr>
                <w:rFonts w:hint="eastAsia" w:ascii="宋体" w:hAnsi="宋体" w:eastAsia="宋体" w:cs="宋体"/>
                <w:bCs/>
                <w:color w:val="auto"/>
                <w:sz w:val="24"/>
                <w:szCs w:val="24"/>
                <w:highlight w:val="none"/>
                <w:lang w:val="en-US" w:eastAsia="zh-CN"/>
              </w:rPr>
              <w:t>安防监控项目）进行评审。每提供1个得3分，最多得15分。注：提供合同或中标（成交）通知书；以合同签订时间或中标（成交）通知书发出之日为准,同时提供合同和中标（成交）通知书的，以合同签订时间为准</w:t>
            </w:r>
          </w:p>
        </w:tc>
        <w:tc>
          <w:tcPr>
            <w:tcW w:w="855" w:type="dxa"/>
            <w:noWrap w:val="0"/>
            <w:vAlign w:val="center"/>
          </w:tcPr>
          <w:p w14:paraId="4B5C5FAE">
            <w:pPr>
              <w:keepNext w:val="0"/>
              <w:keepLines w:val="0"/>
              <w:pageBreakBefore w:val="0"/>
              <w:kinsoku/>
              <w:bidi w:val="0"/>
              <w:spacing w:line="360" w:lineRule="auto"/>
              <w:rPr>
                <w:rFonts w:hint="eastAsia" w:ascii="宋体" w:hAnsi="宋体" w:eastAsia="宋体" w:cs="宋体"/>
                <w:bCs/>
                <w:sz w:val="24"/>
                <w:szCs w:val="24"/>
              </w:rPr>
            </w:pPr>
          </w:p>
        </w:tc>
      </w:tr>
      <w:tr w14:paraId="3FB9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7" w:type="dxa"/>
            <w:shd w:val="clear" w:color="auto" w:fill="auto"/>
            <w:noWrap w:val="0"/>
            <w:vAlign w:val="center"/>
          </w:tcPr>
          <w:p w14:paraId="2419D057">
            <w:pPr>
              <w:keepNext w:val="0"/>
              <w:keepLines w:val="0"/>
              <w:pageBreakBefore w:val="0"/>
              <w:kinsoku/>
              <w:bidi w:val="0"/>
              <w:spacing w:line="360" w:lineRule="auto"/>
              <w:ind w:firstLine="28" w:firstLineChars="0"/>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6</w:t>
            </w:r>
          </w:p>
        </w:tc>
        <w:tc>
          <w:tcPr>
            <w:tcW w:w="718" w:type="dxa"/>
            <w:shd w:val="clear" w:color="auto" w:fill="auto"/>
            <w:noWrap w:val="0"/>
            <w:vAlign w:val="center"/>
          </w:tcPr>
          <w:p w14:paraId="0D9E1788">
            <w:pPr>
              <w:keepNext w:val="0"/>
              <w:keepLines w:val="0"/>
              <w:pageBreakBefore w:val="0"/>
              <w:kinsoku/>
              <w:bidi w:val="0"/>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技术要求</w:t>
            </w:r>
          </w:p>
        </w:tc>
        <w:tc>
          <w:tcPr>
            <w:tcW w:w="645" w:type="dxa"/>
            <w:shd w:val="clear" w:color="auto" w:fill="auto"/>
            <w:noWrap w:val="0"/>
            <w:vAlign w:val="center"/>
          </w:tcPr>
          <w:p w14:paraId="7D60451C">
            <w:pPr>
              <w:keepNext w:val="0"/>
              <w:keepLines w:val="0"/>
              <w:pageBreakBefore w:val="0"/>
              <w:kinsoku/>
              <w:bidi w:val="0"/>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w:t>
            </w:r>
          </w:p>
        </w:tc>
        <w:tc>
          <w:tcPr>
            <w:tcW w:w="6660" w:type="dxa"/>
            <w:shd w:val="clear" w:color="auto" w:fill="auto"/>
            <w:noWrap w:val="0"/>
            <w:vAlign w:val="center"/>
          </w:tcPr>
          <w:p w14:paraId="1D785EEF">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完全符合招标文件的采购“（二）参数需求”，1.带“▲”的重要技术参数要求得分=供应商满足带“▲”参数的同时提供国家认可的第三方检测机构出具的检测报告佐证材料数量×0.6分。注：带“▲”设备需提供国家认可的第三方检测机构出具的检测报告佐证材料，如无佐证材料的该项不得分。该项最高得分4.8分，带“▲”重要技术参数共8项。</w:t>
            </w:r>
          </w:p>
          <w:p w14:paraId="6AE06D86">
            <w:pPr>
              <w:keepNext w:val="0"/>
              <w:keepLines w:val="0"/>
              <w:pageBreakBefore w:val="0"/>
              <w:kinsoku/>
              <w:bidi w:val="0"/>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bCs/>
                <w:color w:val="auto"/>
                <w:sz w:val="24"/>
                <w:szCs w:val="24"/>
                <w:highlight w:val="none"/>
                <w:lang w:val="en-US" w:eastAsia="zh-CN"/>
              </w:rPr>
              <w:t>2.满足“（二）参数需求”非“▲”序号技术参数得分=供应商满足技术参数数量×0.2.注：技术参数不满足不得分。该项最高得分9.2分技术参数共46项。</w:t>
            </w:r>
          </w:p>
        </w:tc>
        <w:tc>
          <w:tcPr>
            <w:tcW w:w="855" w:type="dxa"/>
            <w:noWrap w:val="0"/>
            <w:vAlign w:val="center"/>
          </w:tcPr>
          <w:p w14:paraId="4419F3E4">
            <w:pPr>
              <w:keepNext w:val="0"/>
              <w:keepLines w:val="0"/>
              <w:pageBreakBefore w:val="0"/>
              <w:kinsoku/>
              <w:bidi w:val="0"/>
              <w:spacing w:line="360" w:lineRule="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客观分</w:t>
            </w:r>
          </w:p>
        </w:tc>
      </w:tr>
      <w:tr w14:paraId="7091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7" w:type="dxa"/>
            <w:shd w:val="clear" w:color="auto" w:fill="auto"/>
            <w:noWrap w:val="0"/>
            <w:vAlign w:val="center"/>
          </w:tcPr>
          <w:p w14:paraId="1A468DA6">
            <w:pPr>
              <w:keepNext w:val="0"/>
              <w:keepLines w:val="0"/>
              <w:pageBreakBefore w:val="0"/>
              <w:kinsoku/>
              <w:bidi w:val="0"/>
              <w:spacing w:line="360" w:lineRule="auto"/>
              <w:ind w:firstLine="28" w:firstLineChars="0"/>
              <w:jc w:val="center"/>
              <w:rPr>
                <w:rFonts w:hint="eastAsia" w:ascii="宋体" w:hAnsi="宋体" w:eastAsia="宋体" w:cs="宋体"/>
                <w:bCs/>
                <w:kern w:val="2"/>
                <w:sz w:val="24"/>
                <w:szCs w:val="24"/>
                <w:lang w:val="en-US" w:eastAsia="zh-CN" w:bidi="ar-SA"/>
              </w:rPr>
            </w:pPr>
            <w:r>
              <w:rPr>
                <w:rFonts w:hint="eastAsia" w:ascii="宋体" w:hAnsi="宋体" w:eastAsia="宋体" w:cs="宋体"/>
                <w:sz w:val="24"/>
                <w:szCs w:val="24"/>
                <w:lang w:val="en-US" w:eastAsia="zh-CN"/>
              </w:rPr>
              <w:t>总分</w:t>
            </w:r>
          </w:p>
        </w:tc>
        <w:tc>
          <w:tcPr>
            <w:tcW w:w="718" w:type="dxa"/>
            <w:shd w:val="clear" w:color="auto" w:fill="auto"/>
            <w:noWrap w:val="0"/>
            <w:vAlign w:val="center"/>
          </w:tcPr>
          <w:p w14:paraId="26912AB7">
            <w:pPr>
              <w:keepNext w:val="0"/>
              <w:keepLines w:val="0"/>
              <w:pageBreakBefore w:val="0"/>
              <w:kinsoku/>
              <w:bidi w:val="0"/>
              <w:spacing w:line="360" w:lineRule="auto"/>
              <w:rPr>
                <w:rFonts w:hint="eastAsia" w:ascii="宋体" w:hAnsi="宋体" w:eastAsia="宋体" w:cs="宋体"/>
                <w:kern w:val="2"/>
                <w:sz w:val="24"/>
                <w:szCs w:val="24"/>
                <w:lang w:val="en-US" w:eastAsia="zh-CN" w:bidi="ar-SA"/>
              </w:rPr>
            </w:pPr>
          </w:p>
        </w:tc>
        <w:tc>
          <w:tcPr>
            <w:tcW w:w="645" w:type="dxa"/>
            <w:shd w:val="clear" w:color="auto" w:fill="auto"/>
            <w:noWrap w:val="0"/>
            <w:vAlign w:val="center"/>
          </w:tcPr>
          <w:p w14:paraId="170E1838">
            <w:pPr>
              <w:keepNext w:val="0"/>
              <w:keepLines w:val="0"/>
              <w:pageBreakBefore w:val="0"/>
              <w:kinsoku/>
              <w:bidi w:val="0"/>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100</w:t>
            </w:r>
          </w:p>
        </w:tc>
        <w:tc>
          <w:tcPr>
            <w:tcW w:w="6660" w:type="dxa"/>
            <w:shd w:val="clear" w:color="auto" w:fill="auto"/>
            <w:noWrap w:val="0"/>
            <w:vAlign w:val="center"/>
          </w:tcPr>
          <w:p w14:paraId="7812480B">
            <w:pPr>
              <w:keepNext w:val="0"/>
              <w:keepLines w:val="0"/>
              <w:pageBreakBefore w:val="0"/>
              <w:kinsoku/>
              <w:bidi w:val="0"/>
              <w:spacing w:line="360" w:lineRule="auto"/>
              <w:rPr>
                <w:rFonts w:hint="eastAsia" w:ascii="宋体" w:hAnsi="宋体" w:eastAsia="宋体" w:cs="宋体"/>
                <w:kern w:val="2"/>
                <w:sz w:val="24"/>
                <w:szCs w:val="24"/>
                <w:lang w:val="en-US" w:eastAsia="zh-CN" w:bidi="ar-SA"/>
              </w:rPr>
            </w:pPr>
          </w:p>
        </w:tc>
        <w:tc>
          <w:tcPr>
            <w:tcW w:w="855" w:type="dxa"/>
            <w:noWrap w:val="0"/>
            <w:vAlign w:val="center"/>
          </w:tcPr>
          <w:p w14:paraId="4424040C">
            <w:pPr>
              <w:keepNext w:val="0"/>
              <w:keepLines w:val="0"/>
              <w:pageBreakBefore w:val="0"/>
              <w:kinsoku/>
              <w:bidi w:val="0"/>
              <w:spacing w:line="360" w:lineRule="auto"/>
              <w:rPr>
                <w:rFonts w:hint="eastAsia" w:ascii="宋体" w:hAnsi="宋体" w:eastAsia="宋体" w:cs="宋体"/>
                <w:bCs/>
                <w:sz w:val="24"/>
                <w:szCs w:val="24"/>
              </w:rPr>
            </w:pPr>
          </w:p>
        </w:tc>
      </w:tr>
    </w:tbl>
    <w:p w14:paraId="6A5BC28B">
      <w:pPr>
        <w:keepNext w:val="0"/>
        <w:keepLines w:val="0"/>
        <w:pageBreakBefore w:val="0"/>
        <w:kinsoku/>
        <w:bidi w:val="0"/>
        <w:spacing w:line="360" w:lineRule="auto"/>
        <w:rPr>
          <w:rFonts w:hint="eastAsia" w:ascii="宋体" w:hAnsi="宋体" w:eastAsia="宋体" w:cs="宋体"/>
          <w:b/>
          <w:bCs/>
          <w:color w:val="auto"/>
          <w:kern w:val="0"/>
          <w:sz w:val="24"/>
          <w:szCs w:val="24"/>
          <w:highlight w:val="none"/>
          <w:u w:val="single"/>
          <w:lang w:val="en-US" w:eastAsia="zh-CN"/>
        </w:rPr>
      </w:pPr>
      <w:r>
        <w:rPr>
          <w:rFonts w:hint="eastAsia" w:ascii="宋体" w:hAnsi="宋体" w:eastAsia="宋体" w:cs="宋体"/>
          <w:b/>
          <w:bCs/>
          <w:color w:val="auto"/>
          <w:kern w:val="0"/>
          <w:sz w:val="24"/>
          <w:szCs w:val="24"/>
          <w:highlight w:val="none"/>
          <w:u w:val="single"/>
          <w:lang w:val="en-US" w:eastAsia="zh-CN"/>
        </w:rPr>
        <w:br w:type="page"/>
      </w:r>
    </w:p>
    <w:p w14:paraId="31FE6D57">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outlineLvl w:val="1"/>
        <w:rPr>
          <w:rFonts w:hint="eastAsia" w:ascii="宋体" w:hAnsi="宋体" w:eastAsia="宋体" w:cs="宋体"/>
          <w:b/>
          <w:bCs/>
          <w:color w:val="auto"/>
          <w:kern w:val="0"/>
          <w:sz w:val="24"/>
          <w:szCs w:val="24"/>
          <w:highlight w:val="none"/>
          <w:u w:val="single"/>
          <w:lang w:val="en-US" w:eastAsia="zh-CN"/>
        </w:rPr>
      </w:pPr>
      <w:r>
        <w:rPr>
          <w:rFonts w:hint="eastAsia" w:ascii="宋体" w:hAnsi="宋体" w:eastAsia="宋体" w:cs="宋体"/>
          <w:b/>
          <w:bCs/>
          <w:color w:val="auto"/>
          <w:kern w:val="0"/>
          <w:sz w:val="24"/>
          <w:szCs w:val="24"/>
          <w:highlight w:val="none"/>
          <w:u w:val="single"/>
          <w:lang w:val="en-US" w:eastAsia="zh-CN"/>
        </w:rPr>
        <w:t>附件2主要表格格式</w:t>
      </w:r>
    </w:p>
    <w:p w14:paraId="484BA29E">
      <w:pPr>
        <w:pStyle w:val="12"/>
        <w:keepNext w:val="0"/>
        <w:keepLines w:val="0"/>
        <w:pageBreakBefore w:val="0"/>
        <w:kinsoku/>
        <w:bidi w:val="0"/>
        <w:spacing w:line="360" w:lineRule="auto"/>
        <w:jc w:val="left"/>
        <w:rPr>
          <w:rFonts w:hint="eastAsia" w:ascii="宋体" w:hAnsi="宋体" w:eastAsia="宋体" w:cs="宋体"/>
          <w:b/>
          <w:bCs/>
          <w:color w:val="auto"/>
          <w:kern w:val="0"/>
          <w:sz w:val="24"/>
          <w:szCs w:val="24"/>
          <w:highlight w:val="none"/>
          <w:u w:val="single"/>
          <w:lang w:val="en-US" w:eastAsia="zh-CN"/>
        </w:rPr>
      </w:pPr>
      <w:r>
        <w:rPr>
          <w:rFonts w:hint="eastAsia" w:ascii="宋体" w:hAnsi="宋体" w:eastAsia="宋体" w:cs="宋体"/>
          <w:b/>
          <w:bCs/>
          <w:color w:val="auto"/>
          <w:kern w:val="0"/>
          <w:sz w:val="24"/>
          <w:szCs w:val="24"/>
          <w:highlight w:val="none"/>
          <w:u w:val="single"/>
          <w:lang w:val="en-US" w:eastAsia="zh-CN"/>
        </w:rPr>
        <w:t>2-1</w:t>
      </w:r>
    </w:p>
    <w:p w14:paraId="460AA6EB">
      <w:pPr>
        <w:keepNext w:val="0"/>
        <w:keepLines w:val="0"/>
        <w:pageBreakBefore w:val="0"/>
        <w:kinsoku/>
        <w:bidi w:val="0"/>
        <w:spacing w:line="360" w:lineRule="auto"/>
        <w:rPr>
          <w:rFonts w:hint="eastAsia" w:ascii="宋体" w:hAnsi="宋体" w:eastAsia="宋体" w:cs="宋体"/>
          <w:b/>
          <w:bCs/>
          <w:color w:val="auto"/>
          <w:kern w:val="0"/>
          <w:sz w:val="24"/>
          <w:szCs w:val="24"/>
          <w:highlight w:val="none"/>
          <w:u w:val="single"/>
          <w:lang w:val="en-US" w:eastAsia="zh-CN"/>
        </w:rPr>
      </w:pPr>
    </w:p>
    <w:p w14:paraId="13552E91">
      <w:pPr>
        <w:pStyle w:val="12"/>
        <w:keepNext w:val="0"/>
        <w:keepLines w:val="0"/>
        <w:pageBreakBefore w:val="0"/>
        <w:kinsoku/>
        <w:bidi w:val="0"/>
        <w:spacing w:line="360" w:lineRule="auto"/>
        <w:rPr>
          <w:rFonts w:hint="eastAsia" w:ascii="宋体" w:hAnsi="宋体" w:eastAsia="宋体" w:cs="宋体"/>
          <w:sz w:val="24"/>
          <w:szCs w:val="24"/>
          <w:lang w:val="en-US" w:eastAsia="zh-CN"/>
        </w:rPr>
      </w:pPr>
    </w:p>
    <w:p w14:paraId="0458095D">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u w:val="single"/>
          <w:lang w:val="en-US" w:eastAsia="zh-CN"/>
        </w:rPr>
        <w:t>XXX</w:t>
      </w:r>
      <w:r>
        <w:rPr>
          <w:rFonts w:hint="eastAsia" w:ascii="宋体" w:hAnsi="宋体" w:eastAsia="宋体" w:cs="宋体"/>
          <w:color w:val="auto"/>
          <w:kern w:val="0"/>
          <w:sz w:val="24"/>
          <w:szCs w:val="24"/>
          <w:highlight w:val="none"/>
          <w:lang w:val="en-US" w:eastAsia="zh-CN"/>
        </w:rPr>
        <w:t>采购项目</w:t>
      </w:r>
    </w:p>
    <w:p w14:paraId="13728087">
      <w:pPr>
        <w:pStyle w:val="6"/>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4"/>
          <w:szCs w:val="24"/>
          <w:lang w:val="en-US"/>
        </w:rPr>
      </w:pPr>
      <w:r>
        <w:rPr>
          <w:rFonts w:hint="eastAsia" w:ascii="宋体" w:hAnsi="宋体" w:eastAsia="宋体" w:cs="宋体"/>
          <w:color w:val="auto"/>
          <w:kern w:val="0"/>
          <w:sz w:val="24"/>
          <w:szCs w:val="24"/>
          <w:highlight w:val="none"/>
          <w:lang w:val="en-US" w:eastAsia="zh-CN"/>
        </w:rPr>
        <w:t>报价一览表</w:t>
      </w:r>
      <w:r>
        <w:rPr>
          <w:rFonts w:hint="eastAsia" w:ascii="宋体" w:hAnsi="宋体" w:eastAsia="宋体" w:cs="宋体"/>
          <w:color w:val="auto"/>
          <w:kern w:val="0"/>
          <w:sz w:val="24"/>
          <w:szCs w:val="24"/>
          <w:highlight w:val="none"/>
          <w:lang w:val="en-US" w:eastAsia="zh-CN"/>
        </w:rPr>
        <w:t>（一次）</w:t>
      </w:r>
    </w:p>
    <w:tbl>
      <w:tblPr>
        <w:tblStyle w:val="23"/>
        <w:tblW w:w="85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6"/>
        <w:gridCol w:w="2952"/>
        <w:gridCol w:w="2952"/>
        <w:gridCol w:w="1752"/>
      </w:tblGrid>
      <w:tr w14:paraId="6FDE0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926" w:type="dxa"/>
            <w:vAlign w:val="top"/>
          </w:tcPr>
          <w:p w14:paraId="7549BAC3">
            <w:pPr>
              <w:pStyle w:val="22"/>
              <w:keepNext w:val="0"/>
              <w:keepLines w:val="0"/>
              <w:pageBreakBefore w:val="0"/>
              <w:widowControl w:val="0"/>
              <w:kinsoku/>
              <w:wordWrap/>
              <w:overflowPunct/>
              <w:topLinePunct w:val="0"/>
              <w:autoSpaceDE/>
              <w:autoSpaceDN/>
              <w:bidi w:val="0"/>
              <w:adjustRightInd/>
              <w:snapToGrid w:val="0"/>
              <w:spacing w:before="134" w:line="360" w:lineRule="auto"/>
              <w:ind w:left="183" w:leftChars="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952" w:type="dxa"/>
            <w:vAlign w:val="top"/>
          </w:tcPr>
          <w:p w14:paraId="156EC977">
            <w:pPr>
              <w:pStyle w:val="22"/>
              <w:keepNext w:val="0"/>
              <w:keepLines w:val="0"/>
              <w:pageBreakBefore w:val="0"/>
              <w:widowControl w:val="0"/>
              <w:kinsoku/>
              <w:wordWrap/>
              <w:overflowPunct/>
              <w:topLinePunct w:val="0"/>
              <w:autoSpaceDE/>
              <w:autoSpaceDN/>
              <w:bidi w:val="0"/>
              <w:adjustRightInd/>
              <w:snapToGrid w:val="0"/>
              <w:spacing w:before="134" w:line="360" w:lineRule="auto"/>
              <w:ind w:left="183" w:left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设备名称</w:t>
            </w:r>
          </w:p>
        </w:tc>
        <w:tc>
          <w:tcPr>
            <w:tcW w:w="2952" w:type="dxa"/>
            <w:vAlign w:val="top"/>
          </w:tcPr>
          <w:p w14:paraId="6F576D67">
            <w:pPr>
              <w:pStyle w:val="22"/>
              <w:keepNext w:val="0"/>
              <w:keepLines w:val="0"/>
              <w:pageBreakBefore w:val="0"/>
              <w:widowControl w:val="0"/>
              <w:kinsoku/>
              <w:wordWrap/>
              <w:overflowPunct/>
              <w:topLinePunct w:val="0"/>
              <w:autoSpaceDE/>
              <w:autoSpaceDN/>
              <w:bidi w:val="0"/>
              <w:adjustRightInd/>
              <w:snapToGrid w:val="0"/>
              <w:spacing w:before="134" w:line="360" w:lineRule="auto"/>
              <w:ind w:left="183"/>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品牌规格型号</w:t>
            </w:r>
          </w:p>
        </w:tc>
        <w:tc>
          <w:tcPr>
            <w:tcW w:w="1752" w:type="dxa"/>
            <w:tcBorders>
              <w:left w:val="single" w:color="auto" w:sz="4" w:space="0"/>
            </w:tcBorders>
            <w:vAlign w:val="top"/>
          </w:tcPr>
          <w:p w14:paraId="1EC94763">
            <w:pPr>
              <w:pStyle w:val="22"/>
              <w:keepNext w:val="0"/>
              <w:keepLines w:val="0"/>
              <w:pageBreakBefore w:val="0"/>
              <w:widowControl w:val="0"/>
              <w:kinsoku/>
              <w:wordWrap/>
              <w:overflowPunct/>
              <w:topLinePunct w:val="0"/>
              <w:autoSpaceDE/>
              <w:autoSpaceDN/>
              <w:bidi w:val="0"/>
              <w:adjustRightInd/>
              <w:snapToGrid w:val="0"/>
              <w:spacing w:before="134" w:line="360" w:lineRule="auto"/>
              <w:ind w:left="183"/>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w:t>
            </w:r>
            <w:r>
              <w:rPr>
                <w:rFonts w:hint="eastAsia" w:ascii="宋体" w:hAnsi="宋体" w:eastAsia="宋体" w:cs="宋体"/>
                <w:sz w:val="24"/>
                <w:szCs w:val="24"/>
                <w:lang w:val="en-US" w:eastAsia="zh-CN"/>
              </w:rPr>
              <w:t>（统一折扣率%）</w:t>
            </w:r>
          </w:p>
        </w:tc>
      </w:tr>
      <w:tr w14:paraId="307CE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926" w:type="dxa"/>
            <w:vAlign w:val="center"/>
          </w:tcPr>
          <w:p w14:paraId="107357A5">
            <w:pPr>
              <w:pStyle w:val="19"/>
              <w:keepNext w:val="0"/>
              <w:keepLines w:val="0"/>
              <w:pageBreakBefore w:val="0"/>
              <w:numPr>
                <w:ilvl w:val="0"/>
                <w:numId w:val="0"/>
              </w:numPr>
              <w:kinsoku/>
              <w:bidi w:val="0"/>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952" w:type="dxa"/>
            <w:vAlign w:val="center"/>
          </w:tcPr>
          <w:p w14:paraId="32224C1C">
            <w:pPr>
              <w:pStyle w:val="19"/>
              <w:keepNext w:val="0"/>
              <w:keepLines w:val="0"/>
              <w:pageBreakBefore w:val="0"/>
              <w:numPr>
                <w:ilvl w:val="0"/>
                <w:numId w:val="0"/>
              </w:numPr>
              <w:kinsoku/>
              <w:bidi w:val="0"/>
              <w:spacing w:line="360" w:lineRule="auto"/>
              <w:ind w:left="0" w:leftChars="0" w:firstLine="0" w:firstLineChars="0"/>
              <w:jc w:val="center"/>
              <w:rPr>
                <w:rFonts w:hint="eastAsia" w:ascii="宋体" w:hAnsi="宋体" w:eastAsia="宋体" w:cs="宋体"/>
                <w:sz w:val="24"/>
                <w:szCs w:val="24"/>
                <w:lang w:val="en-US" w:eastAsia="zh-CN"/>
              </w:rPr>
            </w:pPr>
          </w:p>
        </w:tc>
        <w:tc>
          <w:tcPr>
            <w:tcW w:w="2952" w:type="dxa"/>
            <w:vAlign w:val="center"/>
          </w:tcPr>
          <w:p w14:paraId="4D00738F">
            <w:pPr>
              <w:pStyle w:val="19"/>
              <w:keepNext w:val="0"/>
              <w:keepLines w:val="0"/>
              <w:pageBreakBefore w:val="0"/>
              <w:numPr>
                <w:ilvl w:val="0"/>
                <w:numId w:val="0"/>
              </w:numPr>
              <w:kinsoku/>
              <w:bidi w:val="0"/>
              <w:spacing w:line="360" w:lineRule="auto"/>
              <w:ind w:leftChars="0"/>
              <w:jc w:val="center"/>
              <w:rPr>
                <w:rFonts w:hint="eastAsia" w:ascii="宋体" w:hAnsi="宋体" w:eastAsia="宋体" w:cs="宋体"/>
                <w:sz w:val="24"/>
                <w:szCs w:val="24"/>
                <w:lang w:val="en-US" w:eastAsia="zh-CN"/>
              </w:rPr>
            </w:pPr>
          </w:p>
        </w:tc>
        <w:tc>
          <w:tcPr>
            <w:tcW w:w="1752" w:type="dxa"/>
            <w:tcBorders>
              <w:left w:val="single" w:color="auto" w:sz="4" w:space="0"/>
            </w:tcBorders>
            <w:shd w:val="clear" w:color="auto" w:fill="FFFFFF" w:themeFill="background1"/>
            <w:vAlign w:val="center"/>
          </w:tcPr>
          <w:p w14:paraId="4EA26505">
            <w:pPr>
              <w:pStyle w:val="22"/>
              <w:keepNext w:val="0"/>
              <w:keepLines w:val="0"/>
              <w:pageBreakBefore w:val="0"/>
              <w:widowControl w:val="0"/>
              <w:kinsoku/>
              <w:wordWrap/>
              <w:overflowPunct/>
              <w:topLinePunct w:val="0"/>
              <w:autoSpaceDE/>
              <w:autoSpaceDN/>
              <w:bidi w:val="0"/>
              <w:adjustRightInd/>
              <w:snapToGrid w:val="0"/>
              <w:spacing w:before="33" w:line="360" w:lineRule="auto"/>
              <w:ind w:left="41" w:right="56"/>
              <w:jc w:val="center"/>
              <w:textAlignment w:val="auto"/>
              <w:rPr>
                <w:rFonts w:hint="eastAsia" w:ascii="宋体" w:hAnsi="宋体" w:eastAsia="宋体" w:cs="宋体"/>
                <w:sz w:val="24"/>
                <w:szCs w:val="24"/>
                <w:lang w:val="en-US" w:eastAsia="zh-CN"/>
              </w:rPr>
            </w:pPr>
          </w:p>
        </w:tc>
      </w:tr>
    </w:tbl>
    <w:p w14:paraId="11EA6C53">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bookmarkStart w:id="2" w:name="_GoBack"/>
      <w:bookmarkEnd w:id="2"/>
    </w:p>
    <w:p w14:paraId="25088D96">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注：</w:t>
      </w:r>
    </w:p>
    <w:p w14:paraId="1B36826E">
      <w:pPr>
        <w:keepNext w:val="0"/>
        <w:keepLines w:val="0"/>
        <w:pageBreakBefore w:val="0"/>
        <w:widowControl/>
        <w:numPr>
          <w:ilvl w:val="0"/>
          <w:numId w:val="6"/>
        </w:numPr>
        <w:kinsoku/>
        <w:wordWrap/>
        <w:overflowPunct/>
        <w:topLinePunct w:val="0"/>
        <w:autoSpaceDE/>
        <w:autoSpaceDN/>
        <w:bidi w:val="0"/>
        <w:snapToGrid/>
        <w:spacing w:beforeAutospacing="0" w:afterAutospacing="0" w:line="360" w:lineRule="auto"/>
        <w:ind w:left="425" w:leftChars="0" w:hanging="425"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“报价一览表”为多页的，每页均需由法定代表人或授权代表签字并盖</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印章。</w:t>
      </w:r>
    </w:p>
    <w:p w14:paraId="29A80BFC">
      <w:pPr>
        <w:keepNext w:val="0"/>
        <w:keepLines w:val="0"/>
        <w:pageBreakBefore w:val="0"/>
        <w:widowControl/>
        <w:numPr>
          <w:ilvl w:val="0"/>
          <w:numId w:val="6"/>
        </w:numPr>
        <w:kinsoku/>
        <w:wordWrap/>
        <w:overflowPunct/>
        <w:topLinePunct w:val="0"/>
        <w:autoSpaceDE/>
        <w:autoSpaceDN/>
        <w:bidi w:val="0"/>
        <w:snapToGrid/>
        <w:spacing w:beforeAutospacing="0" w:afterAutospacing="0" w:line="360" w:lineRule="auto"/>
        <w:ind w:left="425" w:leftChars="0" w:hanging="425"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“报价一览表”需</w:t>
      </w:r>
      <w:r>
        <w:rPr>
          <w:rFonts w:hint="eastAsia" w:ascii="宋体" w:hAnsi="宋体" w:eastAsia="宋体" w:cs="宋体"/>
          <w:color w:val="auto"/>
          <w:kern w:val="0"/>
          <w:sz w:val="24"/>
          <w:szCs w:val="24"/>
          <w:highlight w:val="none"/>
          <w:lang w:val="en-US" w:eastAsia="zh-CN"/>
        </w:rPr>
        <w:t>单独密封</w:t>
      </w:r>
      <w:r>
        <w:rPr>
          <w:rFonts w:hint="eastAsia" w:ascii="宋体" w:hAnsi="宋体" w:eastAsia="宋体" w:cs="宋体"/>
          <w:color w:val="auto"/>
          <w:kern w:val="0"/>
          <w:sz w:val="24"/>
          <w:szCs w:val="24"/>
          <w:highlight w:val="none"/>
        </w:rPr>
        <w:t>。</w:t>
      </w:r>
    </w:p>
    <w:p w14:paraId="2BDC2B08">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3.报价一览表根据实际情况进行填写，格式不够可自行添加。</w:t>
      </w:r>
    </w:p>
    <w:p w14:paraId="30923CF7">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供应商名称（盖章）：</w:t>
      </w:r>
    </w:p>
    <w:p w14:paraId="285A1527">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法定代表人或授权代表（签字</w:t>
      </w:r>
      <w:r>
        <w:rPr>
          <w:rFonts w:hint="eastAsia" w:ascii="宋体" w:hAnsi="宋体" w:eastAsia="宋体" w:cs="宋体"/>
          <w:color w:val="auto"/>
          <w:kern w:val="0"/>
          <w:sz w:val="24"/>
          <w:szCs w:val="24"/>
          <w:highlight w:val="none"/>
          <w:lang w:val="en-US" w:eastAsia="zh-CN"/>
        </w:rPr>
        <w:t>或签章</w:t>
      </w:r>
      <w:r>
        <w:rPr>
          <w:rFonts w:hint="eastAsia" w:ascii="宋体" w:hAnsi="宋体" w:eastAsia="宋体" w:cs="宋体"/>
          <w:color w:val="auto"/>
          <w:kern w:val="0"/>
          <w:sz w:val="24"/>
          <w:szCs w:val="24"/>
          <w:highlight w:val="none"/>
        </w:rPr>
        <w:t>）：</w:t>
      </w:r>
    </w:p>
    <w:p w14:paraId="094CC581">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p>
    <w:p w14:paraId="260C3AA9">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lang w:eastAsia="zh-CN"/>
        </w:rPr>
      </w:pPr>
    </w:p>
    <w:p w14:paraId="3EDCA4A4">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outlineLvl w:val="9"/>
        <w:rPr>
          <w:rFonts w:hint="eastAsia" w:ascii="宋体" w:hAnsi="宋体" w:eastAsia="宋体" w:cs="宋体"/>
          <w:color w:val="auto"/>
          <w:kern w:val="0"/>
          <w:sz w:val="24"/>
          <w:szCs w:val="24"/>
          <w:highlight w:val="none"/>
        </w:rPr>
      </w:pPr>
    </w:p>
    <w:p w14:paraId="7DEAA9FB">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outlineLvl w:val="9"/>
        <w:rPr>
          <w:rFonts w:hint="eastAsia" w:ascii="宋体" w:hAnsi="宋体" w:eastAsia="宋体" w:cs="宋体"/>
          <w:b/>
          <w:bCs w:val="0"/>
          <w:color w:val="auto"/>
          <w:sz w:val="24"/>
          <w:szCs w:val="24"/>
          <w:highlight w:val="none"/>
          <w:lang w:val="zh-CN"/>
        </w:rPr>
      </w:pPr>
    </w:p>
    <w:p w14:paraId="79600574">
      <w:pPr>
        <w:keepNext w:val="0"/>
        <w:keepLines w:val="0"/>
        <w:pageBreakBefore w:val="0"/>
        <w:kinsoku/>
        <w:wordWrap/>
        <w:overflowPunct/>
        <w:topLinePunct w:val="0"/>
        <w:autoSpaceDE/>
        <w:autoSpaceDN/>
        <w:bidi w:val="0"/>
        <w:spacing w:beforeAutospacing="0" w:afterAutospacing="0" w:line="360" w:lineRule="auto"/>
        <w:outlineLvl w:val="9"/>
        <w:rPr>
          <w:rFonts w:hint="eastAsia" w:ascii="宋体" w:hAnsi="宋体" w:eastAsia="宋体" w:cs="宋体"/>
          <w:b/>
          <w:bCs w:val="0"/>
          <w:color w:val="auto"/>
          <w:sz w:val="24"/>
          <w:szCs w:val="24"/>
          <w:highlight w:val="none"/>
          <w:lang w:val="zh-CN"/>
        </w:rPr>
      </w:pPr>
    </w:p>
    <w:p w14:paraId="1DA2B2A6">
      <w:pPr>
        <w:keepNext w:val="0"/>
        <w:keepLines w:val="0"/>
        <w:pageBreakBefore w:val="0"/>
        <w:kinsoku/>
        <w:bidi w:val="0"/>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p>
    <w:p w14:paraId="0E8CC696">
      <w:pPr>
        <w:pStyle w:val="12"/>
        <w:keepNext w:val="0"/>
        <w:keepLines w:val="0"/>
        <w:pageBreakBefore w:val="0"/>
        <w:kinsoku/>
        <w:wordWrap/>
        <w:overflowPunct/>
        <w:topLinePunct w:val="0"/>
        <w:autoSpaceDE/>
        <w:autoSpaceDN/>
        <w:bidi w:val="0"/>
        <w:spacing w:line="360" w:lineRule="auto"/>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2-2</w:t>
      </w:r>
    </w:p>
    <w:p w14:paraId="12140B34">
      <w:pPr>
        <w:keepNext w:val="0"/>
        <w:keepLines w:val="0"/>
        <w:pageBreakBefore w:val="0"/>
        <w:tabs>
          <w:tab w:val="left" w:pos="540"/>
        </w:tabs>
        <w:kinsoku/>
        <w:wordWrap/>
        <w:overflowPunct/>
        <w:topLinePunct w:val="0"/>
        <w:autoSpaceDE/>
        <w:autoSpaceDN/>
        <w:bidi w:val="0"/>
        <w:snapToGrid/>
        <w:spacing w:beforeAutospacing="0" w:afterAutospacing="0" w:line="360" w:lineRule="auto"/>
        <w:ind w:left="720" w:hanging="720"/>
        <w:jc w:val="center"/>
        <w:textAlignment w:val="auto"/>
        <w:outlineLvl w:val="9"/>
        <w:rPr>
          <w:rFonts w:hint="eastAsia" w:ascii="宋体" w:hAnsi="宋体" w:eastAsia="宋体" w:cs="宋体"/>
          <w:b/>
          <w:bCs w:val="0"/>
          <w:color w:val="auto"/>
          <w:sz w:val="24"/>
          <w:szCs w:val="24"/>
          <w:highlight w:val="none"/>
          <w:lang w:val="zh-CN"/>
        </w:rPr>
      </w:pPr>
    </w:p>
    <w:p w14:paraId="5BACB4CB">
      <w:pPr>
        <w:keepNext w:val="0"/>
        <w:keepLines w:val="0"/>
        <w:pageBreakBefore w:val="0"/>
        <w:tabs>
          <w:tab w:val="left" w:pos="540"/>
        </w:tabs>
        <w:kinsoku/>
        <w:wordWrap/>
        <w:overflowPunct/>
        <w:topLinePunct w:val="0"/>
        <w:autoSpaceDE/>
        <w:autoSpaceDN/>
        <w:bidi w:val="0"/>
        <w:snapToGrid/>
        <w:spacing w:beforeAutospacing="0" w:afterAutospacing="0" w:line="360" w:lineRule="auto"/>
        <w:ind w:left="720" w:hanging="720"/>
        <w:jc w:val="center"/>
        <w:textAlignment w:val="auto"/>
        <w:outlineLvl w:val="9"/>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法定代表人身份授权书</w:t>
      </w:r>
    </w:p>
    <w:p w14:paraId="79B5FFFC">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lang w:val="zh-CN"/>
        </w:rPr>
      </w:pPr>
    </w:p>
    <w:p w14:paraId="2B84FD2A">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u w:val="single"/>
          <w:lang w:val="en-US" w:eastAsia="zh-CN"/>
        </w:rPr>
        <w:t>四川省妇幼保健院</w:t>
      </w:r>
      <w:r>
        <w:rPr>
          <w:rFonts w:hint="eastAsia" w:ascii="宋体" w:hAnsi="宋体" w:eastAsia="宋体" w:cs="宋体"/>
          <w:color w:val="auto"/>
          <w:sz w:val="24"/>
          <w:szCs w:val="24"/>
          <w:highlight w:val="none"/>
          <w:lang w:val="zh-CN"/>
        </w:rPr>
        <w:t>：</w:t>
      </w:r>
    </w:p>
    <w:p w14:paraId="357DA842">
      <w:pPr>
        <w:keepNext w:val="0"/>
        <w:keepLines w:val="0"/>
        <w:pageBreakBefore w:val="0"/>
        <w:tabs>
          <w:tab w:val="left" w:pos="720"/>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u w:val="single"/>
          <w:lang w:val="zh-CN"/>
        </w:rPr>
      </w:pPr>
      <w:r>
        <w:rPr>
          <w:rFonts w:hint="eastAsia" w:ascii="宋体" w:hAnsi="宋体" w:eastAsia="宋体" w:cs="宋体"/>
          <w:color w:val="auto"/>
          <w:sz w:val="24"/>
          <w:szCs w:val="24"/>
          <w:highlight w:val="none"/>
          <w:lang w:val="zh-CN"/>
        </w:rPr>
        <w:t>本授权声明：（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rPr>
        <w:t>名称）</w:t>
      </w:r>
    </w:p>
    <w:p w14:paraId="073637B8">
      <w:pPr>
        <w:keepNext w:val="0"/>
        <w:keepLines w:val="0"/>
        <w:pageBreakBefore w:val="0"/>
        <w:tabs>
          <w:tab w:val="left" w:pos="720"/>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（法定代表人姓名、职务）授权（被授权人姓名、职务）为我方</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项目</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zh-CN"/>
        </w:rPr>
        <w:t>活动的合法代表，以我方名义全权处理该项目有关</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lang w:val="zh-CN"/>
        </w:rPr>
        <w:t>、签订合同以及执行合同等一切事宜。</w:t>
      </w:r>
    </w:p>
    <w:p w14:paraId="1AB1C9D8">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14:paraId="057D4A98">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p>
    <w:p w14:paraId="6924D734">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p>
    <w:p w14:paraId="13C63BEB">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lang w:val="en-US" w:eastAsia="zh-CN"/>
        </w:rPr>
        <w:t>章</w:t>
      </w:r>
      <w:r>
        <w:rPr>
          <w:rFonts w:hint="eastAsia" w:ascii="宋体" w:hAnsi="宋体" w:eastAsia="宋体" w:cs="宋体"/>
          <w:color w:val="auto"/>
          <w:sz w:val="24"/>
          <w:szCs w:val="24"/>
          <w:highlight w:val="none"/>
        </w:rPr>
        <w:t>：</w:t>
      </w:r>
    </w:p>
    <w:p w14:paraId="7D0514EB">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lang w:val="en-US" w:eastAsia="zh-CN"/>
        </w:rPr>
        <w:t>章</w:t>
      </w:r>
      <w:r>
        <w:rPr>
          <w:rFonts w:hint="eastAsia" w:ascii="宋体" w:hAnsi="宋体" w:eastAsia="宋体" w:cs="宋体"/>
          <w:color w:val="auto"/>
          <w:sz w:val="24"/>
          <w:szCs w:val="24"/>
          <w:highlight w:val="none"/>
        </w:rPr>
        <w:t>：</w:t>
      </w:r>
    </w:p>
    <w:p w14:paraId="29E4E804">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盖章</w:t>
      </w:r>
      <w:r>
        <w:rPr>
          <w:rFonts w:hint="eastAsia" w:ascii="宋体" w:hAnsi="宋体" w:eastAsia="宋体" w:cs="宋体"/>
          <w:color w:val="auto"/>
          <w:sz w:val="24"/>
          <w:szCs w:val="24"/>
          <w:highlight w:val="none"/>
        </w:rPr>
        <w:t>）</w:t>
      </w:r>
    </w:p>
    <w:p w14:paraId="7F3B628A">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22BD3FD">
      <w:pPr>
        <w:keepNext w:val="0"/>
        <w:keepLines w:val="0"/>
        <w:pageBreakBefore w:val="0"/>
        <w:numPr>
          <w:ilvl w:val="0"/>
          <w:numId w:val="7"/>
        </w:numPr>
        <w:tabs>
          <w:tab w:val="left" w:pos="6300"/>
        </w:tabs>
        <w:kinsoku/>
        <w:wordWrap/>
        <w:overflowPunct/>
        <w:topLinePunct w:val="0"/>
        <w:autoSpaceDE/>
        <w:autoSpaceDN/>
        <w:bidi w:val="0"/>
        <w:snapToGrid/>
        <w:spacing w:beforeAutospacing="0" w:after="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说明：上述证明文件</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附法定代表人、被授权代表身份证复印件（加盖</w:t>
      </w:r>
      <w:r>
        <w:rPr>
          <w:rFonts w:hint="eastAsia" w:ascii="宋体" w:hAnsi="宋体" w:eastAsia="宋体" w:cs="宋体"/>
          <w:color w:val="auto"/>
          <w:sz w:val="24"/>
          <w:szCs w:val="24"/>
          <w:highlight w:val="none"/>
          <w:lang w:eastAsia="zh-CN"/>
        </w:rPr>
        <w:t>盖章</w:t>
      </w:r>
      <w:r>
        <w:rPr>
          <w:rFonts w:hint="eastAsia" w:ascii="宋体" w:hAnsi="宋体" w:eastAsia="宋体" w:cs="宋体"/>
          <w:color w:val="auto"/>
          <w:sz w:val="24"/>
          <w:szCs w:val="24"/>
          <w:highlight w:val="none"/>
        </w:rPr>
        <w:t>）时才能生效。</w:t>
      </w:r>
    </w:p>
    <w:p w14:paraId="40C09874">
      <w:pPr>
        <w:keepNext w:val="0"/>
        <w:keepLines w:val="0"/>
        <w:pageBreakBefore w:val="0"/>
        <w:widowControl/>
        <w:kinsoku/>
        <w:wordWrap/>
        <w:overflowPunct/>
        <w:topLinePunct w:val="0"/>
        <w:autoSpaceDE/>
        <w:autoSpaceDN/>
        <w:bidi w:val="0"/>
        <w:snapToGrid/>
        <w:spacing w:beforeAutospacing="0" w:afterAutospacing="0" w:line="360" w:lineRule="auto"/>
        <w:ind w:firstLine="640"/>
        <w:jc w:val="left"/>
        <w:textAlignment w:val="auto"/>
        <w:rPr>
          <w:rFonts w:hint="eastAsia" w:ascii="宋体" w:hAnsi="宋体" w:eastAsia="宋体" w:cs="宋体"/>
          <w:color w:val="auto"/>
          <w:kern w:val="0"/>
          <w:sz w:val="24"/>
          <w:szCs w:val="24"/>
          <w:highlight w:val="none"/>
        </w:rPr>
        <w:sectPr>
          <w:pgSz w:w="11906" w:h="16838"/>
          <w:pgMar w:top="1440" w:right="1800" w:bottom="1440" w:left="1800" w:header="851" w:footer="992" w:gutter="0"/>
          <w:cols w:space="425" w:num="1"/>
          <w:docGrid w:type="lines" w:linePitch="312" w:charSpace="0"/>
        </w:sectPr>
      </w:pPr>
    </w:p>
    <w:p w14:paraId="033697B3">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2-3</w:t>
      </w:r>
    </w:p>
    <w:p w14:paraId="4CB1D8BE">
      <w:pPr>
        <w:pStyle w:val="24"/>
        <w:keepNext w:val="0"/>
        <w:keepLines w:val="0"/>
        <w:pageBreakBefore w:val="0"/>
        <w:kinsoku/>
        <w:overflowPunct/>
        <w:topLinePunct w:val="0"/>
        <w:autoSpaceDE/>
        <w:autoSpaceDN/>
        <w:bidi w:val="0"/>
        <w:snapToGrid w:val="0"/>
        <w:spacing w:before="156" w:beforeLines="50" w:after="312" w:afterLines="10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承诺函</w:t>
      </w:r>
    </w:p>
    <w:p w14:paraId="042814EF">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四川省妇幼保健院：</w:t>
      </w:r>
    </w:p>
    <w:p w14:paraId="7743EA30">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本供应商</w:t>
      </w:r>
      <w:r>
        <w:rPr>
          <w:rFonts w:hint="eastAsia" w:ascii="宋体" w:hAnsi="宋体" w:eastAsia="宋体" w:cs="宋体"/>
          <w:sz w:val="24"/>
          <w:szCs w:val="24"/>
          <w:u w:val="single"/>
        </w:rPr>
        <w:t>（供应商全称）</w:t>
      </w:r>
      <w:r>
        <w:rPr>
          <w:rFonts w:hint="eastAsia" w:ascii="宋体" w:hAnsi="宋体" w:eastAsia="宋体" w:cs="宋体"/>
          <w:sz w:val="24"/>
          <w:szCs w:val="24"/>
        </w:rPr>
        <w:t>参加（项目编号）的</w:t>
      </w:r>
      <w:r>
        <w:rPr>
          <w:rFonts w:hint="eastAsia" w:ascii="宋体" w:hAnsi="宋体" w:eastAsia="宋体" w:cs="宋体"/>
          <w:sz w:val="24"/>
          <w:szCs w:val="24"/>
          <w:lang w:val="en-US" w:eastAsia="zh-CN"/>
        </w:rPr>
        <w:t>评审</w:t>
      </w:r>
      <w:r>
        <w:rPr>
          <w:rFonts w:hint="eastAsia" w:ascii="宋体" w:hAnsi="宋体" w:eastAsia="宋体" w:cs="宋体"/>
          <w:sz w:val="24"/>
          <w:szCs w:val="24"/>
        </w:rPr>
        <w:t>活动，现郑重承诺：</w:t>
      </w:r>
    </w:p>
    <w:p w14:paraId="3FA2EB89">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一、具备本项目规定的条件：</w:t>
      </w:r>
    </w:p>
    <w:p w14:paraId="65A1F425">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（一）具有独立承担民事责任的能力；</w:t>
      </w:r>
    </w:p>
    <w:p w14:paraId="7087C13C">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）具有履行合同所必需的设备和专业技术能力；</w:t>
      </w:r>
    </w:p>
    <w:p w14:paraId="7C164FF6">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）有依法缴纳税收和社会保障资金的良好记录；</w:t>
      </w:r>
    </w:p>
    <w:p w14:paraId="7938B699">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四</w:t>
      </w:r>
      <w:r>
        <w:rPr>
          <w:rFonts w:hint="eastAsia" w:ascii="宋体" w:hAnsi="宋体" w:eastAsia="宋体" w:cs="宋体"/>
          <w:sz w:val="24"/>
          <w:szCs w:val="24"/>
        </w:rPr>
        <w:t>）参加采购活动前三年内，在经营活动中没有重大违法记录；</w:t>
      </w:r>
    </w:p>
    <w:p w14:paraId="3BC44A65">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五</w:t>
      </w:r>
      <w:r>
        <w:rPr>
          <w:rFonts w:hint="eastAsia" w:ascii="宋体" w:hAnsi="宋体" w:eastAsia="宋体" w:cs="宋体"/>
          <w:sz w:val="24"/>
          <w:szCs w:val="24"/>
        </w:rPr>
        <w:t>）法律、行政法规规定的其他条件；</w:t>
      </w:r>
    </w:p>
    <w:p w14:paraId="00B5BC38">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w:t>
      </w:r>
      <w:r>
        <w:rPr>
          <w:rFonts w:hint="eastAsia" w:ascii="宋体" w:hAnsi="宋体" w:eastAsia="宋体" w:cs="宋体"/>
          <w:sz w:val="24"/>
          <w:szCs w:val="24"/>
        </w:rPr>
        <w:t>具有良好的商业信誉</w:t>
      </w:r>
      <w:r>
        <w:rPr>
          <w:rFonts w:hint="eastAsia" w:ascii="宋体" w:hAnsi="宋体" w:eastAsia="宋体" w:cs="宋体"/>
          <w:sz w:val="24"/>
          <w:szCs w:val="24"/>
          <w:lang w:eastAsia="zh-CN"/>
        </w:rPr>
        <w:t>；</w:t>
      </w:r>
    </w:p>
    <w:p w14:paraId="390EE1FC">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二、完全接受和满足本项目</w:t>
      </w:r>
      <w:r>
        <w:rPr>
          <w:rFonts w:hint="eastAsia" w:ascii="宋体" w:hAnsi="宋体" w:eastAsia="宋体" w:cs="宋体"/>
          <w:sz w:val="24"/>
          <w:szCs w:val="24"/>
          <w:lang w:eastAsia="zh-CN"/>
        </w:rPr>
        <w:t>采购文件</w:t>
      </w:r>
      <w:r>
        <w:rPr>
          <w:rFonts w:hint="eastAsia" w:ascii="宋体" w:hAnsi="宋体" w:eastAsia="宋体" w:cs="宋体"/>
          <w:sz w:val="24"/>
          <w:szCs w:val="24"/>
        </w:rPr>
        <w:t>中规定的实质性要求，如对</w:t>
      </w:r>
      <w:r>
        <w:rPr>
          <w:rFonts w:hint="eastAsia" w:ascii="宋体" w:hAnsi="宋体" w:eastAsia="宋体" w:cs="宋体"/>
          <w:sz w:val="24"/>
          <w:szCs w:val="24"/>
          <w:lang w:eastAsia="zh-CN"/>
        </w:rPr>
        <w:t>采购文件</w:t>
      </w:r>
      <w:r>
        <w:rPr>
          <w:rFonts w:hint="eastAsia" w:ascii="宋体" w:hAnsi="宋体" w:eastAsia="宋体" w:cs="宋体"/>
          <w:sz w:val="24"/>
          <w:szCs w:val="24"/>
        </w:rPr>
        <w:t>有异议，已经在</w:t>
      </w:r>
      <w:r>
        <w:rPr>
          <w:rFonts w:hint="eastAsia" w:ascii="宋体" w:hAnsi="宋体" w:eastAsia="宋体" w:cs="宋体"/>
          <w:sz w:val="24"/>
          <w:szCs w:val="24"/>
          <w:lang w:val="en-US" w:eastAsia="zh-CN"/>
        </w:rPr>
        <w:t>采购文件递交</w:t>
      </w:r>
      <w:r>
        <w:rPr>
          <w:rFonts w:hint="eastAsia" w:ascii="宋体" w:hAnsi="宋体" w:eastAsia="宋体" w:cs="宋体"/>
          <w:sz w:val="24"/>
          <w:szCs w:val="24"/>
        </w:rPr>
        <w:t>截止时间届满前依法进行维权救济，不存在对</w:t>
      </w:r>
      <w:r>
        <w:rPr>
          <w:rFonts w:hint="eastAsia" w:ascii="宋体" w:hAnsi="宋体" w:eastAsia="宋体" w:cs="宋体"/>
          <w:sz w:val="24"/>
          <w:szCs w:val="24"/>
          <w:lang w:eastAsia="zh-CN"/>
        </w:rPr>
        <w:t>采购文件</w:t>
      </w:r>
      <w:r>
        <w:rPr>
          <w:rFonts w:hint="eastAsia" w:ascii="宋体" w:hAnsi="宋体" w:eastAsia="宋体" w:cs="宋体"/>
          <w:sz w:val="24"/>
          <w:szCs w:val="24"/>
        </w:rPr>
        <w:t>有异议的同时又参加</w:t>
      </w:r>
      <w:r>
        <w:rPr>
          <w:rFonts w:hint="eastAsia" w:ascii="宋体" w:hAnsi="宋体" w:eastAsia="宋体" w:cs="宋体"/>
          <w:sz w:val="24"/>
          <w:szCs w:val="24"/>
          <w:lang w:val="en-US" w:eastAsia="zh-CN"/>
        </w:rPr>
        <w:t>投标</w:t>
      </w:r>
      <w:r>
        <w:rPr>
          <w:rFonts w:hint="eastAsia" w:ascii="宋体" w:hAnsi="宋体" w:eastAsia="宋体" w:cs="宋体"/>
          <w:sz w:val="24"/>
          <w:szCs w:val="24"/>
        </w:rPr>
        <w:t>以求侥幸成交或者为实现其他非法目的的行为。承诺成交后签订合同前按采购人要求提交技术参数相关佐证材料。</w:t>
      </w:r>
    </w:p>
    <w:p w14:paraId="07A0C9C1">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三、参加本次</w:t>
      </w:r>
      <w:r>
        <w:rPr>
          <w:rFonts w:hint="eastAsia" w:ascii="宋体" w:hAnsi="宋体" w:eastAsia="宋体" w:cs="宋体"/>
          <w:sz w:val="24"/>
          <w:szCs w:val="24"/>
          <w:lang w:val="en-US" w:eastAsia="zh-CN"/>
        </w:rPr>
        <w:t>公开</w:t>
      </w:r>
      <w:r>
        <w:rPr>
          <w:rFonts w:hint="eastAsia" w:ascii="宋体" w:hAnsi="宋体" w:eastAsia="宋体" w:cs="宋体"/>
          <w:sz w:val="24"/>
          <w:szCs w:val="24"/>
        </w:rPr>
        <w:t>采购活动，不存在与单位负责人为同一人或者存在直接控股、管理关系的其他供应商参与同一合同项下的采购活动的行为。本单位未参与本采购项目前期咨询论证，不属于禁止参加本项目的供应商。</w:t>
      </w:r>
    </w:p>
    <w:p w14:paraId="2BCDB391">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四、参加本次</w:t>
      </w:r>
      <w:r>
        <w:rPr>
          <w:rFonts w:hint="eastAsia" w:ascii="宋体" w:hAnsi="宋体" w:eastAsia="宋体" w:cs="宋体"/>
          <w:sz w:val="24"/>
          <w:szCs w:val="24"/>
          <w:lang w:val="en-US" w:eastAsia="zh-CN"/>
        </w:rPr>
        <w:t>公开</w:t>
      </w:r>
      <w:r>
        <w:rPr>
          <w:rFonts w:hint="eastAsia" w:ascii="宋体" w:hAnsi="宋体" w:eastAsia="宋体" w:cs="宋体"/>
          <w:sz w:val="24"/>
          <w:szCs w:val="24"/>
        </w:rPr>
        <w:t>采购活动，不存在和其他供应商在同一合同项下的采购项目中，同时委托同一个自然人、同一家庭的人员、同一单位的人员作为代理人的行为。</w:t>
      </w:r>
    </w:p>
    <w:p w14:paraId="58BB398F">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五、本单位未被对列入按财库[2016]125号规定的失信被执行人、重大税收违法案件当事人名单、政府采购严重违法失信行为记录名单及其他不符合《中华人民共和国政府采购法》第二十二条规定条件的供应商。</w:t>
      </w:r>
    </w:p>
    <w:p w14:paraId="695A0BC9">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六、国家或行业主管部门对采购产品的技术标准、质量标准和资格资质条件等有强制性规定的，我方承诺符合其要求。</w:t>
      </w:r>
    </w:p>
    <w:p w14:paraId="24289912">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本公司对上述承诺的内容事项真实性负责。如经查实上述承诺的内容事项存在虚假，本单位愿意接受以提供虚假材料谋取成交追究法律责任。</w:t>
      </w:r>
      <w:r>
        <w:rPr>
          <w:rFonts w:hint="eastAsia" w:ascii="宋体" w:hAnsi="宋体" w:eastAsia="宋体" w:cs="宋体"/>
          <w:sz w:val="24"/>
          <w:szCs w:val="24"/>
        </w:rPr>
        <w:tab/>
      </w:r>
      <w:r>
        <w:rPr>
          <w:rFonts w:hint="eastAsia" w:ascii="宋体" w:hAnsi="宋体" w:eastAsia="宋体" w:cs="宋体"/>
          <w:sz w:val="24"/>
          <w:szCs w:val="24"/>
        </w:rPr>
        <w:tab/>
      </w:r>
    </w:p>
    <w:p w14:paraId="549B83FE">
      <w:pPr>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p>
    <w:p w14:paraId="1ACA105C">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供应商名称：（盖章）</w:t>
      </w:r>
    </w:p>
    <w:p w14:paraId="67B5C1CF">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w:t>
      </w:r>
      <w:r>
        <w:rPr>
          <w:rFonts w:hint="eastAsia" w:ascii="宋体" w:hAnsi="宋体" w:eastAsia="宋体" w:cs="宋体"/>
          <w:sz w:val="24"/>
          <w:szCs w:val="24"/>
          <w:u w:val="none"/>
        </w:rPr>
        <w:t>签字或</w:t>
      </w:r>
      <w:r>
        <w:rPr>
          <w:rFonts w:hint="eastAsia" w:ascii="宋体" w:hAnsi="宋体" w:eastAsia="宋体" w:cs="宋体"/>
          <w:sz w:val="24"/>
          <w:szCs w:val="24"/>
          <w:u w:val="none"/>
          <w:lang w:val="en-US" w:eastAsia="zh-CN"/>
        </w:rPr>
        <w:t>签</w:t>
      </w:r>
      <w:r>
        <w:rPr>
          <w:rFonts w:hint="eastAsia" w:ascii="宋体" w:hAnsi="宋体" w:eastAsia="宋体" w:cs="宋体"/>
          <w:sz w:val="24"/>
          <w:szCs w:val="24"/>
          <w:u w:val="none"/>
        </w:rPr>
        <w:t>章）</w:t>
      </w:r>
      <w:r>
        <w:rPr>
          <w:rFonts w:hint="eastAsia" w:ascii="宋体" w:hAnsi="宋体" w:eastAsia="宋体" w:cs="宋体"/>
          <w:sz w:val="24"/>
          <w:szCs w:val="24"/>
        </w:rPr>
        <w:t>：</w:t>
      </w:r>
    </w:p>
    <w:p w14:paraId="3E34161A">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rPr>
        <w:t>日期：</w:t>
      </w:r>
    </w:p>
    <w:p w14:paraId="7EFEC370">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4</w:t>
      </w:r>
    </w:p>
    <w:p w14:paraId="2C99F8BC">
      <w:pPr>
        <w:pStyle w:val="13"/>
        <w:keepNext w:val="0"/>
        <w:keepLines w:val="0"/>
        <w:pageBreakBefore w:val="0"/>
        <w:widowControl/>
        <w:suppressLineNumbers w:val="0"/>
        <w:kinsoku/>
        <w:wordWrap/>
        <w:overflowPunct/>
        <w:topLinePunct w:val="0"/>
        <w:autoSpaceDE/>
        <w:autoSpaceDN/>
        <w:bidi w:val="0"/>
        <w:adjustRightInd/>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商务、</w:t>
      </w:r>
      <w:r>
        <w:rPr>
          <w:rFonts w:hint="eastAsia" w:ascii="宋体" w:hAnsi="宋体" w:eastAsia="宋体" w:cs="宋体"/>
          <w:b/>
          <w:color w:val="auto"/>
          <w:sz w:val="24"/>
          <w:szCs w:val="24"/>
        </w:rPr>
        <w:t>技术、服务响应/偏离表</w:t>
      </w:r>
    </w:p>
    <w:p w14:paraId="79E4DBE9">
      <w:pPr>
        <w:pStyle w:val="13"/>
        <w:keepNext w:val="0"/>
        <w:keepLines w:val="0"/>
        <w:pageBreakBefore w:val="0"/>
        <w:widowControl/>
        <w:suppressLineNumbers w:val="0"/>
        <w:kinsoku/>
        <w:wordWrap/>
        <w:overflowPunct/>
        <w:topLinePunct w:val="0"/>
        <w:autoSpaceDE/>
        <w:autoSpaceDN/>
        <w:bidi w:val="0"/>
        <w:adjustRightInd/>
        <w:spacing w:after="120" w:afterAutospacing="0"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供应商名称：</w:t>
      </w:r>
      <w:r>
        <w:rPr>
          <w:rFonts w:hint="eastAsia" w:ascii="宋体" w:hAnsi="宋体" w:eastAsia="宋体" w:cs="宋体"/>
          <w:b/>
          <w:color w:val="auto"/>
          <w:sz w:val="24"/>
          <w:szCs w:val="24"/>
          <w:u w:val="single"/>
        </w:rPr>
        <w:t>             </w:t>
      </w:r>
    </w:p>
    <w:p w14:paraId="3C675641">
      <w:pPr>
        <w:pStyle w:val="13"/>
        <w:keepNext w:val="0"/>
        <w:keepLines w:val="0"/>
        <w:pageBreakBefore w:val="0"/>
        <w:widowControl/>
        <w:suppressLineNumbers w:val="0"/>
        <w:kinsoku/>
        <w:wordWrap/>
        <w:overflowPunct/>
        <w:topLinePunct w:val="0"/>
        <w:autoSpaceDE/>
        <w:autoSpaceDN/>
        <w:bidi w:val="0"/>
        <w:adjustRightInd/>
        <w:spacing w:after="120" w:afterAutospacing="0"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采购编号：</w:t>
      </w:r>
      <w:r>
        <w:rPr>
          <w:rFonts w:hint="eastAsia" w:ascii="宋体" w:hAnsi="宋体" w:eastAsia="宋体" w:cs="宋体"/>
          <w:b/>
          <w:color w:val="auto"/>
          <w:sz w:val="24"/>
          <w:szCs w:val="24"/>
          <w:u w:val="single"/>
        </w:rPr>
        <w:t>             </w:t>
      </w:r>
      <w:r>
        <w:rPr>
          <w:rFonts w:hint="eastAsia" w:ascii="宋体" w:hAnsi="宋体" w:eastAsia="宋体" w:cs="宋体"/>
          <w:b/>
          <w:color w:val="auto"/>
          <w:sz w:val="24"/>
          <w:szCs w:val="24"/>
        </w:rPr>
        <w:t> </w:t>
      </w:r>
    </w:p>
    <w:tbl>
      <w:tblPr>
        <w:tblStyle w:val="16"/>
        <w:tblW w:w="85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35"/>
        <w:gridCol w:w="1989"/>
        <w:gridCol w:w="1665"/>
        <w:gridCol w:w="2736"/>
        <w:gridCol w:w="1440"/>
      </w:tblGrid>
      <w:tr w14:paraId="289960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645" w:hRule="atLeast"/>
        </w:trPr>
        <w:tc>
          <w:tcPr>
            <w:tcW w:w="73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9AA65B">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9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A378BC">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文件条目号</w:t>
            </w:r>
          </w:p>
        </w:tc>
        <w:tc>
          <w:tcPr>
            <w:tcW w:w="166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F9AC5F">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文件要求</w:t>
            </w:r>
          </w:p>
        </w:tc>
        <w:tc>
          <w:tcPr>
            <w:tcW w:w="273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A22DE8">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响应文件响应说明</w:t>
            </w:r>
          </w:p>
        </w:tc>
        <w:tc>
          <w:tcPr>
            <w:tcW w:w="14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D8240E">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响应/偏离</w:t>
            </w:r>
          </w:p>
        </w:tc>
      </w:tr>
      <w:tr w14:paraId="0F3A25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AD24AB3">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FB858A1">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F43915C">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D456D7C">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02A3F34">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42A83B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3EBD8D17">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0D1A9C7">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D188C58">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5640EDD">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73C65C7">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0DC1E4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3997383">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A28868E">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50FA970">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8896B88">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67BE2A2">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4785C9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5394EBA">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5FBF5CD">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3B883E9">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3261643">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67E7144">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1266D6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0BE669F4">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00BA28E">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C887C6A">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EEDC7D9">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1171EC8">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0CD4E9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5AF7FA76">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F91D156">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ED7468B">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CC54E2F">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9336E16">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bl>
    <w:p w14:paraId="12CF31DD">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p>
    <w:p w14:paraId="11A3205D">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p>
    <w:p w14:paraId="5695BF83">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        （盖章）</w:t>
      </w:r>
    </w:p>
    <w:p w14:paraId="2B8BAC31">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法定代表人/授权代表（签字或</w:t>
      </w:r>
      <w:r>
        <w:rPr>
          <w:rFonts w:hint="eastAsia" w:ascii="宋体" w:hAnsi="宋体" w:eastAsia="宋体" w:cs="宋体"/>
          <w:color w:val="auto"/>
          <w:sz w:val="24"/>
          <w:szCs w:val="24"/>
          <w:lang w:eastAsia="zh-CN"/>
        </w:rPr>
        <w:t>签章</w:t>
      </w:r>
      <w:r>
        <w:rPr>
          <w:rFonts w:hint="eastAsia" w:ascii="宋体" w:hAnsi="宋体" w:eastAsia="宋体" w:cs="宋体"/>
          <w:color w:val="auto"/>
          <w:sz w:val="24"/>
          <w:szCs w:val="24"/>
        </w:rPr>
        <w:t>）：</w:t>
      </w:r>
    </w:p>
    <w:p w14:paraId="0A7B5407">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p>
    <w:p w14:paraId="027861B2">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p>
    <w:p w14:paraId="62842103">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注：供应商必须据实填写，不得虚假应答，否则将取消其报价或成交资格。如与</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文件所列★相关条款有偏离条款，请将偏离条款逐条应答。未明确偏离的条款，视为默认接受，供应商不得籍未作应答而拒不接受。</w:t>
      </w:r>
      <w:r>
        <w:rPr>
          <w:rFonts w:hint="eastAsia" w:ascii="宋体" w:hAnsi="宋体" w:eastAsia="宋体" w:cs="宋体"/>
          <w:color w:val="auto"/>
          <w:sz w:val="24"/>
          <w:szCs w:val="24"/>
          <w:lang w:val="en-US" w:eastAsia="zh-CN"/>
        </w:rPr>
        <w:t>如无偏离，请填写无偏离或正偏离。</w:t>
      </w:r>
      <w:r>
        <w:rPr>
          <w:rFonts w:hint="eastAsia" w:ascii="宋体" w:hAnsi="宋体" w:eastAsia="宋体" w:cs="宋体"/>
          <w:color w:val="auto"/>
          <w:sz w:val="24"/>
          <w:szCs w:val="24"/>
        </w:rPr>
        <w:t>若</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文件中有要求提供证明材料的★相关条款应当在此表中列出并应答。</w:t>
      </w:r>
    </w:p>
    <w:p w14:paraId="4D7D022F">
      <w:pPr>
        <w:keepNext w:val="0"/>
        <w:keepLines w:val="0"/>
        <w:pageBreakBefore w:val="0"/>
        <w:kinsoku/>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7FF32246">
      <w:pPr>
        <w:keepNext w:val="0"/>
        <w:keepLines w:val="0"/>
        <w:pageBreakBefore w:val="0"/>
        <w:kinsoku/>
        <w:wordWrap/>
        <w:overflowPunct/>
        <w:topLinePunct w:val="0"/>
        <w:autoSpaceDE/>
        <w:autoSpaceDN/>
        <w:bidi w:val="0"/>
        <w:spacing w:beforeAutospacing="0" w:afterAutospacing="0" w:line="360" w:lineRule="auto"/>
        <w:outlineLvl w:val="1"/>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附件</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响应文件</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装订顺序</w:t>
      </w:r>
    </w:p>
    <w:p w14:paraId="5DBF711E">
      <w:pPr>
        <w:pStyle w:val="6"/>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sz w:val="24"/>
          <w:szCs w:val="24"/>
          <w:highlight w:val="none"/>
          <w:lang w:val="en-US" w:eastAsia="zh-CN"/>
        </w:rPr>
      </w:pPr>
    </w:p>
    <w:p w14:paraId="5A6AA764">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pacing w:val="8"/>
          <w:sz w:val="24"/>
          <w:szCs w:val="24"/>
          <w:highlight w:val="none"/>
        </w:rPr>
      </w:pP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封面（公司、项目、联系人、联系方式）</w:t>
      </w:r>
    </w:p>
    <w:p w14:paraId="56B06F3C">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pacing w:val="8"/>
          <w:sz w:val="24"/>
          <w:szCs w:val="24"/>
          <w:highlight w:val="none"/>
        </w:rPr>
      </w:pPr>
      <w:r>
        <w:rPr>
          <w:rFonts w:hint="eastAsia" w:ascii="宋体" w:hAnsi="宋体" w:eastAsia="宋体" w:cs="宋体"/>
          <w:bCs/>
          <w:color w:val="auto"/>
          <w:spacing w:val="8"/>
          <w:sz w:val="24"/>
          <w:szCs w:val="24"/>
          <w:highlight w:val="none"/>
        </w:rPr>
        <w:t>2</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目录</w:t>
      </w:r>
    </w:p>
    <w:p w14:paraId="1B1329EC">
      <w:pPr>
        <w:keepNext w:val="0"/>
        <w:keepLines w:val="0"/>
        <w:pageBreakBefore w:val="0"/>
        <w:numPr>
          <w:ilvl w:val="0"/>
          <w:numId w:val="8"/>
        </w:numPr>
        <w:kinsoku/>
        <w:wordWrap/>
        <w:overflowPunct/>
        <w:topLinePunct w:val="0"/>
        <w:autoSpaceDE/>
        <w:autoSpaceDN/>
        <w:bidi w:val="0"/>
        <w:adjustRightInd w:val="0"/>
        <w:spacing w:beforeAutospacing="0" w:afterAutospacing="0" w:line="360" w:lineRule="auto"/>
        <w:ind w:left="420" w:leftChars="0" w:hanging="420" w:firstLineChars="0"/>
        <w:jc w:val="both"/>
        <w:rPr>
          <w:rFonts w:hint="eastAsia" w:ascii="宋体" w:hAnsi="宋体" w:eastAsia="宋体" w:cs="宋体"/>
          <w:b/>
          <w:color w:val="auto"/>
          <w:sz w:val="24"/>
          <w:szCs w:val="24"/>
          <w:highlight w:val="none"/>
        </w:rPr>
      </w:pP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color w:val="auto"/>
          <w:sz w:val="24"/>
          <w:szCs w:val="24"/>
          <w:highlight w:val="none"/>
        </w:rPr>
        <w:t>报价一览表</w:t>
      </w:r>
    </w:p>
    <w:p w14:paraId="47446317">
      <w:pPr>
        <w:keepNext w:val="0"/>
        <w:keepLines w:val="0"/>
        <w:pageBreakBefore w:val="0"/>
        <w:numPr>
          <w:ilvl w:val="0"/>
          <w:numId w:val="8"/>
        </w:numPr>
        <w:kinsoku/>
        <w:wordWrap/>
        <w:overflowPunct/>
        <w:topLinePunct w:val="0"/>
        <w:autoSpaceDE/>
        <w:autoSpaceDN/>
        <w:bidi w:val="0"/>
        <w:adjustRightInd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企业营业执照（复印件）</w:t>
      </w:r>
    </w:p>
    <w:p w14:paraId="7A4585C3">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供应商资质</w:t>
      </w:r>
    </w:p>
    <w:p w14:paraId="1684703A">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.禁止围标、串标情况承诺函</w:t>
      </w:r>
    </w:p>
    <w:p w14:paraId="0785B03C">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bCs/>
          <w:color w:val="auto"/>
          <w:sz w:val="24"/>
          <w:szCs w:val="24"/>
          <w:highlight w:val="none"/>
        </w:rPr>
        <w:t>如有</w:t>
      </w:r>
      <w:r>
        <w:rPr>
          <w:rFonts w:hint="eastAsia" w:ascii="宋体" w:hAnsi="宋体" w:eastAsia="宋体" w:cs="宋体"/>
          <w:color w:val="auto"/>
          <w:sz w:val="24"/>
          <w:szCs w:val="24"/>
          <w:highlight w:val="none"/>
        </w:rPr>
        <w:t>企业管理体系认证（考核），请提供的有效证明文件的复印或扫描件，质量管理体系认证包括FDA、CE、ISO等认证（提供中文翻译复印件）</w:t>
      </w:r>
    </w:p>
    <w:p w14:paraId="562CF58A">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8.行业相关</w:t>
      </w:r>
      <w:r>
        <w:rPr>
          <w:rFonts w:hint="eastAsia" w:ascii="宋体" w:hAnsi="宋体" w:eastAsia="宋体" w:cs="宋体"/>
          <w:color w:val="auto"/>
          <w:sz w:val="24"/>
          <w:szCs w:val="24"/>
          <w:highlight w:val="none"/>
        </w:rPr>
        <w:t>规范或标准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lang w:eastAsia="zh-CN"/>
        </w:rPr>
        <w:t>）</w:t>
      </w:r>
    </w:p>
    <w:p w14:paraId="4481F8F3">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bCs/>
          <w:color w:val="auto"/>
          <w:spacing w:val="8"/>
          <w:sz w:val="24"/>
          <w:szCs w:val="24"/>
          <w:highlight w:val="none"/>
        </w:rPr>
        <w:t>售后</w:t>
      </w:r>
      <w:r>
        <w:rPr>
          <w:rFonts w:hint="eastAsia" w:ascii="宋体" w:hAnsi="宋体" w:eastAsia="宋体" w:cs="宋体"/>
          <w:bCs/>
          <w:color w:val="auto"/>
          <w:sz w:val="24"/>
          <w:szCs w:val="24"/>
          <w:highlight w:val="none"/>
        </w:rPr>
        <w:t>服务承诺</w:t>
      </w:r>
    </w:p>
    <w:p w14:paraId="6F8EB23B">
      <w:pPr>
        <w:keepNext w:val="0"/>
        <w:keepLines w:val="0"/>
        <w:pageBreakBefore w:val="0"/>
        <w:numPr>
          <w:ilvl w:val="0"/>
          <w:numId w:val="8"/>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val="en-US" w:eastAsia="zh-CN"/>
        </w:rPr>
        <w:t>认为需要提供的其它文件</w:t>
      </w:r>
    </w:p>
    <w:p w14:paraId="3710EF44">
      <w:pPr>
        <w:keepNext w:val="0"/>
        <w:keepLines w:val="0"/>
        <w:pageBreakBefore w:val="0"/>
        <w:numPr>
          <w:ilvl w:val="0"/>
          <w:numId w:val="8"/>
        </w:numPr>
        <w:tabs>
          <w:tab w:val="left" w:pos="0"/>
        </w:tabs>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z w:val="24"/>
          <w:szCs w:val="24"/>
          <w:highlight w:val="none"/>
        </w:rPr>
      </w:pP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8"/>
          <w:sz w:val="24"/>
          <w:szCs w:val="24"/>
          <w:highlight w:val="none"/>
          <w:lang w:val="en-US" w:eastAsia="zh-CN"/>
        </w:rPr>
        <w:t>1.</w:t>
      </w:r>
      <w:r>
        <w:rPr>
          <w:rFonts w:hint="eastAsia" w:ascii="宋体" w:hAnsi="宋体" w:eastAsia="宋体" w:cs="宋体"/>
          <w:bCs/>
          <w:color w:val="auto"/>
          <w:spacing w:val="8"/>
          <w:sz w:val="24"/>
          <w:szCs w:val="24"/>
          <w:highlight w:val="none"/>
        </w:rPr>
        <w:t>封底</w:t>
      </w:r>
    </w:p>
    <w:p w14:paraId="27DC5455">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注：请务必按以上顺序装订资料，如有非中文资料，请同时提供中文翻译件。</w:t>
      </w:r>
    </w:p>
    <w:p w14:paraId="563323F3">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7" w:firstLineChars="202"/>
        <w:jc w:val="both"/>
        <w:textAlignment w:val="baseline"/>
        <w:rPr>
          <w:rFonts w:hint="eastAsia" w:ascii="宋体" w:hAnsi="宋体" w:eastAsia="宋体" w:cs="宋体"/>
          <w:b/>
          <w:bCs/>
          <w:i w:val="0"/>
          <w:caps w:val="0"/>
          <w:color w:val="auto"/>
          <w:spacing w:val="0"/>
          <w:w w:val="100"/>
          <w:sz w:val="24"/>
          <w:szCs w:val="24"/>
          <w:highlight w:val="none"/>
        </w:rPr>
      </w:pPr>
    </w:p>
    <w:p w14:paraId="45AACA90">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5FCBB3D2">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4E837F1E">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48A1D78D">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735FF47E">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04AE44F1">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3A0F4510">
      <w:pPr>
        <w:pStyle w:val="12"/>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62CA80AA">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46E254FD">
      <w:pPr>
        <w:pStyle w:val="12"/>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70DBC572">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685B803A">
      <w:pPr>
        <w:pStyle w:val="12"/>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01FF752B">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6AD4B357">
      <w:pPr>
        <w:keepNext w:val="0"/>
        <w:keepLines w:val="0"/>
        <w:pageBreakBefore w:val="0"/>
        <w:kinsoku/>
        <w:bidi w:val="0"/>
        <w:spacing w:line="360" w:lineRule="auto"/>
        <w:rPr>
          <w:rFonts w:hint="eastAsia" w:ascii="宋体" w:hAnsi="宋体" w:eastAsia="宋体" w:cs="宋体"/>
          <w:b/>
          <w:bCs/>
          <w:i w:val="0"/>
          <w:caps w:val="0"/>
          <w:color w:val="auto"/>
          <w:spacing w:val="0"/>
          <w:w w:val="100"/>
          <w:sz w:val="24"/>
          <w:szCs w:val="24"/>
          <w:highlight w:val="none"/>
        </w:rPr>
      </w:pPr>
      <w:r>
        <w:rPr>
          <w:rFonts w:hint="eastAsia" w:ascii="宋体" w:hAnsi="宋体" w:eastAsia="宋体" w:cs="宋体"/>
          <w:b/>
          <w:bCs/>
          <w:i w:val="0"/>
          <w:caps w:val="0"/>
          <w:color w:val="auto"/>
          <w:spacing w:val="0"/>
          <w:w w:val="100"/>
          <w:sz w:val="24"/>
          <w:szCs w:val="24"/>
          <w:highlight w:val="none"/>
        </w:rPr>
        <w:br w:type="page"/>
      </w:r>
    </w:p>
    <w:p w14:paraId="5FFA147B">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outlineLvl w:val="1"/>
        <w:rPr>
          <w:rFonts w:hint="eastAsia" w:ascii="宋体" w:hAnsi="宋体" w:eastAsia="宋体" w:cs="宋体"/>
          <w:b/>
          <w:bCs/>
          <w:i w:val="0"/>
          <w:caps w:val="0"/>
          <w:color w:val="auto"/>
          <w:spacing w:val="0"/>
          <w:w w:val="100"/>
          <w:sz w:val="24"/>
          <w:szCs w:val="24"/>
          <w:highlight w:val="none"/>
        </w:rPr>
      </w:pPr>
      <w:r>
        <w:rPr>
          <w:rFonts w:hint="eastAsia" w:ascii="宋体" w:hAnsi="宋体" w:eastAsia="宋体" w:cs="宋体"/>
          <w:b/>
          <w:bCs/>
          <w:i w:val="0"/>
          <w:caps w:val="0"/>
          <w:color w:val="auto"/>
          <w:spacing w:val="0"/>
          <w:w w:val="100"/>
          <w:sz w:val="24"/>
          <w:szCs w:val="24"/>
          <w:highlight w:val="none"/>
        </w:rPr>
        <w:t>附件4</w:t>
      </w:r>
    </w:p>
    <w:p w14:paraId="7D5966B0">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center"/>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反商业贿赂承诺书</w:t>
      </w:r>
    </w:p>
    <w:p w14:paraId="079054AF">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27613D8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1A551E13">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二、本厂家、商家、公司保证在药品、医疗器械、设备、物资、基建工程竞标工作及药品、试剂销售等工作中承诺做到：</w:t>
      </w:r>
    </w:p>
    <w:p w14:paraId="0AAE7FBC">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1</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不与其他</w:t>
      </w:r>
      <w:r>
        <w:rPr>
          <w:rFonts w:hint="eastAsia" w:ascii="宋体" w:hAnsi="宋体" w:eastAsia="宋体" w:cs="宋体"/>
          <w:b w:val="0"/>
          <w:i w:val="0"/>
          <w:caps w:val="0"/>
          <w:color w:val="auto"/>
          <w:spacing w:val="0"/>
          <w:w w:val="100"/>
          <w:sz w:val="24"/>
          <w:szCs w:val="24"/>
          <w:highlight w:val="none"/>
          <w:lang w:eastAsia="zh-CN"/>
        </w:rPr>
        <w:t>供应商</w:t>
      </w:r>
      <w:r>
        <w:rPr>
          <w:rFonts w:hint="eastAsia" w:ascii="宋体" w:hAnsi="宋体" w:eastAsia="宋体" w:cs="宋体"/>
          <w:b w:val="0"/>
          <w:i w:val="0"/>
          <w:caps w:val="0"/>
          <w:color w:val="auto"/>
          <w:spacing w:val="0"/>
          <w:w w:val="100"/>
          <w:sz w:val="24"/>
          <w:szCs w:val="24"/>
          <w:highlight w:val="none"/>
        </w:rPr>
        <w:t>相互串通投标报价，损害贵院的合法权益；</w:t>
      </w:r>
    </w:p>
    <w:p w14:paraId="7B873FB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2</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不与招标人串通投标，损害国家利益、社会公共利益或他人的合法权益；</w:t>
      </w:r>
    </w:p>
    <w:p w14:paraId="172A69E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3</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不以向招标人或者评标委员会成员行贿的手段谋取中标；</w:t>
      </w:r>
    </w:p>
    <w:p w14:paraId="3CC8E947">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4</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竞标报价不违反相关法律的规定，也不以他人名义投标或者以其他方式弄虚作假，骗取中标；</w:t>
      </w:r>
    </w:p>
    <w:p w14:paraId="2E3670ED">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5</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保证不以其他任何方式扰乱贵院的招标工作；</w:t>
      </w:r>
    </w:p>
    <w:p w14:paraId="44EF3C21">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6</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保证不在药品销售、医疗器械、设备、物资、基建工程竞标中采取账外暗中给予回扣的手段腐蚀、贿赂医护、药剂人员、干部等其他相关人员；</w:t>
      </w:r>
    </w:p>
    <w:p w14:paraId="38FBF71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7</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保证不以任何名义包括以宣传费、临床促销费、开单费、处方费、广告费、免费度假、考察旅游、房屋装修等任何名义给予贵院采购人员、药剂人员、医护人员、干部等有关人员以财物或者其他利益；</w:t>
      </w:r>
    </w:p>
    <w:p w14:paraId="6104162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8</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保证不让贵院临床科室、药剂部门以及有关人员登记、统计医生处方或为此提供方便，干扰贵院的正常工作秩序；</w:t>
      </w:r>
    </w:p>
    <w:p w14:paraId="7E474E9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9</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保证不以其他任何不正当竞争手段推销药品、医疗器械、设备、物资。</w:t>
      </w:r>
    </w:p>
    <w:p w14:paraId="5E2D16E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三、本厂家、商家、公司保证竭力维护贵院的声誉，不做任何有损贵院形象的事情。</w:t>
      </w:r>
    </w:p>
    <w:p w14:paraId="4018AEFC">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1FE6E89F">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五、对本厂家、商家、公司及本厂家、商家、公司工作人员采取以上手段竞标、促销等，干扰贵院正常工作秩序，损害贵院形象的，本厂家、商家、公司保证：</w:t>
      </w:r>
    </w:p>
    <w:p w14:paraId="3C210525">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1</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对尚处在竞标阶段的，贵院有权取消本厂家、商家、公司的竞标资格；已经中标的，贵院有权取消中标；对已经获得准入资格的，贵院有权随时取消本厂家、商家、公司的准入资格；</w:t>
      </w:r>
    </w:p>
    <w:p w14:paraId="6B911E8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2</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对本厂家、商家、公司相关工作人员作出严肃处理；</w:t>
      </w:r>
    </w:p>
    <w:p w14:paraId="6E881C2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3</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对由于本厂家、商家、公司或本厂家、商家、公司工作人员的上述行为给贵院造成经济或名誉损失的，由本厂家、商家、公司负责，并愿意承担全部民事赔偿责任。</w:t>
      </w:r>
    </w:p>
    <w:p w14:paraId="4158DF9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rPr>
        <w:t>六、采购</w:t>
      </w:r>
      <w:r>
        <w:rPr>
          <w:rFonts w:hint="eastAsia" w:ascii="宋体" w:hAnsi="宋体" w:eastAsia="宋体" w:cs="宋体"/>
          <w:b w:val="0"/>
          <w:i w:val="0"/>
          <w:caps w:val="0"/>
          <w:color w:val="auto"/>
          <w:spacing w:val="0"/>
          <w:w w:val="100"/>
          <w:sz w:val="24"/>
          <w:szCs w:val="24"/>
          <w:highlight w:val="none"/>
          <w:lang w:val="en-US" w:eastAsia="zh-CN"/>
        </w:rPr>
        <w:t>项目</w:t>
      </w:r>
      <w:r>
        <w:rPr>
          <w:rFonts w:hint="eastAsia" w:ascii="宋体" w:hAnsi="宋体" w:eastAsia="宋体" w:cs="宋体"/>
          <w:b w:val="0"/>
          <w:i w:val="0"/>
          <w:caps w:val="0"/>
          <w:color w:val="auto"/>
          <w:spacing w:val="0"/>
          <w:w w:val="100"/>
          <w:sz w:val="24"/>
          <w:szCs w:val="24"/>
          <w:highlight w:val="none"/>
        </w:rPr>
        <w:t>名称：</w:t>
      </w:r>
    </w:p>
    <w:p w14:paraId="342FC857">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本《承诺书》一式</w:t>
      </w:r>
      <w:r>
        <w:rPr>
          <w:rFonts w:hint="eastAsia" w:ascii="宋体" w:hAnsi="宋体" w:eastAsia="宋体" w:cs="宋体"/>
          <w:b w:val="0"/>
          <w:i w:val="0"/>
          <w:caps w:val="0"/>
          <w:color w:val="auto"/>
          <w:spacing w:val="0"/>
          <w:w w:val="100"/>
          <w:sz w:val="24"/>
          <w:szCs w:val="24"/>
          <w:highlight w:val="none"/>
          <w:lang w:val="en-US" w:eastAsia="zh-CN"/>
        </w:rPr>
        <w:t>二</w:t>
      </w:r>
      <w:r>
        <w:rPr>
          <w:rFonts w:hint="eastAsia" w:ascii="宋体" w:hAnsi="宋体" w:eastAsia="宋体" w:cs="宋体"/>
          <w:b w:val="0"/>
          <w:i w:val="0"/>
          <w:caps w:val="0"/>
          <w:color w:val="auto"/>
          <w:spacing w:val="0"/>
          <w:w w:val="100"/>
          <w:sz w:val="24"/>
          <w:szCs w:val="24"/>
          <w:highlight w:val="none"/>
        </w:rPr>
        <w:t>份（一份由承诺人自存；一份随竞价书传递）</w:t>
      </w:r>
    </w:p>
    <w:p w14:paraId="1EFFC397">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p>
    <w:p w14:paraId="06D41F5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rPr>
        <w:t>承诺</w:t>
      </w:r>
      <w:r>
        <w:rPr>
          <w:rFonts w:hint="eastAsia" w:ascii="宋体" w:hAnsi="宋体" w:eastAsia="宋体" w:cs="宋体"/>
          <w:b w:val="0"/>
          <w:i w:val="0"/>
          <w:caps w:val="0"/>
          <w:color w:val="auto"/>
          <w:spacing w:val="0"/>
          <w:w w:val="100"/>
          <w:sz w:val="24"/>
          <w:szCs w:val="24"/>
          <w:highlight w:val="none"/>
          <w:lang w:val="en-US" w:eastAsia="zh-CN"/>
        </w:rPr>
        <w:t>供应商</w:t>
      </w:r>
      <w:r>
        <w:rPr>
          <w:rFonts w:hint="eastAsia" w:ascii="宋体" w:hAnsi="宋体" w:eastAsia="宋体" w:cs="宋体"/>
          <w:b w:val="0"/>
          <w:i w:val="0"/>
          <w:caps w:val="0"/>
          <w:color w:val="auto"/>
          <w:spacing w:val="0"/>
          <w:w w:val="100"/>
          <w:sz w:val="24"/>
          <w:szCs w:val="24"/>
          <w:highlight w:val="none"/>
        </w:rPr>
        <w:t>名称（</w:t>
      </w:r>
      <w:r>
        <w:rPr>
          <w:rFonts w:hint="eastAsia" w:ascii="宋体" w:hAnsi="宋体" w:eastAsia="宋体" w:cs="宋体"/>
          <w:b w:val="0"/>
          <w:i w:val="0"/>
          <w:caps w:val="0"/>
          <w:color w:val="auto"/>
          <w:spacing w:val="0"/>
          <w:w w:val="100"/>
          <w:sz w:val="24"/>
          <w:szCs w:val="24"/>
          <w:highlight w:val="none"/>
          <w:lang w:val="en-US" w:eastAsia="zh-CN"/>
        </w:rPr>
        <w:t>盖</w:t>
      </w:r>
      <w:r>
        <w:rPr>
          <w:rFonts w:hint="eastAsia" w:ascii="宋体" w:hAnsi="宋体" w:eastAsia="宋体" w:cs="宋体"/>
          <w:b w:val="0"/>
          <w:i w:val="0"/>
          <w:caps w:val="0"/>
          <w:color w:val="auto"/>
          <w:spacing w:val="0"/>
          <w:w w:val="100"/>
          <w:sz w:val="24"/>
          <w:szCs w:val="24"/>
          <w:highlight w:val="none"/>
        </w:rPr>
        <w:t>章）</w:t>
      </w:r>
      <w:r>
        <w:rPr>
          <w:rFonts w:hint="eastAsia" w:ascii="宋体" w:hAnsi="宋体" w:eastAsia="宋体" w:cs="宋体"/>
          <w:b w:val="0"/>
          <w:i w:val="0"/>
          <w:caps w:val="0"/>
          <w:color w:val="auto"/>
          <w:spacing w:val="0"/>
          <w:w w:val="100"/>
          <w:sz w:val="24"/>
          <w:szCs w:val="24"/>
          <w:highlight w:val="none"/>
          <w:lang w:eastAsia="zh-CN"/>
        </w:rPr>
        <w:t>：</w:t>
      </w:r>
    </w:p>
    <w:p w14:paraId="7A8245F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lang w:eastAsia="zh-CN"/>
        </w:rPr>
      </w:pPr>
    </w:p>
    <w:p w14:paraId="2732B979">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lang w:eastAsia="zh-CN"/>
        </w:rPr>
        <w:t>法定代表人</w:t>
      </w:r>
      <w:r>
        <w:rPr>
          <w:rFonts w:hint="eastAsia" w:ascii="宋体" w:hAnsi="宋体" w:eastAsia="宋体" w:cs="宋体"/>
          <w:b w:val="0"/>
          <w:i w:val="0"/>
          <w:caps w:val="0"/>
          <w:color w:val="auto"/>
          <w:spacing w:val="0"/>
          <w:w w:val="100"/>
          <w:sz w:val="24"/>
          <w:szCs w:val="24"/>
          <w:highlight w:val="none"/>
        </w:rPr>
        <w:t>或</w:t>
      </w:r>
      <w:r>
        <w:rPr>
          <w:rFonts w:hint="eastAsia" w:ascii="宋体" w:hAnsi="宋体" w:eastAsia="宋体" w:cs="宋体"/>
          <w:b w:val="0"/>
          <w:i w:val="0"/>
          <w:caps w:val="0"/>
          <w:color w:val="auto"/>
          <w:spacing w:val="0"/>
          <w:w w:val="100"/>
          <w:sz w:val="24"/>
          <w:szCs w:val="24"/>
          <w:highlight w:val="none"/>
          <w:lang w:eastAsia="zh-CN"/>
        </w:rPr>
        <w:t>授权代表</w:t>
      </w:r>
      <w:r>
        <w:rPr>
          <w:rFonts w:hint="eastAsia" w:ascii="宋体" w:hAnsi="宋体" w:eastAsia="宋体" w:cs="宋体"/>
          <w:b w:val="0"/>
          <w:i w:val="0"/>
          <w:caps w:val="0"/>
          <w:color w:val="auto"/>
          <w:spacing w:val="0"/>
          <w:w w:val="100"/>
          <w:sz w:val="24"/>
          <w:szCs w:val="24"/>
          <w:highlight w:val="none"/>
        </w:rPr>
        <w:t>（</w:t>
      </w:r>
      <w:r>
        <w:rPr>
          <w:rFonts w:hint="eastAsia" w:ascii="宋体" w:hAnsi="宋体" w:eastAsia="宋体" w:cs="宋体"/>
          <w:b w:val="0"/>
          <w:i w:val="0"/>
          <w:caps w:val="0"/>
          <w:color w:val="auto"/>
          <w:spacing w:val="0"/>
          <w:w w:val="100"/>
          <w:sz w:val="24"/>
          <w:szCs w:val="24"/>
          <w:highlight w:val="none"/>
          <w:lang w:val="en-US" w:eastAsia="zh-CN"/>
        </w:rPr>
        <w:t>签字或签章</w:t>
      </w:r>
      <w:r>
        <w:rPr>
          <w:rFonts w:hint="eastAsia" w:ascii="宋体" w:hAnsi="宋体" w:eastAsia="宋体" w:cs="宋体"/>
          <w:b w:val="0"/>
          <w:i w:val="0"/>
          <w:caps w:val="0"/>
          <w:color w:val="auto"/>
          <w:spacing w:val="0"/>
          <w:w w:val="100"/>
          <w:sz w:val="24"/>
          <w:szCs w:val="24"/>
          <w:highlight w:val="none"/>
        </w:rPr>
        <w:t>）</w:t>
      </w:r>
      <w:r>
        <w:rPr>
          <w:rFonts w:hint="eastAsia" w:ascii="宋体" w:hAnsi="宋体" w:eastAsia="宋体" w:cs="宋体"/>
          <w:b w:val="0"/>
          <w:i w:val="0"/>
          <w:caps w:val="0"/>
          <w:color w:val="auto"/>
          <w:spacing w:val="0"/>
          <w:w w:val="100"/>
          <w:sz w:val="24"/>
          <w:szCs w:val="24"/>
          <w:highlight w:val="none"/>
          <w:lang w:eastAsia="zh-CN"/>
        </w:rPr>
        <w:t>：</w:t>
      </w:r>
    </w:p>
    <w:p w14:paraId="42CF6ED1">
      <w:pPr>
        <w:pStyle w:val="15"/>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val="0"/>
          <w:i w:val="0"/>
          <w:caps w:val="0"/>
          <w:color w:val="auto"/>
          <w:spacing w:val="0"/>
          <w:w w:val="100"/>
          <w:sz w:val="24"/>
          <w:szCs w:val="24"/>
          <w:highlight w:val="none"/>
        </w:rPr>
        <w:sectPr>
          <w:pgSz w:w="11906" w:h="16838"/>
          <w:pgMar w:top="1440" w:right="1800" w:bottom="1440" w:left="1800" w:header="851" w:footer="992" w:gutter="0"/>
          <w:cols w:space="425" w:num="1"/>
          <w:docGrid w:type="lines" w:linePitch="312" w:charSpace="0"/>
        </w:sectPr>
      </w:pPr>
    </w:p>
    <w:p w14:paraId="58BA1997">
      <w:pPr>
        <w:pStyle w:val="6"/>
        <w:keepNext w:val="0"/>
        <w:keepLines w:val="0"/>
        <w:pageBreakBefore w:val="0"/>
        <w:kinsoku/>
        <w:wordWrap/>
        <w:overflowPunct/>
        <w:topLinePunct w:val="0"/>
        <w:autoSpaceDE/>
        <w:autoSpaceDN/>
        <w:bidi w:val="0"/>
        <w:spacing w:beforeAutospacing="0" w:line="360" w:lineRule="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附件5</w:t>
      </w:r>
    </w:p>
    <w:p w14:paraId="7F305D90">
      <w:pPr>
        <w:pStyle w:val="6"/>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无围标、串标行为承诺书</w:t>
      </w:r>
    </w:p>
    <w:p w14:paraId="1D3DDB54">
      <w:pPr>
        <w:keepNext w:val="0"/>
        <w:keepLines w:val="0"/>
        <w:pageBreakBefore w:val="0"/>
        <w:kinsoku/>
        <w:wordWrap/>
        <w:overflowPunct/>
        <w:topLinePunct w:val="0"/>
        <w:autoSpaceDE/>
        <w:autoSpaceDN/>
        <w:bidi w:val="0"/>
        <w:spacing w:beforeAutospacing="0" w:afterAutospacing="0" w:line="360" w:lineRule="auto"/>
        <w:ind w:firstLine="6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本公司郑重承诺：我公司自觉遵守《中华人民共和国政府采购法》和《中华人民共和国政府采购法实施条例》的有关规定，我公司在参加本次项目（项目名称：XXXXXXX）采购活动中，无以下围标、串标行为：</w:t>
      </w:r>
    </w:p>
    <w:p w14:paraId="482319A9">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1.不同供应商的投标文件由同一单位或者个人编制；</w:t>
      </w:r>
    </w:p>
    <w:p w14:paraId="5E79847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2.不同供应商委托同一单位或者个人办理投标事宜；</w:t>
      </w:r>
    </w:p>
    <w:p w14:paraId="43DCFD63">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3.不同供应商的投标文件载明的项目管理成员或者联系人员为同一人；</w:t>
      </w:r>
    </w:p>
    <w:p w14:paraId="716EE1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4.不同供应商的投标文件异常一致或者投标报价呈规律性差异；</w:t>
      </w:r>
    </w:p>
    <w:p w14:paraId="1CC9E0FC">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5.不同供应商的投标文件相互混装；</w:t>
      </w:r>
    </w:p>
    <w:p w14:paraId="730183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6.不同供应商的投标保证金从同一单位或者个人的账户转出；</w:t>
      </w:r>
    </w:p>
    <w:p w14:paraId="616E34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7.不同供应商的董事、监事、高管、单位负责人为同一人或者存在控股、管理关系的不同单位参加同一采购项目；</w:t>
      </w:r>
    </w:p>
    <w:p w14:paraId="03D49A5B">
      <w:pPr>
        <w:pStyle w:val="6"/>
        <w:keepNext w:val="0"/>
        <w:keepLines w:val="0"/>
        <w:pageBreakBefore w:val="0"/>
        <w:numPr>
          <w:ilvl w:val="0"/>
          <w:numId w:val="0"/>
        </w:numPr>
        <w:kinsoku/>
        <w:wordWrap/>
        <w:overflowPunct/>
        <w:topLinePunct w:val="0"/>
        <w:autoSpaceDE/>
        <w:autoSpaceDN/>
        <w:bidi w:val="0"/>
        <w:spacing w:beforeAutospacing="0" w:afterAutospacing="0"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8.供应商之间事先约定由某一特定供应商中标、成交；</w:t>
      </w:r>
    </w:p>
    <w:p w14:paraId="47C84903">
      <w:pPr>
        <w:keepNext w:val="0"/>
        <w:keepLines w:val="0"/>
        <w:pageBreakBefore w:val="0"/>
        <w:numPr>
          <w:ilvl w:val="0"/>
          <w:numId w:val="0"/>
        </w:numPr>
        <w:kinsoku/>
        <w:wordWrap/>
        <w:overflowPunct/>
        <w:topLinePunct w:val="0"/>
        <w:autoSpaceDE/>
        <w:autoSpaceDN/>
        <w:bidi w:val="0"/>
        <w:spacing w:beforeAutospacing="0" w:afterAutospacing="0"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9.供应商之间商定部分供应商放弃参加采购活动或者放弃中标、成交；</w:t>
      </w:r>
    </w:p>
    <w:p w14:paraId="007467CE">
      <w:pPr>
        <w:keepNext w:val="0"/>
        <w:keepLines w:val="0"/>
        <w:pageBreakBefore w:val="0"/>
        <w:numPr>
          <w:ilvl w:val="0"/>
          <w:numId w:val="0"/>
        </w:numPr>
        <w:kinsoku/>
        <w:wordWrap/>
        <w:overflowPunct/>
        <w:topLinePunct w:val="0"/>
        <w:autoSpaceDE/>
        <w:autoSpaceDN/>
        <w:bidi w:val="0"/>
        <w:spacing w:beforeAutospacing="0" w:afterAutospacing="0"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10.法律法规界定的其他围标串标行为。</w:t>
      </w:r>
    </w:p>
    <w:p w14:paraId="4BF5FCE0">
      <w:pPr>
        <w:keepNext w:val="0"/>
        <w:keepLines w:val="0"/>
        <w:pageBreakBefore w:val="0"/>
        <w:numPr>
          <w:ilvl w:val="0"/>
          <w:numId w:val="0"/>
        </w:numPr>
        <w:kinsoku/>
        <w:wordWrap/>
        <w:overflowPunct/>
        <w:topLinePunct w:val="0"/>
        <w:autoSpaceDE/>
        <w:autoSpaceDN/>
        <w:bidi w:val="0"/>
        <w:spacing w:beforeAutospacing="0" w:afterAutospacing="0" w:line="360" w:lineRule="auto"/>
        <w:ind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我公司承诺在本项目采购活动中，与采购人不存在关联关系，与其他投标单位不存在关联关系。如被查实在本项目采购活动中存在围标、串标的，本公司将承担法律责任，接受相应的法律法规处罚。</w:t>
      </w:r>
    </w:p>
    <w:p w14:paraId="7AAB4689">
      <w:pPr>
        <w:pStyle w:val="6"/>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sz w:val="24"/>
          <w:szCs w:val="24"/>
          <w:highlight w:val="none"/>
          <w:lang w:val="en-US" w:eastAsia="zh-CN"/>
        </w:rPr>
      </w:pPr>
    </w:p>
    <w:p w14:paraId="1FF6B15C">
      <w:pPr>
        <w:pStyle w:val="6"/>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法定代表人</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eastAsia="zh-CN"/>
        </w:rPr>
        <w:t>授权代表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签字或签章</w:t>
      </w:r>
      <w:r>
        <w:rPr>
          <w:rFonts w:hint="eastAsia" w:ascii="宋体" w:hAnsi="宋体" w:eastAsia="宋体" w:cs="宋体"/>
          <w:color w:val="auto"/>
          <w:sz w:val="24"/>
          <w:szCs w:val="24"/>
          <w:highlight w:val="none"/>
          <w:lang w:val="en-US" w:eastAsia="zh-CN"/>
        </w:rPr>
        <w:t>）：</w:t>
      </w:r>
    </w:p>
    <w:p w14:paraId="0D4A938F">
      <w:pPr>
        <w:pStyle w:val="6"/>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盖</w:t>
      </w:r>
      <w:r>
        <w:rPr>
          <w:rFonts w:hint="eastAsia" w:ascii="宋体" w:hAnsi="宋体" w:eastAsia="宋体" w:cs="宋体"/>
          <w:color w:val="auto"/>
          <w:sz w:val="24"/>
          <w:szCs w:val="24"/>
          <w:highlight w:val="none"/>
          <w:lang w:val="en-US" w:eastAsia="zh-CN"/>
        </w:rPr>
        <w:t>章）</w:t>
      </w:r>
    </w:p>
    <w:p w14:paraId="7519A418">
      <w:pPr>
        <w:pStyle w:val="6"/>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日期：年月日</w:t>
      </w:r>
    </w:p>
    <w:p w14:paraId="470A03BE">
      <w:pPr>
        <w:pStyle w:val="9"/>
        <w:keepNext w:val="0"/>
        <w:keepLines w:val="0"/>
        <w:pageBreakBefore w:val="0"/>
        <w:numPr>
          <w:ilvl w:val="0"/>
          <w:numId w:val="0"/>
        </w:numPr>
        <w:kinsoku/>
        <w:bidi w:val="0"/>
        <w:spacing w:line="360" w:lineRule="auto"/>
        <w:ind w:left="1680" w:leftChars="0"/>
        <w:rPr>
          <w:rFonts w:hint="eastAsia" w:ascii="宋体" w:hAnsi="宋体" w:eastAsia="宋体" w:cs="宋体"/>
          <w:sz w:val="24"/>
          <w:szCs w:val="24"/>
          <w:lang w:val="en-US" w:eastAsia="zh-CN"/>
        </w:rPr>
      </w:pPr>
    </w:p>
    <w:p w14:paraId="4CF4AD6A">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79041522">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110F2A72">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5A053891">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AF48A18">
      <w:pPr>
        <w:keepNext w:val="0"/>
        <w:keepLines w:val="0"/>
        <w:pageBreakBefore w:val="0"/>
        <w:kinsoku/>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641694F">
      <w:pPr>
        <w:pStyle w:val="6"/>
        <w:keepNext w:val="0"/>
        <w:keepLines w:val="0"/>
        <w:pageBreakBefore w:val="0"/>
        <w:kinsoku/>
        <w:wordWrap/>
        <w:overflowPunct/>
        <w:topLinePunct w:val="0"/>
        <w:autoSpaceDE/>
        <w:autoSpaceDN/>
        <w:bidi w:val="0"/>
        <w:spacing w:beforeAutospacing="0" w:line="360" w:lineRule="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w:t>
      </w:r>
      <w:r>
        <w:rPr>
          <w:rFonts w:hint="eastAsia" w:ascii="宋体" w:hAnsi="宋体" w:eastAsia="宋体" w:cs="宋体"/>
          <w:b/>
          <w:bCs/>
          <w:color w:val="auto"/>
          <w:sz w:val="24"/>
          <w:szCs w:val="24"/>
          <w:highlight w:val="none"/>
          <w:lang w:val="en-US" w:eastAsia="zh-CN"/>
        </w:rPr>
        <w:t>6</w:t>
      </w:r>
    </w:p>
    <w:p w14:paraId="41044ECA">
      <w:pPr>
        <w:keepNext w:val="0"/>
        <w:keepLines w:val="0"/>
        <w:pageBreakBefore w:val="0"/>
        <w:widowControl w:val="0"/>
        <w:kinsoku/>
        <w:wordWrap/>
        <w:overflowPunct/>
        <w:topLinePunct w:val="0"/>
        <w:autoSpaceDE/>
        <w:autoSpaceDN/>
        <w:bidi w:val="0"/>
        <w:adjustRightInd/>
        <w:snapToGrid/>
        <w:spacing w:beforeAutospacing="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供应商遵守招标采购纪律承诺书</w:t>
      </w:r>
    </w:p>
    <w:p w14:paraId="5D46DA7B">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四川省妇幼保健院：</w:t>
      </w:r>
    </w:p>
    <w:p w14:paraId="7CAA2A02">
      <w:pPr>
        <w:keepNext w:val="0"/>
        <w:keepLines w:val="0"/>
        <w:pageBreakBefore w:val="0"/>
        <w:widowControl w:val="0"/>
        <w:kinsoku/>
        <w:wordWrap/>
        <w:overflowPunct/>
        <w:topLinePunct w:val="0"/>
        <w:autoSpaceDE/>
        <w:autoSpaceDN/>
        <w:bidi w:val="0"/>
        <w:adjustRightInd/>
        <w:snapToGrid/>
        <w:spacing w:before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我单位作为本次采购项目的供应商，根据响应文件要求，现郑重承诺如下：</w:t>
      </w:r>
    </w:p>
    <w:p w14:paraId="074089D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一、参加本次采购活动，我单位不存在与单位负责人为同一人或者存在直接控股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管理关系的其他供应商参与同一合同项下的采购活动的行为。</w:t>
      </w:r>
    </w:p>
    <w:p w14:paraId="7363E3EE">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二、参加本次采购活动，不得直接或者间接从采购人或者采购代理机构处获得其他供应商的相关情况并修改其投标文件或者响应文件。</w:t>
      </w:r>
    </w:p>
    <w:p w14:paraId="3CF2C60D">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三、参加本次采购活动，不得按照采购人的授意撤换、修改投标文件或者响应文件。</w:t>
      </w:r>
    </w:p>
    <w:p w14:paraId="0DAB908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四、参加本次采购活动，不得和本次采购供应商之间协商报价、技术方案等投标文件或者响应文件的实质性内容。</w:t>
      </w:r>
    </w:p>
    <w:p w14:paraId="39362E55">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五、本次采购活动中，不存在属于同一集团、协会、商会等组织成员的供应商按照该组织要求协同参加本次采购活动。</w:t>
      </w:r>
    </w:p>
    <w:p w14:paraId="07C3A5B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六、参加本次采购活动，不存在与其他供应商之间事先约定由某一特定供应商中标、成交。</w:t>
      </w:r>
    </w:p>
    <w:p w14:paraId="04F2605F">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七、参加本次采购活动，不存在与其他供应商商定部分供应商放弃参加采购活动或者放弃中标、成交。</w:t>
      </w:r>
    </w:p>
    <w:p w14:paraId="483587C6">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八、参加本次采购活动，不存在我单位的投标文件或者响应文件由其他参与本项目的单位或个人编制或委托办理投标事宜。</w:t>
      </w:r>
    </w:p>
    <w:p w14:paraId="73FCD19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九、参加本次采购活动，不存在我单位与采购人之间、供应商相互之间，为谋求特定供应商中标、成交或者排斥其他供应商的其他串通行为。</w:t>
      </w:r>
    </w:p>
    <w:p w14:paraId="1210440C">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十、与我方存在直接控股关系的单位为：XXX；存在管理关系单位为：XXX。</w:t>
      </w:r>
    </w:p>
    <w:p w14:paraId="4EEF8BDE">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14:paraId="6736BB53">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p>
    <w:p w14:paraId="178A4E18">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盖章</w:t>
      </w:r>
      <w:r>
        <w:rPr>
          <w:rFonts w:hint="eastAsia" w:ascii="宋体" w:hAnsi="宋体" w:eastAsia="宋体" w:cs="宋体"/>
          <w:color w:val="auto"/>
          <w:sz w:val="24"/>
          <w:szCs w:val="24"/>
          <w:highlight w:val="none"/>
        </w:rPr>
        <w:t>）：</w:t>
      </w:r>
    </w:p>
    <w:p w14:paraId="16422B75">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法定代表人/授权代表（签字或</w:t>
      </w:r>
      <w:r>
        <w:rPr>
          <w:rFonts w:hint="eastAsia" w:ascii="宋体" w:hAnsi="宋体" w:eastAsia="宋体" w:cs="宋体"/>
          <w:color w:val="auto"/>
          <w:sz w:val="24"/>
          <w:szCs w:val="24"/>
          <w:highlight w:val="none"/>
          <w:lang w:val="en-US" w:eastAsia="zh-CN"/>
        </w:rPr>
        <w:t>签章</w:t>
      </w:r>
      <w:r>
        <w:rPr>
          <w:rFonts w:hint="eastAsia" w:ascii="宋体" w:hAnsi="宋体" w:eastAsia="宋体" w:cs="宋体"/>
          <w:color w:val="auto"/>
          <w:sz w:val="24"/>
          <w:szCs w:val="24"/>
          <w:highlight w:val="none"/>
        </w:rPr>
        <w:t>）：</w:t>
      </w:r>
    </w:p>
    <w:p w14:paraId="21A23AC6">
      <w:pPr>
        <w:keepNext w:val="0"/>
        <w:keepLines w:val="0"/>
        <w:pageBreakBefore w:val="0"/>
        <w:kinsoku/>
        <w:wordWrap/>
        <w:overflowPunct/>
        <w:topLinePunct w:val="0"/>
        <w:autoSpaceDE/>
        <w:autoSpaceDN/>
        <w:bidi w:val="0"/>
        <w:spacing w:beforeAutospacing="0"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BE70B"/>
    <w:multiLevelType w:val="singleLevel"/>
    <w:tmpl w:val="9B4BE70B"/>
    <w:lvl w:ilvl="0" w:tentative="0">
      <w:start w:val="1"/>
      <w:numFmt w:val="decimal"/>
      <w:lvlText w:val="%1."/>
      <w:lvlJc w:val="left"/>
      <w:pPr>
        <w:ind w:left="425" w:hanging="425"/>
      </w:pPr>
      <w:rPr>
        <w:rFonts w:hint="default"/>
      </w:rPr>
    </w:lvl>
  </w:abstractNum>
  <w:abstractNum w:abstractNumId="1">
    <w:nsid w:val="A3F2F48B"/>
    <w:multiLevelType w:val="singleLevel"/>
    <w:tmpl w:val="A3F2F48B"/>
    <w:lvl w:ilvl="0" w:tentative="0">
      <w:start w:val="1"/>
      <w:numFmt w:val="bullet"/>
      <w:lvlText w:val=""/>
      <w:lvlJc w:val="left"/>
      <w:pPr>
        <w:ind w:left="420" w:hanging="420"/>
      </w:pPr>
      <w:rPr>
        <w:rFonts w:hint="default" w:ascii="Wingdings" w:hAnsi="Wingdings"/>
        <w:b/>
        <w:bCs/>
        <w:color w:val="auto"/>
      </w:rPr>
    </w:lvl>
  </w:abstractNum>
  <w:abstractNum w:abstractNumId="2">
    <w:nsid w:val="BB9F1B74"/>
    <w:multiLevelType w:val="singleLevel"/>
    <w:tmpl w:val="BB9F1B74"/>
    <w:lvl w:ilvl="0" w:tentative="0">
      <w:start w:val="1"/>
      <w:numFmt w:val="decimal"/>
      <w:suff w:val="space"/>
      <w:lvlText w:val="%1."/>
      <w:lvlJc w:val="left"/>
    </w:lvl>
  </w:abstractNum>
  <w:abstractNum w:abstractNumId="3">
    <w:nsid w:val="DCC66E0B"/>
    <w:multiLevelType w:val="singleLevel"/>
    <w:tmpl w:val="DCC66E0B"/>
    <w:lvl w:ilvl="0" w:tentative="0">
      <w:start w:val="2"/>
      <w:numFmt w:val="chineseCounting"/>
      <w:suff w:val="nothing"/>
      <w:lvlText w:val="%1、"/>
      <w:lvlJc w:val="left"/>
      <w:pPr>
        <w:ind w:left="-272"/>
      </w:pPr>
      <w:rPr>
        <w:rFonts w:hint="eastAsia"/>
      </w:rPr>
    </w:lvl>
  </w:abstractNum>
  <w:abstractNum w:abstractNumId="4">
    <w:nsid w:val="10EECAEC"/>
    <w:multiLevelType w:val="singleLevel"/>
    <w:tmpl w:val="10EECAEC"/>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5">
    <w:nsid w:val="2A57F6F3"/>
    <w:multiLevelType w:val="singleLevel"/>
    <w:tmpl w:val="2A57F6F3"/>
    <w:lvl w:ilvl="0" w:tentative="0">
      <w:start w:val="1"/>
      <w:numFmt w:val="decimal"/>
      <w:suff w:val="nothing"/>
      <w:lvlText w:val="%1、"/>
      <w:lvlJc w:val="left"/>
    </w:lvl>
  </w:abstractNum>
  <w:abstractNum w:abstractNumId="6">
    <w:nsid w:val="38513304"/>
    <w:multiLevelType w:val="multilevel"/>
    <w:tmpl w:val="38513304"/>
    <w:lvl w:ilvl="0" w:tentative="0">
      <w:start w:val="3"/>
      <w:numFmt w:val="bullet"/>
      <w:lvlText w:val="★"/>
      <w:lvlJc w:val="left"/>
      <w:pPr>
        <w:tabs>
          <w:tab w:val="left" w:pos="480"/>
        </w:tabs>
        <w:ind w:left="480" w:hanging="360"/>
      </w:pPr>
      <w:rPr>
        <w:rFonts w:hint="eastAsia" w:ascii="宋体" w:hAnsi="宋体" w:eastAsia="宋体" w:cs="Times New Roman"/>
      </w:rPr>
    </w:lvl>
    <w:lvl w:ilvl="1" w:tentative="0">
      <w:start w:val="1"/>
      <w:numFmt w:val="bullet"/>
      <w:lvlText w:val=""/>
      <w:lvlJc w:val="left"/>
      <w:pPr>
        <w:tabs>
          <w:tab w:val="left" w:pos="960"/>
        </w:tabs>
        <w:ind w:left="960" w:hanging="420"/>
      </w:pPr>
      <w:rPr>
        <w:rFonts w:hint="default" w:ascii="Wingdings" w:hAnsi="Wingdings"/>
      </w:rPr>
    </w:lvl>
    <w:lvl w:ilvl="2" w:tentative="0">
      <w:start w:val="1"/>
      <w:numFmt w:val="bullet"/>
      <w:lvlText w:val=""/>
      <w:lvlJc w:val="left"/>
      <w:pPr>
        <w:tabs>
          <w:tab w:val="left" w:pos="1380"/>
        </w:tabs>
        <w:ind w:left="1380" w:hanging="420"/>
      </w:pPr>
      <w:rPr>
        <w:rFonts w:hint="default" w:ascii="Wingdings" w:hAnsi="Wingdings"/>
      </w:rPr>
    </w:lvl>
    <w:lvl w:ilvl="3" w:tentative="0">
      <w:start w:val="1"/>
      <w:numFmt w:val="bullet"/>
      <w:lvlText w:val=""/>
      <w:lvlJc w:val="left"/>
      <w:pPr>
        <w:tabs>
          <w:tab w:val="left" w:pos="1800"/>
        </w:tabs>
        <w:ind w:left="1800" w:hanging="420"/>
      </w:pPr>
      <w:rPr>
        <w:rFonts w:hint="default" w:ascii="Wingdings" w:hAnsi="Wingdings"/>
      </w:rPr>
    </w:lvl>
    <w:lvl w:ilvl="4" w:tentative="0">
      <w:start w:val="1"/>
      <w:numFmt w:val="bullet"/>
      <w:lvlText w:val=""/>
      <w:lvlJc w:val="left"/>
      <w:pPr>
        <w:tabs>
          <w:tab w:val="left" w:pos="2220"/>
        </w:tabs>
        <w:ind w:left="2220" w:hanging="420"/>
      </w:pPr>
      <w:rPr>
        <w:rFonts w:hint="default" w:ascii="Wingdings" w:hAnsi="Wingdings"/>
      </w:rPr>
    </w:lvl>
    <w:lvl w:ilvl="5" w:tentative="0">
      <w:start w:val="1"/>
      <w:numFmt w:val="bullet"/>
      <w:lvlText w:val=""/>
      <w:lvlJc w:val="left"/>
      <w:pPr>
        <w:tabs>
          <w:tab w:val="left" w:pos="2640"/>
        </w:tabs>
        <w:ind w:left="2640" w:hanging="420"/>
      </w:pPr>
      <w:rPr>
        <w:rFonts w:hint="default" w:ascii="Wingdings" w:hAnsi="Wingdings"/>
      </w:rPr>
    </w:lvl>
    <w:lvl w:ilvl="6" w:tentative="0">
      <w:start w:val="1"/>
      <w:numFmt w:val="bullet"/>
      <w:lvlText w:val=""/>
      <w:lvlJc w:val="left"/>
      <w:pPr>
        <w:tabs>
          <w:tab w:val="left" w:pos="3060"/>
        </w:tabs>
        <w:ind w:left="3060" w:hanging="420"/>
      </w:pPr>
      <w:rPr>
        <w:rFonts w:hint="default" w:ascii="Wingdings" w:hAnsi="Wingdings"/>
      </w:rPr>
    </w:lvl>
    <w:lvl w:ilvl="7" w:tentative="0">
      <w:start w:val="1"/>
      <w:numFmt w:val="bullet"/>
      <w:lvlText w:val=""/>
      <w:lvlJc w:val="left"/>
      <w:pPr>
        <w:tabs>
          <w:tab w:val="left" w:pos="3480"/>
        </w:tabs>
        <w:ind w:left="3480" w:hanging="420"/>
      </w:pPr>
      <w:rPr>
        <w:rFonts w:hint="default" w:ascii="Wingdings" w:hAnsi="Wingdings"/>
      </w:rPr>
    </w:lvl>
    <w:lvl w:ilvl="8" w:tentative="0">
      <w:start w:val="1"/>
      <w:numFmt w:val="bullet"/>
      <w:lvlText w:val=""/>
      <w:lvlJc w:val="left"/>
      <w:pPr>
        <w:tabs>
          <w:tab w:val="left" w:pos="3900"/>
        </w:tabs>
        <w:ind w:left="3900" w:hanging="420"/>
      </w:pPr>
      <w:rPr>
        <w:rFonts w:hint="default" w:ascii="Wingdings" w:hAnsi="Wingdings"/>
      </w:rPr>
    </w:lvl>
  </w:abstractNum>
  <w:abstractNum w:abstractNumId="7">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4"/>
  </w:num>
  <w:num w:numId="2">
    <w:abstractNumId w:val="7"/>
  </w:num>
  <w:num w:numId="3">
    <w:abstractNumId w:val="2"/>
  </w:num>
  <w:num w:numId="4">
    <w:abstractNumId w:val="5"/>
  </w:num>
  <w:num w:numId="5">
    <w:abstractNumId w:val="3"/>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0D3D1A"/>
    <w:rsid w:val="00056BFA"/>
    <w:rsid w:val="009F7927"/>
    <w:rsid w:val="01B62F5C"/>
    <w:rsid w:val="01FE6BD3"/>
    <w:rsid w:val="02554005"/>
    <w:rsid w:val="02FE6776"/>
    <w:rsid w:val="03C4523A"/>
    <w:rsid w:val="04865C14"/>
    <w:rsid w:val="04B7134B"/>
    <w:rsid w:val="05826495"/>
    <w:rsid w:val="068A6CC7"/>
    <w:rsid w:val="0A325E03"/>
    <w:rsid w:val="0AA84209"/>
    <w:rsid w:val="0B883877"/>
    <w:rsid w:val="0BF65853"/>
    <w:rsid w:val="0D2D5F3C"/>
    <w:rsid w:val="0D826EB5"/>
    <w:rsid w:val="0E2A3E4A"/>
    <w:rsid w:val="0EB67D00"/>
    <w:rsid w:val="0FC95E75"/>
    <w:rsid w:val="10894C2E"/>
    <w:rsid w:val="110F482C"/>
    <w:rsid w:val="113605CA"/>
    <w:rsid w:val="121A7943"/>
    <w:rsid w:val="123D44F0"/>
    <w:rsid w:val="12F32AEA"/>
    <w:rsid w:val="13F910D3"/>
    <w:rsid w:val="14C02123"/>
    <w:rsid w:val="150B2214"/>
    <w:rsid w:val="15CB4851"/>
    <w:rsid w:val="17372774"/>
    <w:rsid w:val="17F10953"/>
    <w:rsid w:val="19503EFC"/>
    <w:rsid w:val="1A622AE9"/>
    <w:rsid w:val="1AD67DFA"/>
    <w:rsid w:val="1B2B01A0"/>
    <w:rsid w:val="1C831556"/>
    <w:rsid w:val="1ECD0317"/>
    <w:rsid w:val="1FB05546"/>
    <w:rsid w:val="1FEA0D76"/>
    <w:rsid w:val="20D451E9"/>
    <w:rsid w:val="22297D19"/>
    <w:rsid w:val="2239241F"/>
    <w:rsid w:val="224805CD"/>
    <w:rsid w:val="22A55C69"/>
    <w:rsid w:val="22E9628F"/>
    <w:rsid w:val="23715AB1"/>
    <w:rsid w:val="251B38EF"/>
    <w:rsid w:val="25354E8F"/>
    <w:rsid w:val="27110362"/>
    <w:rsid w:val="2762122A"/>
    <w:rsid w:val="27C869D0"/>
    <w:rsid w:val="28EF0619"/>
    <w:rsid w:val="29506857"/>
    <w:rsid w:val="29947037"/>
    <w:rsid w:val="2A036BC3"/>
    <w:rsid w:val="2B3F0281"/>
    <w:rsid w:val="2B4E089B"/>
    <w:rsid w:val="2CA049C5"/>
    <w:rsid w:val="2D607001"/>
    <w:rsid w:val="2D675E34"/>
    <w:rsid w:val="2DD66DE3"/>
    <w:rsid w:val="2E462777"/>
    <w:rsid w:val="2EAA00A6"/>
    <w:rsid w:val="304F63CF"/>
    <w:rsid w:val="320E092F"/>
    <w:rsid w:val="33DE5327"/>
    <w:rsid w:val="343B728A"/>
    <w:rsid w:val="3451454D"/>
    <w:rsid w:val="34AD7EA2"/>
    <w:rsid w:val="352C6A5F"/>
    <w:rsid w:val="354C0D81"/>
    <w:rsid w:val="35926D62"/>
    <w:rsid w:val="36482F72"/>
    <w:rsid w:val="36933296"/>
    <w:rsid w:val="370E58A3"/>
    <w:rsid w:val="371B2276"/>
    <w:rsid w:val="39D64F8F"/>
    <w:rsid w:val="3BE402BD"/>
    <w:rsid w:val="3C046D30"/>
    <w:rsid w:val="3DF17D30"/>
    <w:rsid w:val="3F056573"/>
    <w:rsid w:val="3F135889"/>
    <w:rsid w:val="3FB93A98"/>
    <w:rsid w:val="3FBB4D9D"/>
    <w:rsid w:val="404339FD"/>
    <w:rsid w:val="408908EE"/>
    <w:rsid w:val="419B4685"/>
    <w:rsid w:val="426A4E5F"/>
    <w:rsid w:val="428A38B6"/>
    <w:rsid w:val="435747A7"/>
    <w:rsid w:val="43EE6A01"/>
    <w:rsid w:val="441929DC"/>
    <w:rsid w:val="45940E0F"/>
    <w:rsid w:val="45EE3F48"/>
    <w:rsid w:val="46075BC9"/>
    <w:rsid w:val="469228C4"/>
    <w:rsid w:val="477D3E56"/>
    <w:rsid w:val="47B03B5B"/>
    <w:rsid w:val="47C82CF5"/>
    <w:rsid w:val="487C587B"/>
    <w:rsid w:val="4922747B"/>
    <w:rsid w:val="49441A41"/>
    <w:rsid w:val="4C6D3572"/>
    <w:rsid w:val="4D4E5714"/>
    <w:rsid w:val="4D951D36"/>
    <w:rsid w:val="4E9850B9"/>
    <w:rsid w:val="4EAB1ABD"/>
    <w:rsid w:val="4EC51081"/>
    <w:rsid w:val="4F080938"/>
    <w:rsid w:val="4F9059A1"/>
    <w:rsid w:val="50334BA2"/>
    <w:rsid w:val="504A47C7"/>
    <w:rsid w:val="50E23A41"/>
    <w:rsid w:val="514946EA"/>
    <w:rsid w:val="52FA4C60"/>
    <w:rsid w:val="54645881"/>
    <w:rsid w:val="55EC5708"/>
    <w:rsid w:val="560D3D1A"/>
    <w:rsid w:val="57784E8F"/>
    <w:rsid w:val="57BB6C94"/>
    <w:rsid w:val="58D64F0E"/>
    <w:rsid w:val="58DF34DC"/>
    <w:rsid w:val="59A77088"/>
    <w:rsid w:val="5A737EE9"/>
    <w:rsid w:val="5BD9413E"/>
    <w:rsid w:val="5C414DE8"/>
    <w:rsid w:val="5CE951D8"/>
    <w:rsid w:val="5DFE05C1"/>
    <w:rsid w:val="5E09755D"/>
    <w:rsid w:val="5EE409E6"/>
    <w:rsid w:val="5FDC55D3"/>
    <w:rsid w:val="602E1B5A"/>
    <w:rsid w:val="60A2791B"/>
    <w:rsid w:val="60BA5126"/>
    <w:rsid w:val="61BE0B9C"/>
    <w:rsid w:val="62C52A98"/>
    <w:rsid w:val="633D37C8"/>
    <w:rsid w:val="63A6062F"/>
    <w:rsid w:val="642C665D"/>
    <w:rsid w:val="65655FC8"/>
    <w:rsid w:val="66D03901"/>
    <w:rsid w:val="66EA5766"/>
    <w:rsid w:val="68A47FBA"/>
    <w:rsid w:val="68A67612"/>
    <w:rsid w:val="69EF3566"/>
    <w:rsid w:val="6B996D13"/>
    <w:rsid w:val="6BA32EA6"/>
    <w:rsid w:val="6BFD22F3"/>
    <w:rsid w:val="6C1369DD"/>
    <w:rsid w:val="6D9D06E2"/>
    <w:rsid w:val="6F4F5991"/>
    <w:rsid w:val="6F756ED1"/>
    <w:rsid w:val="70313F1E"/>
    <w:rsid w:val="70A9592F"/>
    <w:rsid w:val="70DF0F9F"/>
    <w:rsid w:val="719974E5"/>
    <w:rsid w:val="71C35F39"/>
    <w:rsid w:val="72162E3A"/>
    <w:rsid w:val="727608D5"/>
    <w:rsid w:val="72CA79DF"/>
    <w:rsid w:val="739C06B8"/>
    <w:rsid w:val="74FD4DFC"/>
    <w:rsid w:val="75F3408F"/>
    <w:rsid w:val="76303528"/>
    <w:rsid w:val="76990D03"/>
    <w:rsid w:val="769E4528"/>
    <w:rsid w:val="77375EEB"/>
    <w:rsid w:val="7794703F"/>
    <w:rsid w:val="7A795B1A"/>
    <w:rsid w:val="7CFC7D9A"/>
    <w:rsid w:val="7D6C7908"/>
    <w:rsid w:val="7F10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line="240" w:lineRule="auto"/>
      <w:jc w:val="left"/>
      <w:outlineLvl w:val="1"/>
    </w:pPr>
    <w:rPr>
      <w:rFonts w:ascii="宋体" w:hAnsi="宋体" w:eastAsia="宋体" w:cs="宋体"/>
      <w:b/>
      <w:bCs/>
      <w:kern w:val="0"/>
      <w:sz w:val="36"/>
      <w:szCs w:val="36"/>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3">
    <w:name w:val="toc 7"/>
    <w:basedOn w:val="1"/>
    <w:next w:val="1"/>
    <w:qFormat/>
    <w:uiPriority w:val="0"/>
    <w:pPr>
      <w:ind w:left="1200"/>
    </w:pPr>
    <w:rPr>
      <w:rFonts w:ascii="Calibri"/>
    </w:rPr>
  </w:style>
  <w:style w:type="paragraph" w:styleId="4">
    <w:name w:val="Normal Indent"/>
    <w:basedOn w:val="1"/>
    <w:qFormat/>
    <w:uiPriority w:val="0"/>
    <w:pPr>
      <w:ind w:firstLine="420" w:firstLineChars="200"/>
    </w:pPr>
    <w:rPr>
      <w:rFonts w:ascii="Times New Roman"/>
    </w:rPr>
  </w:style>
  <w:style w:type="paragraph" w:styleId="5">
    <w:name w:val="annotation text"/>
    <w:basedOn w:val="1"/>
    <w:unhideWhenUsed/>
    <w:qFormat/>
    <w:uiPriority w:val="99"/>
    <w:pPr>
      <w:jc w:val="left"/>
    </w:pPr>
  </w:style>
  <w:style w:type="paragraph" w:styleId="6">
    <w:name w:val="Body Text"/>
    <w:basedOn w:val="1"/>
    <w:next w:val="1"/>
    <w:qFormat/>
    <w:uiPriority w:val="0"/>
  </w:style>
  <w:style w:type="paragraph" w:styleId="7">
    <w:name w:val="Body Text Indent"/>
    <w:basedOn w:val="1"/>
    <w:qFormat/>
    <w:uiPriority w:val="0"/>
    <w:pPr>
      <w:ind w:firstLine="630"/>
    </w:pPr>
    <w:rPr>
      <w:sz w:val="32"/>
      <w:szCs w:val="20"/>
    </w:rPr>
  </w:style>
  <w:style w:type="paragraph" w:styleId="8">
    <w:name w:val="Plain Text"/>
    <w:basedOn w:val="1"/>
    <w:qFormat/>
    <w:uiPriority w:val="0"/>
    <w:pPr>
      <w:spacing w:line="460" w:lineRule="exact"/>
      <w:ind w:firstLine="567"/>
    </w:pPr>
    <w:rPr>
      <w:rFonts w:ascii="宋体" w:hAnsi="Courier New" w:eastAsia="仿宋_GB2312"/>
      <w:sz w:val="28"/>
      <w:szCs w:val="20"/>
    </w:rPr>
  </w:style>
  <w:style w:type="paragraph" w:styleId="9">
    <w:name w:val="List Bullet 5"/>
    <w:basedOn w:val="1"/>
    <w:qFormat/>
    <w:uiPriority w:val="0"/>
    <w:pPr>
      <w:numPr>
        <w:ilvl w:val="0"/>
        <w:numId w:val="1"/>
      </w:numPr>
    </w:pPr>
  </w:style>
  <w:style w:type="paragraph" w:styleId="10">
    <w:name w:val="Body Text Indent 2"/>
    <w:basedOn w:val="1"/>
    <w:qFormat/>
    <w:uiPriority w:val="0"/>
    <w:pPr>
      <w:widowControl w:val="0"/>
      <w:ind w:firstLine="540" w:firstLineChars="257"/>
      <w:jc w:val="both"/>
    </w:pPr>
    <w:rPr>
      <w:kern w:val="2"/>
      <w:sz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toc 1"/>
    <w:basedOn w:val="1"/>
    <w:next w:val="1"/>
    <w:qFormat/>
    <w:uiPriority w:val="0"/>
    <w:pPr>
      <w:spacing w:line="180" w:lineRule="auto"/>
      <w:jc w:val="center"/>
    </w:pPr>
    <w:rPr>
      <w:sz w:val="30"/>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w:basedOn w:val="6"/>
    <w:qFormat/>
    <w:uiPriority w:val="0"/>
    <w:pPr>
      <w:snapToGrid w:val="0"/>
      <w:spacing w:before="40" w:after="40" w:line="288" w:lineRule="auto"/>
      <w:ind w:firstLine="482"/>
    </w:pPr>
    <w:rPr>
      <w:rFonts w:ascii="仿宋_GB2312" w:hAnsi="仿宋_GB2312" w:eastAsia="仿宋_GB2312"/>
      <w:szCs w:val="20"/>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标题 5（有编号）（绿盟科技）"/>
    <w:basedOn w:val="1"/>
    <w:next w:val="21"/>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21">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2">
    <w:name w:val="Table Text"/>
    <w:basedOn w:val="1"/>
    <w:semiHidden/>
    <w:qFormat/>
    <w:uiPriority w:val="0"/>
    <w:rPr>
      <w:rFonts w:ascii="宋体" w:hAnsi="宋体" w:eastAsia="宋体" w:cs="宋体"/>
      <w:sz w:val="16"/>
      <w:szCs w:val="16"/>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GW-正文"/>
    <w:basedOn w:val="1"/>
    <w:qFormat/>
    <w:uiPriority w:val="0"/>
    <w:pPr>
      <w:spacing w:line="360" w:lineRule="auto"/>
      <w:ind w:firstLine="200" w:firstLineChars="200"/>
    </w:pPr>
    <w:rPr>
      <w:rFonts w:eastAsia="仿宋_GB2312"/>
      <w:sz w:val="24"/>
      <w:szCs w:val="24"/>
    </w:rPr>
  </w:style>
  <w:style w:type="character" w:customStyle="1" w:styleId="25">
    <w:name w:val="font61"/>
    <w:basedOn w:val="18"/>
    <w:qFormat/>
    <w:uiPriority w:val="0"/>
    <w:rPr>
      <w:rFonts w:hint="eastAsia" w:ascii="宋体" w:hAnsi="宋体" w:eastAsia="宋体" w:cs="宋体"/>
      <w:b/>
      <w:color w:val="000000"/>
      <w:sz w:val="24"/>
      <w:szCs w:val="24"/>
      <w:u w:val="none"/>
    </w:rPr>
  </w:style>
  <w:style w:type="character" w:customStyle="1" w:styleId="26">
    <w:name w:val="font131"/>
    <w:basedOn w:val="18"/>
    <w:qFormat/>
    <w:uiPriority w:val="0"/>
    <w:rPr>
      <w:rFonts w:hint="eastAsia" w:ascii="宋体" w:hAnsi="宋体" w:eastAsia="宋体" w:cs="宋体"/>
      <w:color w:val="000000"/>
      <w:kern w:val="0"/>
      <w:sz w:val="20"/>
      <w:szCs w:val="20"/>
      <w:u w:val="none"/>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3119</Words>
  <Characters>3625</Characters>
  <Lines>0</Lines>
  <Paragraphs>0</Paragraphs>
  <TotalTime>8</TotalTime>
  <ScaleCrop>false</ScaleCrop>
  <LinksUpToDate>false</LinksUpToDate>
  <CharactersWithSpaces>3712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2025-07-30T15:06:00Z</dcterms:created>
  <dc:creator>罗珊珊</dc:creator>
  <cp:lastModifiedBy>罗珊珊</cp:lastModifiedBy>
  <dcterms:modified xsi:type="dcterms:W3CDTF">2026-07-21T02:52:21Z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261DEE1EDB5645CD9E4BCF6B9BA32F53_13</vt:lpwstr>
  </property>
  <property fmtid="{D5CDD505-2E9C-101B-9397-08002B2CF9AE}" pid="4" name="KSOTemplateDocerSaveRecord">
    <vt:lpwstr>eyJoZGlkIjoiODcwZmE0ZmU3Y2M1ZWQ5MWU4OTc0ZDQ0OGMzYzM2NmMiLCJ1c2VySWQiOiIxMzE0MjM0OTg5In0=</vt:lpwstr>
  </property>
</Properties>
</file>