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3EBF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小标宋" w:hAnsi="小标宋" w:eastAsia="小标宋" w:cs="小标宋"/>
          <w:sz w:val="40"/>
          <w:szCs w:val="40"/>
          <w:lang w:val="en-US" w:eastAsia="zh-CN"/>
        </w:rPr>
      </w:pPr>
      <w:r>
        <w:rPr>
          <w:rFonts w:hint="eastAsia" w:ascii="小标宋" w:hAnsi="小标宋" w:eastAsia="小标宋" w:cs="小标宋"/>
          <w:sz w:val="40"/>
          <w:szCs w:val="40"/>
          <w:lang w:val="en-US" w:eastAsia="zh-CN"/>
        </w:rPr>
        <w:t>四川省妇幼保健院医院文化系统规划调研公告</w:t>
      </w:r>
    </w:p>
    <w:p w14:paraId="5BCA44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一、项目背景</w:t>
      </w:r>
    </w:p>
    <w:p w14:paraId="072F77F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40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eastAsia="zh-CN"/>
        </w:rPr>
        <w:t>为进一步提升医院文化软实力，增强品牌凝聚力和核心竞争力，现拟对全院区（含晋阳院区、天府院区、抚琴院区）实施全域一体化统一规划，深入挖掘并提炼各院区自身特色的文化属性与文化要素，构建具有四川省妇幼保健院辨识度的文化体系，最终实现资源集约、质量同质、管理高效、品牌统一的战略目标。现面向社会公开进行医院文化系统规划市场调研，欢迎符合条件的供应商积极参与。</w:t>
      </w:r>
    </w:p>
    <w:p w14:paraId="73CC8B7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kern w:val="2"/>
          <w:sz w:val="32"/>
          <w:szCs w:val="32"/>
          <w:lang w:val="en-US" w:eastAsia="zh-CN" w:bidi="ar-SA"/>
        </w:rPr>
        <w:t>二、</w:t>
      </w:r>
      <w:r>
        <w:rPr>
          <w:rFonts w:hint="default" w:ascii="黑体" w:hAnsi="黑体" w:eastAsia="黑体" w:cs="黑体"/>
          <w:b w:val="0"/>
          <w:kern w:val="2"/>
          <w:sz w:val="32"/>
          <w:szCs w:val="32"/>
          <w:lang w:val="en-US" w:eastAsia="zh-CN" w:bidi="ar-SA"/>
        </w:rPr>
        <w:t>市场调研基本信息</w:t>
      </w:r>
    </w:p>
    <w:p w14:paraId="0D0D7480">
      <w:pPr>
        <w:pStyle w:val="7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60" w:lineRule="exact"/>
        <w:ind w:left="0" w:right="0" w:firstLine="643" w:firstLineChars="200"/>
        <w:textAlignment w:val="auto"/>
        <w:rPr>
          <w:rFonts w:hint="default" w:ascii="仿宋_GB2312" w:hAnsi="仿宋_GB2312" w:eastAsia="仿宋_GB2312" w:cs="仿宋_GB2312"/>
          <w:kern w:val="2"/>
          <w:sz w:val="32"/>
          <w:szCs w:val="40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b/>
          <w:bCs/>
          <w:kern w:val="2"/>
          <w:sz w:val="32"/>
          <w:szCs w:val="40"/>
          <w:lang w:val="en-US" w:eastAsia="zh-CN" w:bidi="ar-SA"/>
        </w:rPr>
        <w:t>调研名称：</w:t>
      </w:r>
      <w:r>
        <w:rPr>
          <w:rFonts w:hint="default" w:ascii="仿宋_GB2312" w:hAnsi="仿宋_GB2312" w:eastAsia="仿宋_GB2312" w:cs="仿宋_GB2312"/>
          <w:kern w:val="2"/>
          <w:sz w:val="32"/>
          <w:szCs w:val="40"/>
          <w:lang w:val="en-US" w:eastAsia="zh-CN" w:bidi="ar-SA"/>
        </w:rPr>
        <w:t> 四川省妇幼保健院医院文化系统规划市场调研</w:t>
      </w:r>
    </w:p>
    <w:p w14:paraId="675D835D">
      <w:pPr>
        <w:pStyle w:val="7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60" w:lineRule="exact"/>
        <w:ind w:left="0" w:right="0" w:firstLine="643" w:firstLineChars="200"/>
        <w:textAlignment w:val="auto"/>
        <w:rPr>
          <w:rFonts w:hint="default" w:ascii="仿宋_GB2312" w:hAnsi="仿宋_GB2312" w:eastAsia="仿宋_GB2312" w:cs="仿宋_GB2312"/>
          <w:kern w:val="2"/>
          <w:sz w:val="32"/>
          <w:szCs w:val="40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b/>
          <w:bCs/>
          <w:kern w:val="2"/>
          <w:sz w:val="32"/>
          <w:szCs w:val="40"/>
          <w:lang w:val="en-US" w:eastAsia="zh-CN" w:bidi="ar-SA"/>
        </w:rPr>
        <w:t>调研期限： </w:t>
      </w:r>
      <w:r>
        <w:rPr>
          <w:rFonts w:hint="default" w:ascii="仿宋_GB2312" w:hAnsi="仿宋_GB2312" w:eastAsia="仿宋_GB2312" w:cs="仿宋_GB2312"/>
          <w:kern w:val="2"/>
          <w:sz w:val="32"/>
          <w:szCs w:val="40"/>
          <w:lang w:val="en-US" w:eastAsia="zh-CN" w:bidi="ar-SA"/>
        </w:rPr>
        <w:t>2026年6月23日—2026年7月10日（工作日9:00—17:00）</w:t>
      </w:r>
    </w:p>
    <w:p w14:paraId="1014AC9D">
      <w:pPr>
        <w:pStyle w:val="7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60" w:lineRule="exact"/>
        <w:ind w:left="0" w:right="0" w:firstLine="643" w:firstLineChars="200"/>
        <w:textAlignment w:val="auto"/>
        <w:rPr>
          <w:rFonts w:hint="default" w:ascii="仿宋_GB2312" w:hAnsi="仿宋_GB2312" w:eastAsia="仿宋_GB2312" w:cs="仿宋_GB2312"/>
          <w:kern w:val="2"/>
          <w:sz w:val="32"/>
          <w:szCs w:val="40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b/>
          <w:bCs/>
          <w:kern w:val="2"/>
          <w:sz w:val="32"/>
          <w:szCs w:val="40"/>
          <w:lang w:val="en-US" w:eastAsia="zh-CN" w:bidi="ar-SA"/>
        </w:rPr>
        <w:t>调研方式：</w:t>
      </w:r>
      <w:r>
        <w:rPr>
          <w:rFonts w:hint="default" w:ascii="仿宋_GB2312" w:hAnsi="仿宋_GB2312" w:eastAsia="仿宋_GB2312" w:cs="仿宋_GB2312"/>
          <w:kern w:val="2"/>
          <w:sz w:val="32"/>
          <w:szCs w:val="40"/>
          <w:lang w:val="en-US" w:eastAsia="zh-CN" w:bidi="ar-SA"/>
        </w:rPr>
        <w:t> 现场提交或邮寄提交（以签收时间为准），逾期不予受理。</w:t>
      </w:r>
    </w:p>
    <w:p w14:paraId="2936AB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40"/>
          <w:lang w:val="en-US" w:eastAsia="zh-CN" w:bidi="ar-SA"/>
        </w:rPr>
        <w:t>地  址：</w:t>
      </w:r>
      <w:r>
        <w:rPr>
          <w:rFonts w:hint="eastAsia" w:ascii="仿宋_GB2312" w:hAnsi="仿宋_GB2312" w:eastAsia="仿宋_GB2312" w:cs="仿宋_GB2312"/>
          <w:sz w:val="32"/>
          <w:szCs w:val="32"/>
        </w:rPr>
        <w:t>四川省成都市晋阳路沙堰西二街290号</w:t>
      </w:r>
    </w:p>
    <w:p w14:paraId="650576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40"/>
          <w:lang w:val="en-US" w:eastAsia="zh-CN" w:bidi="ar-SA"/>
        </w:rPr>
        <w:t>联系人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陈</w:t>
      </w:r>
      <w:r>
        <w:rPr>
          <w:rFonts w:hint="eastAsia" w:ascii="仿宋_GB2312" w:hAnsi="仿宋_GB2312" w:eastAsia="仿宋_GB2312" w:cs="仿宋_GB2312"/>
          <w:sz w:val="32"/>
          <w:szCs w:val="32"/>
        </w:rPr>
        <w:t>老师</w:t>
      </w:r>
    </w:p>
    <w:p w14:paraId="372BEB53">
      <w:pPr>
        <w:pStyle w:val="7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60" w:lineRule="exact"/>
        <w:ind w:right="0" w:firstLine="643" w:firstLineChars="200"/>
        <w:textAlignment w:val="auto"/>
        <w:rPr>
          <w:rFonts w:hint="default" w:ascii="仿宋_GB2312" w:hAnsi="仿宋_GB2312" w:eastAsia="仿宋_GB2312" w:cs="仿宋_GB2312"/>
          <w:kern w:val="2"/>
          <w:sz w:val="32"/>
          <w:szCs w:val="4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40"/>
          <w:lang w:val="en-US" w:eastAsia="zh-CN" w:bidi="ar-SA"/>
        </w:rPr>
        <w:t>电  话：</w:t>
      </w:r>
      <w:r>
        <w:rPr>
          <w:rFonts w:hint="eastAsia" w:ascii="仿宋_GB2312" w:hAnsi="仿宋_GB2312" w:eastAsia="仿宋_GB2312" w:cs="仿宋_GB2312"/>
          <w:sz w:val="32"/>
          <w:szCs w:val="32"/>
        </w:rPr>
        <w:t>028-659782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31  </w:t>
      </w:r>
    </w:p>
    <w:p w14:paraId="53F7452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630" w:leftChars="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三、调研</w:t>
      </w:r>
      <w:r>
        <w:rPr>
          <w:rFonts w:hint="eastAsia" w:ascii="黑体" w:hAnsi="黑体" w:eastAsia="黑体" w:cs="黑体"/>
          <w:sz w:val="32"/>
          <w:szCs w:val="32"/>
        </w:rPr>
        <w:t>内容</w:t>
      </w:r>
    </w:p>
    <w:p w14:paraId="2D0ABC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本次调研涵盖但不限于以下内容（具体要求详见报价表）：</w:t>
      </w:r>
    </w:p>
    <w:p w14:paraId="315BEA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（一）文化价值理念内涵提炼与提升</w:t>
      </w:r>
    </w:p>
    <w:p w14:paraId="12D7D0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结合我院专科特色及现有文化积淀，形成具有时代特征和医院个性的理念体系。需重点考虑全院区统一规划背景下，各院区特色文化要素的有机融合与差异化表达。</w:t>
      </w:r>
    </w:p>
    <w:p w14:paraId="02BB21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（二）医院品牌与色彩规划设计</w:t>
      </w:r>
    </w:p>
    <w:p w14:paraId="43F41E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围绕“四川省妇幼保健院.四川省妇女儿童医院”主品牌，结合各院区功能定位与空间特征，进行全院统一的品牌视觉识别系统（VIS）优化提升，包括但不限于：基础系统（标志优化、标准色、辅助色、标准字体）、应用系统（导视指引、办公用品、宣传物料、数字媒介等）的规范设计。色彩规划应兼顾医疗环境的温馨感、专业感和妇幼群体的亲和力。</w:t>
      </w:r>
    </w:p>
    <w:p w14:paraId="3EA838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（三）医院文化IP形象创意设计与文创开发</w:t>
      </w:r>
    </w:p>
    <w:p w14:paraId="10691B6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设计具有医院辨识度、社会传播力和情感共鸣的文化IP形象（含命名、人设、视觉规范），可用于科普宣教、患者陪伴、员工文化等多元场景。同步规划围绕IP形象的文创产品体系（如科普绘本、公仔、数字表情包等），推动医院文化的可触达、可传播、可持续运营。</w:t>
      </w:r>
    </w:p>
    <w:p w14:paraId="3F439B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（四）医院文化梳理与效果展示</w:t>
      </w:r>
    </w:p>
    <w:p w14:paraId="28EDFBD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对现有医院文化资产进行系统盘点与梳理，形成文化诊断报告。针对文化体系落地后的空间呈现（文化墙、院史长廊、主题展示区等）提供概念方案与效果示意，并制定分阶段实施路径和评估机制。</w:t>
      </w:r>
    </w:p>
    <w:p w14:paraId="3420F7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四、供应商资格要求</w:t>
      </w:r>
    </w:p>
    <w:p w14:paraId="7F0E0C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1.具有独立承担民事责任的能力，持有有效的统一社会信用代码三证合一营业执照或法人登记证书。</w:t>
      </w:r>
    </w:p>
    <w:p w14:paraId="43D5A1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2.具有良好的商业信誉和健全的财务会计制度。</w:t>
      </w:r>
    </w:p>
    <w:p w14:paraId="26A754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3.具有履行合同所必需的专业技术能力和服务团队。</w:t>
      </w:r>
    </w:p>
    <w:p w14:paraId="44BE0F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4.有依法缴纳税收和社会保障资金的良好记录。</w:t>
      </w:r>
    </w:p>
    <w:p w14:paraId="76FC33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5.参加本次采购活动前三年内，在经营活动中无重大违法记录。</w:t>
      </w:r>
    </w:p>
    <w:p w14:paraId="57B28431">
      <w:pPr>
        <w:keepNext w:val="0"/>
        <w:keepLines w:val="0"/>
        <w:widowControl w:val="0"/>
        <w:numPr>
          <w:ilvl w:val="-1"/>
          <w:numId w:val="0"/>
        </w:numPr>
        <w:suppressLineNumbers w:val="0"/>
        <w:adjustRightInd w:val="0"/>
        <w:snapToGrid w:val="0"/>
        <w:spacing w:before="0" w:beforeAutospacing="0" w:after="0" w:afterAutospacing="0" w:line="360" w:lineRule="auto"/>
        <w:ind w:left="0"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五、资料提供要求</w:t>
      </w:r>
    </w:p>
    <w:p w14:paraId="00DF0420">
      <w:pPr>
        <w:keepNext w:val="0"/>
        <w:keepLines w:val="0"/>
        <w:widowControl w:val="0"/>
        <w:numPr>
          <w:ilvl w:val="0"/>
          <w:numId w:val="0"/>
        </w:numPr>
        <w:suppressLineNumbers w:val="0"/>
        <w:adjustRightInd w:val="0"/>
        <w:snapToGrid w:val="0"/>
        <w:spacing w:before="0" w:beforeAutospacing="0" w:after="0" w:afterAutospacing="0" w:line="360" w:lineRule="auto"/>
        <w:ind w:left="0"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sz w:val="32"/>
          <w:szCs w:val="32"/>
          <w:shd w:val="clear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sz w:val="32"/>
          <w:szCs w:val="32"/>
          <w:shd w:val="clear"/>
        </w:rPr>
        <w:t>营业执照/法人登记证书：</w:t>
      </w:r>
      <w:r>
        <w:rPr>
          <w:rFonts w:hint="eastAsia" w:ascii="仿宋_GB2312" w:hAnsi="仿宋_GB2312" w:eastAsia="仿宋_GB2312" w:cs="仿宋_GB2312"/>
          <w:i w:val="0"/>
          <w:caps w:val="0"/>
          <w:spacing w:val="0"/>
          <w:sz w:val="32"/>
          <w:szCs w:val="32"/>
          <w:shd w:val="clear"/>
        </w:rPr>
        <w:t> 统一社会信用代码三证合一营业执照或法人登记证书复印件。</w:t>
      </w:r>
    </w:p>
    <w:p w14:paraId="08F723BB">
      <w:pPr>
        <w:keepNext w:val="0"/>
        <w:keepLines w:val="0"/>
        <w:widowControl w:val="0"/>
        <w:numPr>
          <w:ilvl w:val="0"/>
          <w:numId w:val="0"/>
        </w:numPr>
        <w:suppressLineNumbers w:val="0"/>
        <w:adjustRightInd w:val="0"/>
        <w:snapToGrid w:val="0"/>
        <w:spacing w:before="0" w:beforeAutospacing="0" w:after="0" w:afterAutospacing="0" w:line="360" w:lineRule="auto"/>
        <w:ind w:left="0"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sz w:val="32"/>
          <w:szCs w:val="32"/>
          <w:shd w:val="clear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sz w:val="32"/>
          <w:szCs w:val="32"/>
          <w:shd w:val="clear"/>
        </w:rPr>
        <w:t>法定代表人授权文件：</w:t>
      </w:r>
      <w:r>
        <w:rPr>
          <w:rFonts w:hint="eastAsia" w:ascii="仿宋_GB2312" w:hAnsi="仿宋_GB2312" w:eastAsia="仿宋_GB2312" w:cs="仿宋_GB2312"/>
          <w:i w:val="0"/>
          <w:caps w:val="0"/>
          <w:spacing w:val="0"/>
          <w:sz w:val="32"/>
          <w:szCs w:val="32"/>
          <w:shd w:val="clear"/>
        </w:rPr>
        <w:t> 法定代表人本人参与调研的，提供本人身份证复印件；委托代理人参与的，须提供法定代表人授权委托书或单位介绍信，以及被授权人身份证复印件。</w:t>
      </w:r>
    </w:p>
    <w:p w14:paraId="46125ABD">
      <w:pPr>
        <w:keepNext w:val="0"/>
        <w:keepLines w:val="0"/>
        <w:widowControl w:val="0"/>
        <w:numPr>
          <w:ilvl w:val="0"/>
          <w:numId w:val="0"/>
        </w:numPr>
        <w:suppressLineNumbers w:val="0"/>
        <w:adjustRightInd w:val="0"/>
        <w:snapToGrid w:val="0"/>
        <w:spacing w:before="0" w:beforeAutospacing="0" w:after="0" w:afterAutospacing="0" w:line="360" w:lineRule="auto"/>
        <w:ind w:left="0"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sz w:val="32"/>
          <w:szCs w:val="32"/>
          <w:shd w:val="clear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sz w:val="32"/>
          <w:szCs w:val="32"/>
          <w:shd w:val="clear"/>
        </w:rPr>
        <w:t>报价一览表：</w:t>
      </w:r>
      <w:r>
        <w:rPr>
          <w:rFonts w:hint="eastAsia" w:ascii="仿宋_GB2312" w:hAnsi="仿宋_GB2312" w:eastAsia="仿宋_GB2312" w:cs="仿宋_GB2312"/>
          <w:i w:val="0"/>
          <w:caps w:val="0"/>
          <w:spacing w:val="0"/>
          <w:sz w:val="32"/>
          <w:szCs w:val="32"/>
          <w:shd w:val="clear"/>
        </w:rPr>
        <w:t> 按院方提供的格式详细填写，须包含分项报价和总价。</w:t>
      </w:r>
    </w:p>
    <w:p w14:paraId="1591995B">
      <w:pPr>
        <w:keepNext w:val="0"/>
        <w:keepLines w:val="0"/>
        <w:widowControl w:val="0"/>
        <w:numPr>
          <w:ilvl w:val="0"/>
          <w:numId w:val="0"/>
        </w:numPr>
        <w:suppressLineNumbers w:val="0"/>
        <w:adjustRightInd w:val="0"/>
        <w:snapToGrid w:val="0"/>
        <w:spacing w:before="0" w:beforeAutospacing="0" w:after="0" w:afterAutospacing="0" w:line="360" w:lineRule="auto"/>
        <w:ind w:left="0"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sz w:val="32"/>
          <w:szCs w:val="32"/>
          <w:shd w:val="clear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sz w:val="32"/>
          <w:szCs w:val="32"/>
          <w:shd w:val="clear"/>
        </w:rPr>
        <w:t>代理授权文件（如有）：</w:t>
      </w:r>
      <w:r>
        <w:rPr>
          <w:rFonts w:hint="eastAsia" w:ascii="仿宋_GB2312" w:hAnsi="仿宋_GB2312" w:eastAsia="仿宋_GB2312" w:cs="仿宋_GB2312"/>
          <w:i w:val="0"/>
          <w:caps w:val="0"/>
          <w:spacing w:val="0"/>
          <w:sz w:val="32"/>
          <w:szCs w:val="32"/>
          <w:shd w:val="clear"/>
        </w:rPr>
        <w:t> 代理产品授权委托书。</w:t>
      </w:r>
    </w:p>
    <w:p w14:paraId="4A9945E1">
      <w:pPr>
        <w:keepNext w:val="0"/>
        <w:keepLines w:val="0"/>
        <w:widowControl w:val="0"/>
        <w:numPr>
          <w:ilvl w:val="0"/>
          <w:numId w:val="0"/>
        </w:numPr>
        <w:suppressLineNumbers w:val="0"/>
        <w:adjustRightInd w:val="0"/>
        <w:snapToGrid w:val="0"/>
        <w:spacing w:before="0" w:beforeAutospacing="0" w:after="0" w:afterAutospacing="0" w:line="360" w:lineRule="auto"/>
        <w:ind w:left="0"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sz w:val="32"/>
          <w:szCs w:val="32"/>
          <w:shd w:val="clear"/>
          <w:lang w:val="en-US" w:eastAsia="zh-CN"/>
        </w:rPr>
        <w:t>5.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sz w:val="32"/>
          <w:szCs w:val="32"/>
          <w:shd w:val="clear"/>
        </w:rPr>
        <w:t>业绩案例（如有）：</w:t>
      </w:r>
      <w:r>
        <w:rPr>
          <w:rFonts w:hint="eastAsia" w:ascii="仿宋_GB2312" w:hAnsi="仿宋_GB2312" w:eastAsia="仿宋_GB2312" w:cs="仿宋_GB2312"/>
          <w:i w:val="0"/>
          <w:caps w:val="0"/>
          <w:spacing w:val="0"/>
          <w:sz w:val="32"/>
          <w:szCs w:val="32"/>
          <w:shd w:val="clear"/>
        </w:rPr>
        <w:t> 近三年类似医院文化系统规划项目的真实案例，须提供合同关键页或验收报告复印件（至少包含项目名称、合作单位、签订时间、主要服务内容）。</w:t>
      </w:r>
    </w:p>
    <w:p w14:paraId="3D63DB4F"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sz w:val="32"/>
          <w:szCs w:val="32"/>
          <w:shd w:val="clear"/>
          <w:lang w:val="en-US" w:eastAsia="zh-CN"/>
        </w:rPr>
        <w:t>6.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sz w:val="32"/>
          <w:szCs w:val="32"/>
          <w:shd w:val="clear"/>
        </w:rPr>
        <w:t>市场调研书：</w:t>
      </w:r>
      <w:r>
        <w:rPr>
          <w:rFonts w:hint="eastAsia" w:ascii="仿宋_GB2312" w:hAnsi="仿宋_GB2312" w:eastAsia="仿宋_GB2312" w:cs="仿宋_GB2312"/>
          <w:i w:val="0"/>
          <w:caps w:val="0"/>
          <w:spacing w:val="0"/>
          <w:sz w:val="32"/>
          <w:szCs w:val="32"/>
          <w:shd w:val="clear"/>
        </w:rPr>
        <w:t> 根据本公告要求和自身实际情况编制，内容包括但不限于公司简介、对本项目的理解与思路、初步方案框架、项目团队配置、实施计划、售后服务承诺等，用A4纸打印装订，格式自拟。</w:t>
      </w:r>
    </w:p>
    <w:p w14:paraId="25FAD2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六、其他说明：</w:t>
      </w:r>
    </w:p>
    <w:p w14:paraId="5DA97E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.根据要求及自身实际用A4纸编制市场调研书。</w:t>
      </w:r>
    </w:p>
    <w:p w14:paraId="441F5B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.提供的所有资料须加盖鲜章。</w:t>
      </w:r>
    </w:p>
    <w:p w14:paraId="68F1DF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i w:val="0"/>
          <w:caps w:val="0"/>
          <w:spacing w:val="0"/>
          <w:sz w:val="32"/>
          <w:szCs w:val="32"/>
          <w:shd w:val="clear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i w:val="0"/>
          <w:caps w:val="0"/>
          <w:spacing w:val="0"/>
          <w:sz w:val="32"/>
          <w:szCs w:val="32"/>
          <w:shd w:val="clear"/>
        </w:rPr>
        <w:t>有意向参与调研的供应商，可联系</w:t>
      </w:r>
      <w:r>
        <w:rPr>
          <w:rFonts w:hint="eastAsia" w:ascii="仿宋_GB2312" w:hAnsi="仿宋_GB2312" w:eastAsia="仿宋_GB2312" w:cs="仿宋_GB2312"/>
          <w:i w:val="0"/>
          <w:caps w:val="0"/>
          <w:spacing w:val="0"/>
          <w:sz w:val="32"/>
          <w:szCs w:val="32"/>
          <w:shd w:val="clear"/>
          <w:lang w:val="en-US" w:eastAsia="zh-CN"/>
        </w:rPr>
        <w:t>党委办公室</w:t>
      </w:r>
      <w:r>
        <w:rPr>
          <w:rFonts w:hint="eastAsia" w:ascii="仿宋_GB2312" w:hAnsi="仿宋_GB2312" w:eastAsia="仿宋_GB2312" w:cs="仿宋_GB2312"/>
          <w:i w:val="0"/>
          <w:caps w:val="0"/>
          <w:spacing w:val="0"/>
          <w:sz w:val="32"/>
          <w:szCs w:val="32"/>
          <w:shd w:val="clear"/>
        </w:rPr>
        <w:t>预约现场查勘，了解院区现状及文化展示实况。</w:t>
      </w:r>
    </w:p>
    <w:p w14:paraId="48CE73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联系人：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陈</w:t>
      </w:r>
      <w:r>
        <w:rPr>
          <w:rFonts w:hint="eastAsia" w:ascii="仿宋_GB2312" w:hAnsi="仿宋_GB2312" w:eastAsia="仿宋_GB2312" w:cs="仿宋_GB2312"/>
          <w:sz w:val="32"/>
          <w:szCs w:val="32"/>
        </w:rPr>
        <w:t>老师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</w:rPr>
        <w:t>电  话：028-659782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31   </w:t>
      </w:r>
    </w:p>
    <w:p w14:paraId="2D5224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八、其他说明</w:t>
      </w:r>
    </w:p>
    <w:p w14:paraId="0F3593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1.本次市场调研仅作为项目前期需求摸底和方案比选参考，非正式采购流程，不构成招标要约。</w:t>
      </w:r>
    </w:p>
    <w:p w14:paraId="4737E9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2.供应商参与调研所产生的一切费用自理，递交的资料不予退还。</w:t>
      </w:r>
    </w:p>
    <w:p w14:paraId="5DB838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3.调研结果将作为后续采购需求论证的重要参考依据，但不作为中标/成交的直接保证。</w:t>
      </w:r>
    </w:p>
    <w:p w14:paraId="2992B6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4.本公告最终解释权归四川省妇幼保健院所有。</w:t>
      </w:r>
    </w:p>
    <w:p w14:paraId="21A93F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6B70D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附件：1.报价表</w:t>
      </w:r>
    </w:p>
    <w:p w14:paraId="35F0A45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1600" w:left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2.各院区平面图</w:t>
      </w:r>
    </w:p>
    <w:p w14:paraId="18C1A4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1600" w:left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3.医院文化介绍</w:t>
      </w:r>
    </w:p>
    <w:p w14:paraId="238087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1600" w:leftChars="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4.IP形象介绍</w:t>
      </w:r>
    </w:p>
    <w:p w14:paraId="6863E8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1600" w:leftChars="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09F3A9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480" w:firstLineChars="14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</w:p>
    <w:p w14:paraId="1D78AA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0" w:firstLineChars="15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党委办公室</w:t>
      </w:r>
    </w:p>
    <w:p w14:paraId="3B3D56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32"/>
          <w:szCs w:val="32"/>
        </w:rPr>
        <w:t>                           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23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</w:p>
    <w:p w14:paraId="22ED0E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附件1：</w:t>
      </w:r>
    </w:p>
    <w:p w14:paraId="01C11F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小标宋" w:hAnsi="小标宋" w:eastAsia="小标宋" w:cs="小标宋"/>
          <w:lang w:val="en-US" w:eastAsia="zh-CN"/>
        </w:rPr>
      </w:pPr>
      <w:r>
        <w:rPr>
          <w:rFonts w:hint="eastAsia" w:ascii="小标宋" w:hAnsi="小标宋" w:eastAsia="小标宋" w:cs="小标宋"/>
          <w:sz w:val="36"/>
          <w:szCs w:val="36"/>
          <w:lang w:val="en-US" w:eastAsia="zh-CN"/>
        </w:rPr>
        <w:t>报价表1  (按项目报价）</w:t>
      </w:r>
    </w:p>
    <w:tbl>
      <w:tblPr>
        <w:tblStyle w:val="14"/>
        <w:tblW w:w="9467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73"/>
        <w:gridCol w:w="3687"/>
        <w:gridCol w:w="1369"/>
        <w:gridCol w:w="1732"/>
        <w:gridCol w:w="1006"/>
      </w:tblGrid>
      <w:tr w14:paraId="16A23F5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  <w:jc w:val="center"/>
        </w:trPr>
        <w:tc>
          <w:tcPr>
            <w:tcW w:w="1673" w:type="dxa"/>
            <w:shd w:val="clear" w:color="auto" w:fill="BEBEBE"/>
            <w:vAlign w:val="center"/>
          </w:tcPr>
          <w:p w14:paraId="3AAF2417">
            <w:pPr>
              <w:jc w:val="center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项目</w:t>
            </w:r>
          </w:p>
        </w:tc>
        <w:tc>
          <w:tcPr>
            <w:tcW w:w="3687" w:type="dxa"/>
            <w:shd w:val="clear" w:color="auto" w:fill="BEBEBE"/>
            <w:vAlign w:val="center"/>
          </w:tcPr>
          <w:p w14:paraId="0069241A">
            <w:pPr>
              <w:jc w:val="center"/>
              <w:rPr>
                <w:rFonts w:hint="default"/>
                <w:sz w:val="24"/>
                <w:szCs w:val="32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lang w:val="en-US" w:eastAsia="zh-CN"/>
              </w:rPr>
              <w:t>具体内容</w:t>
            </w:r>
          </w:p>
        </w:tc>
        <w:tc>
          <w:tcPr>
            <w:tcW w:w="1369" w:type="dxa"/>
            <w:shd w:val="clear" w:color="auto" w:fill="BEBEBE"/>
            <w:vAlign w:val="center"/>
          </w:tcPr>
          <w:p w14:paraId="5417D587">
            <w:pPr>
              <w:jc w:val="center"/>
              <w:rPr>
                <w:rFonts w:hint="eastAsia"/>
                <w:sz w:val="24"/>
                <w:szCs w:val="32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lang w:val="en-US" w:eastAsia="zh-CN"/>
              </w:rPr>
              <w:t>数量</w:t>
            </w:r>
          </w:p>
        </w:tc>
        <w:tc>
          <w:tcPr>
            <w:tcW w:w="1732" w:type="dxa"/>
            <w:shd w:val="clear" w:color="auto" w:fill="BEBEBE"/>
            <w:vAlign w:val="center"/>
          </w:tcPr>
          <w:p w14:paraId="0B9C2599">
            <w:pPr>
              <w:jc w:val="center"/>
              <w:rPr>
                <w:rFonts w:hint="default"/>
                <w:sz w:val="24"/>
                <w:szCs w:val="32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lang w:val="en-US" w:eastAsia="zh-CN"/>
              </w:rPr>
              <w:t>具体提供内容</w:t>
            </w:r>
          </w:p>
        </w:tc>
        <w:tc>
          <w:tcPr>
            <w:tcW w:w="1006" w:type="dxa"/>
            <w:shd w:val="clear" w:color="auto" w:fill="BEBEBE"/>
            <w:vAlign w:val="center"/>
          </w:tcPr>
          <w:p w14:paraId="383072AC">
            <w:pPr>
              <w:jc w:val="center"/>
              <w:rPr>
                <w:rFonts w:hint="eastAsia"/>
                <w:sz w:val="24"/>
                <w:szCs w:val="32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lang w:val="en-US" w:eastAsia="zh-CN"/>
              </w:rPr>
              <w:t>金额</w:t>
            </w:r>
          </w:p>
        </w:tc>
      </w:tr>
      <w:tr w14:paraId="2C850CF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3" w:hRule="atLeast"/>
          <w:jc w:val="center"/>
        </w:trPr>
        <w:tc>
          <w:tcPr>
            <w:tcW w:w="1673" w:type="dxa"/>
            <w:tcBorders>
              <w:left w:val="single" w:color="000000" w:sz="2" w:space="0"/>
            </w:tcBorders>
            <w:vAlign w:val="center"/>
          </w:tcPr>
          <w:p w14:paraId="15ACD519">
            <w:pPr>
              <w:jc w:val="both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医院文化价值理念内涵提炼与提升</w:t>
            </w:r>
          </w:p>
        </w:tc>
        <w:tc>
          <w:tcPr>
            <w:tcW w:w="3687" w:type="dxa"/>
            <w:tcBorders>
              <w:right w:val="single" w:color="000000" w:sz="2" w:space="0"/>
            </w:tcBorders>
            <w:vAlign w:val="center"/>
          </w:tcPr>
          <w:p w14:paraId="610CC8CF">
            <w:pPr>
              <w:jc w:val="both"/>
              <w:rPr>
                <w:rFonts w:hint="eastAsia"/>
                <w:sz w:val="24"/>
                <w:szCs w:val="32"/>
                <w:lang w:eastAsia="zh-CN"/>
              </w:rPr>
            </w:pPr>
            <w:r>
              <w:rPr>
                <w:rFonts w:hint="eastAsia"/>
                <w:sz w:val="24"/>
                <w:szCs w:val="32"/>
                <w:lang w:val="en-US" w:eastAsia="zh-CN"/>
              </w:rPr>
              <w:t>提供</w:t>
            </w:r>
            <w:r>
              <w:rPr>
                <w:sz w:val="24"/>
                <w:szCs w:val="32"/>
              </w:rPr>
              <w:t>医院文化现状调研及文化分析报告</w:t>
            </w:r>
            <w:r>
              <w:rPr>
                <w:rFonts w:hint="eastAsia"/>
                <w:sz w:val="24"/>
                <w:szCs w:val="32"/>
                <w:lang w:eastAsia="zh-CN"/>
              </w:rPr>
              <w:t>。</w:t>
            </w:r>
          </w:p>
          <w:p w14:paraId="663F7D61">
            <w:pPr>
              <w:jc w:val="both"/>
              <w:rPr>
                <w:rFonts w:hint="eastAsia"/>
                <w:sz w:val="24"/>
                <w:szCs w:val="32"/>
                <w:lang w:eastAsia="zh-CN"/>
              </w:rPr>
            </w:pPr>
            <w:r>
              <w:rPr>
                <w:rFonts w:hint="eastAsia"/>
                <w:sz w:val="24"/>
                <w:szCs w:val="32"/>
                <w:lang w:val="en-US" w:eastAsia="zh-CN"/>
              </w:rPr>
              <w:t>协助提炼文化建设三年规划。</w:t>
            </w:r>
          </w:p>
        </w:tc>
        <w:tc>
          <w:tcPr>
            <w:tcW w:w="1369" w:type="dxa"/>
            <w:tcBorders>
              <w:right w:val="single" w:color="000000" w:sz="2" w:space="0"/>
            </w:tcBorders>
            <w:vAlign w:val="center"/>
          </w:tcPr>
          <w:p w14:paraId="72F78A00">
            <w:pPr>
              <w:jc w:val="center"/>
              <w:rPr>
                <w:rFonts w:hint="default"/>
                <w:sz w:val="24"/>
                <w:szCs w:val="32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lang w:val="en-US" w:eastAsia="zh-CN"/>
              </w:rPr>
              <w:t>各1份</w:t>
            </w:r>
          </w:p>
        </w:tc>
        <w:tc>
          <w:tcPr>
            <w:tcW w:w="1732" w:type="dxa"/>
            <w:tcBorders>
              <w:right w:val="single" w:color="000000" w:sz="2" w:space="0"/>
            </w:tcBorders>
            <w:vAlign w:val="top"/>
          </w:tcPr>
          <w:p w14:paraId="7CAB0D7C">
            <w:pPr>
              <w:rPr>
                <w:sz w:val="24"/>
                <w:szCs w:val="32"/>
              </w:rPr>
            </w:pPr>
          </w:p>
        </w:tc>
        <w:tc>
          <w:tcPr>
            <w:tcW w:w="1006" w:type="dxa"/>
            <w:tcBorders>
              <w:right w:val="single" w:color="000000" w:sz="2" w:space="0"/>
            </w:tcBorders>
            <w:vAlign w:val="top"/>
          </w:tcPr>
          <w:p w14:paraId="04DEDB17">
            <w:pPr>
              <w:rPr>
                <w:sz w:val="24"/>
                <w:szCs w:val="32"/>
              </w:rPr>
            </w:pPr>
          </w:p>
        </w:tc>
      </w:tr>
      <w:tr w14:paraId="1AC9623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2" w:hRule="atLeast"/>
          <w:jc w:val="center"/>
        </w:trPr>
        <w:tc>
          <w:tcPr>
            <w:tcW w:w="1673" w:type="dxa"/>
            <w:tcBorders>
              <w:left w:val="single" w:color="000000" w:sz="2" w:space="0"/>
            </w:tcBorders>
            <w:vAlign w:val="center"/>
          </w:tcPr>
          <w:p w14:paraId="0CC38A41">
            <w:pPr>
              <w:jc w:val="both"/>
              <w:rPr>
                <w:sz w:val="24"/>
                <w:szCs w:val="32"/>
              </w:rPr>
            </w:pPr>
          </w:p>
          <w:p w14:paraId="09F5C096">
            <w:pPr>
              <w:jc w:val="both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医院品牌与色彩规划设计</w:t>
            </w:r>
          </w:p>
        </w:tc>
        <w:tc>
          <w:tcPr>
            <w:tcW w:w="3687" w:type="dxa"/>
            <w:tcBorders>
              <w:right w:val="single" w:color="000000" w:sz="2" w:space="0"/>
            </w:tcBorders>
            <w:vAlign w:val="center"/>
          </w:tcPr>
          <w:p w14:paraId="1E4813F7">
            <w:pPr>
              <w:jc w:val="both"/>
              <w:rPr>
                <w:rFonts w:hint="eastAsia"/>
                <w:sz w:val="24"/>
                <w:szCs w:val="32"/>
                <w:lang w:eastAsia="zh-CN"/>
              </w:rPr>
            </w:pPr>
            <w:r>
              <w:rPr>
                <w:sz w:val="24"/>
                <w:szCs w:val="32"/>
              </w:rPr>
              <w:t>1）品牌基础设计，行政办公事务应用设计，宣传应用设计</w:t>
            </w:r>
            <w:r>
              <w:rPr>
                <w:rFonts w:hint="eastAsia"/>
                <w:sz w:val="24"/>
                <w:szCs w:val="32"/>
                <w:lang w:eastAsia="zh-CN"/>
              </w:rPr>
              <w:t>。</w:t>
            </w:r>
          </w:p>
          <w:p w14:paraId="77C32ED2">
            <w:pPr>
              <w:jc w:val="both"/>
              <w:rPr>
                <w:rFonts w:hint="eastAsia"/>
                <w:sz w:val="24"/>
                <w:szCs w:val="32"/>
                <w:lang w:eastAsia="zh-CN"/>
              </w:rPr>
            </w:pPr>
            <w:r>
              <w:rPr>
                <w:sz w:val="24"/>
                <w:szCs w:val="32"/>
              </w:rPr>
              <w:t>2）医院整体空间色彩规划设计、软装</w:t>
            </w:r>
            <w:r>
              <w:rPr>
                <w:rFonts w:hint="eastAsia"/>
                <w:sz w:val="24"/>
                <w:szCs w:val="32"/>
                <w:lang w:val="en-US" w:eastAsia="zh-CN"/>
              </w:rPr>
              <w:t>及</w:t>
            </w:r>
            <w:r>
              <w:rPr>
                <w:sz w:val="24"/>
                <w:szCs w:val="32"/>
              </w:rPr>
              <w:t>家具色彩建议等</w:t>
            </w:r>
            <w:r>
              <w:rPr>
                <w:rFonts w:hint="eastAsia"/>
                <w:sz w:val="24"/>
                <w:szCs w:val="32"/>
                <w:lang w:eastAsia="zh-CN"/>
              </w:rPr>
              <w:t>。</w:t>
            </w:r>
          </w:p>
          <w:p w14:paraId="16084964">
            <w:pPr>
              <w:jc w:val="both"/>
              <w:rPr>
                <w:rFonts w:hint="eastAsia"/>
                <w:sz w:val="24"/>
                <w:szCs w:val="32"/>
                <w:lang w:eastAsia="zh-CN"/>
              </w:rPr>
            </w:pPr>
            <w:r>
              <w:rPr>
                <w:sz w:val="24"/>
                <w:szCs w:val="32"/>
              </w:rPr>
              <w:t>3）医院导视系统色彩</w:t>
            </w:r>
            <w:r>
              <w:rPr>
                <w:rFonts w:hint="eastAsia"/>
                <w:sz w:val="24"/>
                <w:szCs w:val="32"/>
                <w:lang w:val="en-US" w:eastAsia="zh-CN"/>
              </w:rPr>
              <w:t>升级</w:t>
            </w:r>
            <w:r>
              <w:rPr>
                <w:sz w:val="24"/>
                <w:szCs w:val="32"/>
              </w:rPr>
              <w:t>，导视系统初步方案及规范</w:t>
            </w:r>
            <w:r>
              <w:rPr>
                <w:rFonts w:hint="eastAsia"/>
                <w:sz w:val="24"/>
                <w:szCs w:val="32"/>
                <w:lang w:eastAsia="zh-CN"/>
              </w:rPr>
              <w:t>。</w:t>
            </w:r>
          </w:p>
        </w:tc>
        <w:tc>
          <w:tcPr>
            <w:tcW w:w="1369" w:type="dxa"/>
            <w:tcBorders>
              <w:right w:val="single" w:color="000000" w:sz="2" w:space="0"/>
            </w:tcBorders>
            <w:vAlign w:val="center"/>
          </w:tcPr>
          <w:p w14:paraId="57CFE2C3">
            <w:pPr>
              <w:jc w:val="center"/>
              <w:rPr>
                <w:rFonts w:hint="eastAsia"/>
                <w:sz w:val="24"/>
                <w:szCs w:val="32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lang w:val="en-US" w:eastAsia="zh-CN"/>
              </w:rPr>
              <w:t>1套</w:t>
            </w:r>
          </w:p>
        </w:tc>
        <w:tc>
          <w:tcPr>
            <w:tcW w:w="1732" w:type="dxa"/>
            <w:tcBorders>
              <w:right w:val="single" w:color="000000" w:sz="2" w:space="0"/>
            </w:tcBorders>
            <w:vAlign w:val="top"/>
          </w:tcPr>
          <w:p w14:paraId="51F7EC26">
            <w:pPr>
              <w:rPr>
                <w:sz w:val="24"/>
                <w:szCs w:val="32"/>
              </w:rPr>
            </w:pPr>
          </w:p>
        </w:tc>
        <w:tc>
          <w:tcPr>
            <w:tcW w:w="1006" w:type="dxa"/>
            <w:tcBorders>
              <w:right w:val="single" w:color="000000" w:sz="2" w:space="0"/>
            </w:tcBorders>
            <w:vAlign w:val="top"/>
          </w:tcPr>
          <w:p w14:paraId="2CA6AC3F">
            <w:pPr>
              <w:rPr>
                <w:sz w:val="24"/>
                <w:szCs w:val="32"/>
              </w:rPr>
            </w:pPr>
          </w:p>
        </w:tc>
      </w:tr>
      <w:tr w14:paraId="3389A72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atLeast"/>
          <w:jc w:val="center"/>
        </w:trPr>
        <w:tc>
          <w:tcPr>
            <w:tcW w:w="1673" w:type="dxa"/>
            <w:vMerge w:val="restart"/>
            <w:tcBorders>
              <w:left w:val="single" w:color="000000" w:sz="2" w:space="0"/>
            </w:tcBorders>
            <w:vAlign w:val="center"/>
          </w:tcPr>
          <w:p w14:paraId="4493209E">
            <w:pPr>
              <w:jc w:val="both"/>
              <w:rPr>
                <w:sz w:val="24"/>
                <w:szCs w:val="32"/>
                <w:highlight w:val="none"/>
              </w:rPr>
            </w:pPr>
            <w:r>
              <w:rPr>
                <w:sz w:val="24"/>
                <w:szCs w:val="32"/>
                <w:highlight w:val="none"/>
              </w:rPr>
              <w:t>医院文化 IP 形象创意设计与文创开发</w:t>
            </w:r>
          </w:p>
        </w:tc>
        <w:tc>
          <w:tcPr>
            <w:tcW w:w="3687" w:type="dxa"/>
            <w:vMerge w:val="restart"/>
            <w:tcBorders>
              <w:right w:val="single" w:color="000000" w:sz="2" w:space="0"/>
            </w:tcBorders>
            <w:vAlign w:val="center"/>
          </w:tcPr>
          <w:p w14:paraId="28B38DA9">
            <w:pPr>
              <w:jc w:val="both"/>
              <w:rPr>
                <w:rFonts w:hint="eastAsia" w:eastAsiaTheme="minorEastAsia"/>
                <w:sz w:val="24"/>
                <w:szCs w:val="32"/>
                <w:highlight w:val="none"/>
                <w:lang w:eastAsia="zh-CN"/>
              </w:rPr>
            </w:pPr>
            <w:r>
              <w:rPr>
                <w:sz w:val="24"/>
                <w:szCs w:val="32"/>
                <w:highlight w:val="none"/>
              </w:rPr>
              <w:t>1）</w:t>
            </w:r>
            <w:r>
              <w:rPr>
                <w:rFonts w:hint="eastAsia"/>
                <w:sz w:val="24"/>
                <w:szCs w:val="32"/>
                <w:highlight w:val="none"/>
                <w:lang w:val="en-US" w:eastAsia="zh-CN"/>
              </w:rPr>
              <w:t>在医院现有IP形象上，升级</w:t>
            </w:r>
            <w:r>
              <w:rPr>
                <w:sz w:val="24"/>
                <w:szCs w:val="32"/>
                <w:highlight w:val="none"/>
              </w:rPr>
              <w:t>创意设计，IP 形象基础要素、标准色，称谓及组合规范，卡通人物表情</w:t>
            </w:r>
            <w:r>
              <w:rPr>
                <w:rFonts w:hint="eastAsia"/>
                <w:sz w:val="24"/>
                <w:szCs w:val="32"/>
                <w:highlight w:val="none"/>
                <w:lang w:eastAsia="zh-CN"/>
              </w:rPr>
              <w:t>。</w:t>
            </w:r>
          </w:p>
          <w:p w14:paraId="0E41B396">
            <w:pPr>
              <w:jc w:val="both"/>
              <w:rPr>
                <w:rFonts w:hint="eastAsia" w:eastAsiaTheme="minorEastAsia"/>
                <w:sz w:val="24"/>
                <w:szCs w:val="32"/>
                <w:highlight w:val="none"/>
                <w:lang w:eastAsia="zh-CN"/>
              </w:rPr>
            </w:pPr>
            <w:r>
              <w:rPr>
                <w:sz w:val="24"/>
                <w:szCs w:val="32"/>
                <w:highlight w:val="none"/>
              </w:rPr>
              <w:t>2)卡通 IP 文创衍生设计</w:t>
            </w:r>
            <w:r>
              <w:rPr>
                <w:rFonts w:hint="eastAsia"/>
                <w:sz w:val="24"/>
                <w:szCs w:val="32"/>
                <w:highlight w:val="none"/>
                <w:lang w:eastAsia="zh-CN"/>
              </w:rPr>
              <w:t>。</w:t>
            </w:r>
          </w:p>
        </w:tc>
        <w:tc>
          <w:tcPr>
            <w:tcW w:w="1369" w:type="dxa"/>
            <w:vMerge w:val="restart"/>
            <w:tcBorders>
              <w:right w:val="single" w:color="000000" w:sz="2" w:space="0"/>
            </w:tcBorders>
            <w:vAlign w:val="center"/>
          </w:tcPr>
          <w:p w14:paraId="522859EE">
            <w:pPr>
              <w:jc w:val="center"/>
              <w:rPr>
                <w:rFonts w:hint="default" w:eastAsiaTheme="minorEastAsia"/>
                <w:sz w:val="24"/>
                <w:szCs w:val="32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lang w:val="en-US" w:eastAsia="zh-CN"/>
              </w:rPr>
              <w:t>1套</w:t>
            </w:r>
          </w:p>
        </w:tc>
        <w:tc>
          <w:tcPr>
            <w:tcW w:w="1732" w:type="dxa"/>
            <w:tcBorders>
              <w:bottom w:val="nil"/>
              <w:right w:val="single" w:color="000000" w:sz="2" w:space="0"/>
            </w:tcBorders>
            <w:vAlign w:val="top"/>
          </w:tcPr>
          <w:p w14:paraId="1DAC8898">
            <w:pPr>
              <w:rPr>
                <w:sz w:val="24"/>
                <w:szCs w:val="32"/>
              </w:rPr>
            </w:pPr>
          </w:p>
        </w:tc>
        <w:tc>
          <w:tcPr>
            <w:tcW w:w="1006" w:type="dxa"/>
            <w:tcBorders>
              <w:bottom w:val="nil"/>
              <w:right w:val="single" w:color="000000" w:sz="2" w:space="0"/>
            </w:tcBorders>
            <w:vAlign w:val="top"/>
          </w:tcPr>
          <w:p w14:paraId="399366F0">
            <w:pPr>
              <w:rPr>
                <w:sz w:val="24"/>
                <w:szCs w:val="32"/>
              </w:rPr>
            </w:pPr>
          </w:p>
        </w:tc>
      </w:tr>
      <w:tr w14:paraId="48B9244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73" w:type="dxa"/>
            <w:vMerge w:val="continue"/>
            <w:tcBorders>
              <w:left w:val="single" w:color="000000" w:sz="2" w:space="0"/>
            </w:tcBorders>
            <w:vAlign w:val="center"/>
          </w:tcPr>
          <w:p w14:paraId="19D0DBC0">
            <w:pPr>
              <w:jc w:val="both"/>
              <w:rPr>
                <w:sz w:val="24"/>
                <w:szCs w:val="32"/>
              </w:rPr>
            </w:pPr>
          </w:p>
        </w:tc>
        <w:tc>
          <w:tcPr>
            <w:tcW w:w="3687" w:type="dxa"/>
            <w:vMerge w:val="continue"/>
            <w:tcBorders>
              <w:right w:val="single" w:color="000000" w:sz="2" w:space="0"/>
            </w:tcBorders>
            <w:vAlign w:val="center"/>
          </w:tcPr>
          <w:p w14:paraId="158A6EBD">
            <w:pPr>
              <w:jc w:val="both"/>
              <w:rPr>
                <w:sz w:val="24"/>
                <w:szCs w:val="32"/>
              </w:rPr>
            </w:pPr>
          </w:p>
        </w:tc>
        <w:tc>
          <w:tcPr>
            <w:tcW w:w="1369" w:type="dxa"/>
            <w:vMerge w:val="continue"/>
            <w:tcBorders>
              <w:right w:val="single" w:color="000000" w:sz="2" w:space="0"/>
            </w:tcBorders>
            <w:vAlign w:val="center"/>
          </w:tcPr>
          <w:p w14:paraId="261C2876">
            <w:pPr>
              <w:jc w:val="both"/>
              <w:rPr>
                <w:sz w:val="24"/>
                <w:szCs w:val="32"/>
              </w:rPr>
            </w:pPr>
          </w:p>
        </w:tc>
        <w:tc>
          <w:tcPr>
            <w:tcW w:w="1732" w:type="dxa"/>
            <w:tcBorders>
              <w:top w:val="nil"/>
              <w:bottom w:val="nil"/>
              <w:right w:val="single" w:color="000000" w:sz="2" w:space="0"/>
            </w:tcBorders>
            <w:vAlign w:val="top"/>
          </w:tcPr>
          <w:p w14:paraId="08A6B622">
            <w:pPr>
              <w:rPr>
                <w:sz w:val="24"/>
                <w:szCs w:val="32"/>
              </w:rPr>
            </w:pPr>
          </w:p>
        </w:tc>
        <w:tc>
          <w:tcPr>
            <w:tcW w:w="1006" w:type="dxa"/>
            <w:tcBorders>
              <w:top w:val="nil"/>
              <w:bottom w:val="nil"/>
              <w:right w:val="single" w:color="000000" w:sz="2" w:space="0"/>
            </w:tcBorders>
            <w:vAlign w:val="top"/>
          </w:tcPr>
          <w:p w14:paraId="3E057334">
            <w:pPr>
              <w:rPr>
                <w:sz w:val="24"/>
                <w:szCs w:val="32"/>
              </w:rPr>
            </w:pPr>
          </w:p>
        </w:tc>
      </w:tr>
      <w:tr w14:paraId="5624B3A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8" w:hRule="atLeast"/>
          <w:jc w:val="center"/>
        </w:trPr>
        <w:tc>
          <w:tcPr>
            <w:tcW w:w="1673" w:type="dxa"/>
            <w:vMerge w:val="continue"/>
            <w:tcBorders>
              <w:left w:val="single" w:color="000000" w:sz="2" w:space="0"/>
            </w:tcBorders>
            <w:vAlign w:val="center"/>
          </w:tcPr>
          <w:p w14:paraId="059B51AF">
            <w:pPr>
              <w:jc w:val="both"/>
              <w:rPr>
                <w:sz w:val="24"/>
                <w:szCs w:val="32"/>
              </w:rPr>
            </w:pPr>
          </w:p>
        </w:tc>
        <w:tc>
          <w:tcPr>
            <w:tcW w:w="3687" w:type="dxa"/>
            <w:vMerge w:val="continue"/>
            <w:tcBorders>
              <w:right w:val="single" w:color="000000" w:sz="2" w:space="0"/>
            </w:tcBorders>
            <w:vAlign w:val="center"/>
          </w:tcPr>
          <w:p w14:paraId="1C820860">
            <w:pPr>
              <w:jc w:val="both"/>
              <w:rPr>
                <w:sz w:val="24"/>
                <w:szCs w:val="32"/>
              </w:rPr>
            </w:pPr>
          </w:p>
        </w:tc>
        <w:tc>
          <w:tcPr>
            <w:tcW w:w="1369" w:type="dxa"/>
            <w:vMerge w:val="continue"/>
            <w:tcBorders>
              <w:right w:val="single" w:color="000000" w:sz="2" w:space="0"/>
            </w:tcBorders>
            <w:vAlign w:val="center"/>
          </w:tcPr>
          <w:p w14:paraId="3A20AABF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1732" w:type="dxa"/>
            <w:tcBorders>
              <w:top w:val="nil"/>
              <w:right w:val="single" w:color="000000" w:sz="2" w:space="0"/>
            </w:tcBorders>
            <w:vAlign w:val="top"/>
          </w:tcPr>
          <w:p w14:paraId="261A76D1">
            <w:pPr>
              <w:rPr>
                <w:sz w:val="24"/>
                <w:szCs w:val="32"/>
              </w:rPr>
            </w:pPr>
          </w:p>
        </w:tc>
        <w:tc>
          <w:tcPr>
            <w:tcW w:w="1006" w:type="dxa"/>
            <w:tcBorders>
              <w:top w:val="nil"/>
              <w:right w:val="single" w:color="000000" w:sz="2" w:space="0"/>
            </w:tcBorders>
            <w:vAlign w:val="top"/>
          </w:tcPr>
          <w:p w14:paraId="567D0441">
            <w:pPr>
              <w:rPr>
                <w:sz w:val="24"/>
                <w:szCs w:val="32"/>
              </w:rPr>
            </w:pPr>
          </w:p>
        </w:tc>
      </w:tr>
      <w:tr w14:paraId="61F3C14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3" w:hRule="atLeast"/>
          <w:jc w:val="center"/>
        </w:trPr>
        <w:tc>
          <w:tcPr>
            <w:tcW w:w="1673" w:type="dxa"/>
            <w:tcBorders>
              <w:left w:val="single" w:color="000000" w:sz="2" w:space="0"/>
            </w:tcBorders>
            <w:vAlign w:val="center"/>
          </w:tcPr>
          <w:p w14:paraId="0B9BC8CE">
            <w:pPr>
              <w:jc w:val="both"/>
              <w:rPr>
                <w:sz w:val="24"/>
                <w:szCs w:val="32"/>
                <w:highlight w:val="none"/>
              </w:rPr>
            </w:pPr>
            <w:r>
              <w:rPr>
                <w:sz w:val="24"/>
                <w:szCs w:val="32"/>
                <w:highlight w:val="none"/>
              </w:rPr>
              <w:t>医院文化梳理与效果展示</w:t>
            </w:r>
          </w:p>
        </w:tc>
        <w:tc>
          <w:tcPr>
            <w:tcW w:w="3687" w:type="dxa"/>
            <w:tcBorders>
              <w:right w:val="single" w:color="000000" w:sz="2" w:space="0"/>
            </w:tcBorders>
            <w:vAlign w:val="center"/>
          </w:tcPr>
          <w:p w14:paraId="7C769AD7">
            <w:pPr>
              <w:jc w:val="both"/>
              <w:rPr>
                <w:sz w:val="24"/>
                <w:szCs w:val="32"/>
                <w:highlight w:val="none"/>
              </w:rPr>
            </w:pPr>
            <w:r>
              <w:rPr>
                <w:sz w:val="24"/>
                <w:szCs w:val="32"/>
                <w:highlight w:val="none"/>
              </w:rPr>
              <w:t>1）医院文化空间感受动线设计、医院文化展示空间布点规划、医院文化展示主题与内容策划、梳理</w:t>
            </w:r>
          </w:p>
          <w:p w14:paraId="53055FBC">
            <w:pPr>
              <w:jc w:val="both"/>
              <w:rPr>
                <w:sz w:val="24"/>
                <w:szCs w:val="32"/>
                <w:highlight w:val="none"/>
              </w:rPr>
            </w:pPr>
            <w:r>
              <w:rPr>
                <w:sz w:val="24"/>
                <w:szCs w:val="32"/>
                <w:highlight w:val="none"/>
              </w:rPr>
              <w:t>2）空间主题设计（</w:t>
            </w:r>
            <w:r>
              <w:rPr>
                <w:rFonts w:hint="eastAsia"/>
                <w:sz w:val="24"/>
                <w:szCs w:val="32"/>
                <w:highlight w:val="none"/>
                <w:lang w:val="en-US" w:eastAsia="zh-CN"/>
              </w:rPr>
              <w:t>各院区全部区域</w:t>
            </w:r>
            <w:r>
              <w:rPr>
                <w:sz w:val="24"/>
                <w:szCs w:val="32"/>
                <w:highlight w:val="none"/>
              </w:rPr>
              <w:t>）</w:t>
            </w:r>
          </w:p>
          <w:p w14:paraId="7F60BD33">
            <w:pPr>
              <w:jc w:val="both"/>
              <w:rPr>
                <w:sz w:val="24"/>
                <w:szCs w:val="32"/>
                <w:highlight w:val="none"/>
              </w:rPr>
            </w:pPr>
            <w:r>
              <w:rPr>
                <w:sz w:val="24"/>
                <w:szCs w:val="32"/>
                <w:highlight w:val="none"/>
              </w:rPr>
              <w:t>3）室内外文化长廊规划设计</w:t>
            </w:r>
          </w:p>
          <w:p w14:paraId="734C3B70">
            <w:pPr>
              <w:jc w:val="both"/>
              <w:rPr>
                <w:sz w:val="24"/>
                <w:szCs w:val="32"/>
                <w:highlight w:val="none"/>
              </w:rPr>
            </w:pPr>
            <w:r>
              <w:rPr>
                <w:sz w:val="24"/>
                <w:szCs w:val="32"/>
                <w:highlight w:val="none"/>
              </w:rPr>
              <w:t>4）重点科室空间规划设计（含形象墙、等候区、服务台、诊室走廊）</w:t>
            </w:r>
          </w:p>
        </w:tc>
        <w:tc>
          <w:tcPr>
            <w:tcW w:w="1369" w:type="dxa"/>
            <w:tcBorders>
              <w:right w:val="single" w:color="000000" w:sz="2" w:space="0"/>
            </w:tcBorders>
            <w:vAlign w:val="center"/>
          </w:tcPr>
          <w:p w14:paraId="74A3FCDA">
            <w:pPr>
              <w:jc w:val="center"/>
              <w:rPr>
                <w:rFonts w:hint="default" w:eastAsiaTheme="minorEastAsia"/>
                <w:sz w:val="24"/>
                <w:szCs w:val="32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lang w:val="en-US" w:eastAsia="zh-CN"/>
              </w:rPr>
              <w:t>1套</w:t>
            </w:r>
          </w:p>
        </w:tc>
        <w:tc>
          <w:tcPr>
            <w:tcW w:w="1732" w:type="dxa"/>
            <w:tcBorders>
              <w:right w:val="single" w:color="000000" w:sz="2" w:space="0"/>
            </w:tcBorders>
            <w:vAlign w:val="top"/>
          </w:tcPr>
          <w:p w14:paraId="200E7979">
            <w:pPr>
              <w:rPr>
                <w:sz w:val="24"/>
                <w:szCs w:val="32"/>
              </w:rPr>
            </w:pPr>
          </w:p>
        </w:tc>
        <w:tc>
          <w:tcPr>
            <w:tcW w:w="1006" w:type="dxa"/>
            <w:tcBorders>
              <w:right w:val="single" w:color="000000" w:sz="2" w:space="0"/>
            </w:tcBorders>
            <w:vAlign w:val="top"/>
          </w:tcPr>
          <w:p w14:paraId="1E9213E2">
            <w:pPr>
              <w:rPr>
                <w:sz w:val="24"/>
                <w:szCs w:val="32"/>
              </w:rPr>
            </w:pPr>
          </w:p>
        </w:tc>
      </w:tr>
      <w:tr w14:paraId="6513DCA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0" w:hRule="atLeast"/>
          <w:jc w:val="center"/>
        </w:trPr>
        <w:tc>
          <w:tcPr>
            <w:tcW w:w="1673" w:type="dxa"/>
            <w:tcBorders>
              <w:left w:val="single" w:color="000000" w:sz="2" w:space="0"/>
            </w:tcBorders>
            <w:vAlign w:val="center"/>
          </w:tcPr>
          <w:p w14:paraId="72720BD0">
            <w:pPr>
              <w:jc w:val="both"/>
              <w:rPr>
                <w:sz w:val="24"/>
                <w:szCs w:val="32"/>
                <w:highlight w:val="none"/>
              </w:rPr>
            </w:pPr>
            <w:r>
              <w:rPr>
                <w:spacing w:val="-4"/>
                <w:sz w:val="24"/>
                <w:szCs w:val="32"/>
                <w:highlight w:val="none"/>
              </w:rPr>
              <w:t>院史空间规划与</w:t>
            </w:r>
            <w:r>
              <w:rPr>
                <w:spacing w:val="-3"/>
                <w:sz w:val="24"/>
                <w:szCs w:val="32"/>
                <w:highlight w:val="none"/>
              </w:rPr>
              <w:t>效果设计</w:t>
            </w:r>
          </w:p>
        </w:tc>
        <w:tc>
          <w:tcPr>
            <w:tcW w:w="3687" w:type="dxa"/>
            <w:tcBorders>
              <w:right w:val="single" w:color="000000" w:sz="2" w:space="0"/>
            </w:tcBorders>
            <w:vAlign w:val="center"/>
          </w:tcPr>
          <w:p w14:paraId="187955E4">
            <w:pPr>
              <w:jc w:val="both"/>
              <w:rPr>
                <w:sz w:val="24"/>
                <w:szCs w:val="32"/>
                <w:highlight w:val="none"/>
              </w:rPr>
            </w:pPr>
            <w:r>
              <w:rPr>
                <w:sz w:val="24"/>
                <w:szCs w:val="32"/>
                <w:highlight w:val="none"/>
              </w:rPr>
              <w:t>1）内容规划与主题设计</w:t>
            </w:r>
          </w:p>
          <w:p w14:paraId="0E134CDA">
            <w:pPr>
              <w:jc w:val="both"/>
              <w:rPr>
                <w:sz w:val="24"/>
                <w:szCs w:val="32"/>
                <w:highlight w:val="none"/>
              </w:rPr>
            </w:pPr>
            <w:r>
              <w:rPr>
                <w:sz w:val="24"/>
                <w:szCs w:val="32"/>
                <w:highlight w:val="none"/>
              </w:rPr>
              <w:t>2）参观动线与布展策划</w:t>
            </w:r>
          </w:p>
          <w:p w14:paraId="3CB55E28">
            <w:pPr>
              <w:jc w:val="both"/>
              <w:rPr>
                <w:sz w:val="24"/>
                <w:szCs w:val="32"/>
                <w:highlight w:val="none"/>
              </w:rPr>
            </w:pPr>
            <w:r>
              <w:rPr>
                <w:sz w:val="24"/>
                <w:szCs w:val="32"/>
                <w:highlight w:val="none"/>
              </w:rPr>
              <w:t>3）整体及各分区的设计效果</w:t>
            </w:r>
          </w:p>
          <w:p w14:paraId="2F24D42A">
            <w:pPr>
              <w:jc w:val="both"/>
              <w:rPr>
                <w:sz w:val="24"/>
                <w:szCs w:val="32"/>
                <w:highlight w:val="none"/>
              </w:rPr>
            </w:pPr>
            <w:r>
              <w:rPr>
                <w:sz w:val="24"/>
                <w:szCs w:val="32"/>
                <w:highlight w:val="none"/>
              </w:rPr>
              <w:t>4）材质工艺、科技产品应用的实施建议</w:t>
            </w:r>
          </w:p>
        </w:tc>
        <w:tc>
          <w:tcPr>
            <w:tcW w:w="1369" w:type="dxa"/>
            <w:tcBorders>
              <w:right w:val="single" w:color="000000" w:sz="2" w:space="0"/>
            </w:tcBorders>
            <w:vAlign w:val="center"/>
          </w:tcPr>
          <w:p w14:paraId="5B8E12AA">
            <w:pPr>
              <w:jc w:val="center"/>
              <w:rPr>
                <w:rFonts w:hint="default" w:eastAsiaTheme="minorEastAsia"/>
                <w:sz w:val="24"/>
                <w:szCs w:val="32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lang w:val="en-US" w:eastAsia="zh-CN"/>
              </w:rPr>
              <w:t>1套</w:t>
            </w:r>
          </w:p>
        </w:tc>
        <w:tc>
          <w:tcPr>
            <w:tcW w:w="1732" w:type="dxa"/>
            <w:tcBorders>
              <w:right w:val="single" w:color="000000" w:sz="2" w:space="0"/>
            </w:tcBorders>
            <w:vAlign w:val="top"/>
          </w:tcPr>
          <w:p w14:paraId="57F81333">
            <w:pPr>
              <w:rPr>
                <w:sz w:val="24"/>
                <w:szCs w:val="32"/>
              </w:rPr>
            </w:pPr>
          </w:p>
        </w:tc>
        <w:tc>
          <w:tcPr>
            <w:tcW w:w="1006" w:type="dxa"/>
            <w:tcBorders>
              <w:right w:val="single" w:color="000000" w:sz="2" w:space="0"/>
            </w:tcBorders>
            <w:vAlign w:val="top"/>
          </w:tcPr>
          <w:p w14:paraId="14DA5589">
            <w:pPr>
              <w:rPr>
                <w:sz w:val="24"/>
                <w:szCs w:val="32"/>
              </w:rPr>
            </w:pPr>
          </w:p>
        </w:tc>
      </w:tr>
      <w:tr w14:paraId="196A798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6" w:hRule="atLeast"/>
          <w:jc w:val="center"/>
        </w:trPr>
        <w:tc>
          <w:tcPr>
            <w:tcW w:w="1673" w:type="dxa"/>
            <w:tcBorders>
              <w:left w:val="single" w:color="000000" w:sz="2" w:space="0"/>
            </w:tcBorders>
            <w:vAlign w:val="center"/>
          </w:tcPr>
          <w:p w14:paraId="7BDB11E4">
            <w:pPr>
              <w:jc w:val="both"/>
              <w:rPr>
                <w:rFonts w:hint="default" w:eastAsiaTheme="minorEastAsia"/>
                <w:spacing w:val="-4"/>
                <w:sz w:val="24"/>
                <w:szCs w:val="32"/>
                <w:highlight w:val="none"/>
                <w:lang w:val="en-US" w:eastAsia="zh-CN"/>
              </w:rPr>
            </w:pPr>
            <w:r>
              <w:rPr>
                <w:rFonts w:hint="eastAsia"/>
                <w:spacing w:val="-4"/>
                <w:sz w:val="24"/>
                <w:szCs w:val="32"/>
                <w:highlight w:val="none"/>
                <w:lang w:val="en-US" w:eastAsia="zh-CN"/>
              </w:rPr>
              <w:t>指导与培训</w:t>
            </w:r>
          </w:p>
        </w:tc>
        <w:tc>
          <w:tcPr>
            <w:tcW w:w="3687" w:type="dxa"/>
            <w:tcBorders>
              <w:right w:val="single" w:color="000000" w:sz="2" w:space="0"/>
            </w:tcBorders>
            <w:vAlign w:val="center"/>
          </w:tcPr>
          <w:p w14:paraId="3906F75C">
            <w:pPr>
              <w:jc w:val="both"/>
              <w:rPr>
                <w:rFonts w:hint="eastAsia" w:eastAsiaTheme="minorEastAsia"/>
                <w:sz w:val="24"/>
                <w:szCs w:val="32"/>
                <w:highlight w:val="none"/>
                <w:lang w:eastAsia="zh-CN"/>
              </w:rPr>
            </w:pPr>
            <w:r>
              <w:rPr>
                <w:sz w:val="24"/>
                <w:szCs w:val="32"/>
                <w:highlight w:val="none"/>
              </w:rPr>
              <w:t>医院文化与形象导入培训、技术支持与咨询服务</w:t>
            </w:r>
            <w:r>
              <w:rPr>
                <w:rFonts w:hint="eastAsia"/>
                <w:sz w:val="24"/>
                <w:szCs w:val="32"/>
                <w:highlight w:val="none"/>
                <w:lang w:eastAsia="zh-CN"/>
              </w:rPr>
              <w:t>。</w:t>
            </w:r>
          </w:p>
        </w:tc>
        <w:tc>
          <w:tcPr>
            <w:tcW w:w="1369" w:type="dxa"/>
            <w:tcBorders>
              <w:right w:val="single" w:color="000000" w:sz="2" w:space="0"/>
            </w:tcBorders>
            <w:vAlign w:val="center"/>
          </w:tcPr>
          <w:p w14:paraId="63C92BBD">
            <w:pPr>
              <w:jc w:val="center"/>
              <w:rPr>
                <w:rFonts w:hint="default" w:eastAsiaTheme="minorEastAsia"/>
                <w:sz w:val="24"/>
                <w:szCs w:val="32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lang w:val="en-US" w:eastAsia="zh-CN"/>
              </w:rPr>
              <w:t>长期</w:t>
            </w:r>
          </w:p>
        </w:tc>
        <w:tc>
          <w:tcPr>
            <w:tcW w:w="1732" w:type="dxa"/>
            <w:tcBorders>
              <w:right w:val="single" w:color="000000" w:sz="2" w:space="0"/>
            </w:tcBorders>
            <w:vAlign w:val="top"/>
          </w:tcPr>
          <w:p w14:paraId="732F3773">
            <w:pPr>
              <w:rPr>
                <w:sz w:val="24"/>
                <w:szCs w:val="32"/>
              </w:rPr>
            </w:pPr>
          </w:p>
        </w:tc>
        <w:tc>
          <w:tcPr>
            <w:tcW w:w="1006" w:type="dxa"/>
            <w:tcBorders>
              <w:right w:val="single" w:color="000000" w:sz="2" w:space="0"/>
            </w:tcBorders>
            <w:vAlign w:val="top"/>
          </w:tcPr>
          <w:p w14:paraId="3AC9360D">
            <w:pPr>
              <w:rPr>
                <w:sz w:val="24"/>
                <w:szCs w:val="32"/>
              </w:rPr>
            </w:pPr>
          </w:p>
        </w:tc>
      </w:tr>
    </w:tbl>
    <w:p w14:paraId="094E3C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</w:rPr>
        <w:sectPr>
          <w:headerReference r:id="rId3" w:type="default"/>
          <w:footerReference r:id="rId4" w:type="default"/>
          <w:pgSz w:w="11906" w:h="16838"/>
          <w:pgMar w:top="1440" w:right="1266" w:bottom="1440" w:left="118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245CBE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附件2：</w:t>
      </w:r>
    </w:p>
    <w:p w14:paraId="30076E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hint="eastAsia" w:ascii="小标宋" w:hAnsi="小标宋" w:eastAsia="小标宋" w:cs="小标宋"/>
          <w:sz w:val="40"/>
          <w:szCs w:val="40"/>
          <w:lang w:val="en-US" w:eastAsia="zh-CN"/>
        </w:rPr>
      </w:pPr>
      <w:r>
        <w:rPr>
          <w:rFonts w:hint="eastAsia" w:ascii="小标宋" w:hAnsi="小标宋" w:eastAsia="小标宋" w:cs="小标宋"/>
          <w:sz w:val="40"/>
          <w:szCs w:val="40"/>
          <w:lang w:val="en-US" w:eastAsia="zh-CN"/>
        </w:rPr>
        <w:t>各院区平面图</w:t>
      </w:r>
    </w:p>
    <w:p w14:paraId="2115B6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小标宋" w:hAnsi="小标宋" w:eastAsia="小标宋" w:cs="小标宋"/>
          <w:sz w:val="40"/>
          <w:szCs w:val="40"/>
          <w:lang w:val="en-US" w:eastAsia="zh-CN"/>
        </w:rPr>
      </w:pPr>
      <w:r>
        <w:rPr>
          <w:rFonts w:hint="eastAsia" w:ascii="小标宋" w:hAnsi="小标宋" w:eastAsia="小标宋" w:cs="小标宋"/>
          <w:sz w:val="40"/>
          <w:szCs w:val="40"/>
          <w:lang w:val="en-US" w:eastAsia="zh-CN"/>
        </w:rPr>
        <w:drawing>
          <wp:inline distT="0" distB="0" distL="114300" distR="114300">
            <wp:extent cx="6407150" cy="4531995"/>
            <wp:effectExtent l="0" t="0" r="12700" b="1905"/>
            <wp:docPr id="1" name="图片 1" descr="施工图总图_t6-Model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施工图总图_t6-Model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453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47D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default" w:ascii="小标宋" w:hAnsi="小标宋" w:eastAsia="小标宋" w:cs="小标宋"/>
          <w:sz w:val="24"/>
          <w:szCs w:val="24"/>
          <w:lang w:val="en-US" w:eastAsia="zh-CN"/>
        </w:rPr>
      </w:pPr>
      <w:r>
        <w:rPr>
          <w:rFonts w:hint="eastAsia" w:ascii="小标宋" w:hAnsi="小标宋" w:eastAsia="小标宋" w:cs="小标宋"/>
          <w:sz w:val="24"/>
          <w:szCs w:val="24"/>
          <w:lang w:val="en-US" w:eastAsia="zh-CN"/>
        </w:rPr>
        <w:t>天府院区总平</w:t>
      </w:r>
    </w:p>
    <w:p w14:paraId="0CC141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default" w:ascii="小标宋" w:hAnsi="小标宋" w:eastAsia="小标宋" w:cs="小标宋"/>
          <w:sz w:val="24"/>
          <w:szCs w:val="24"/>
          <w:lang w:val="en-US" w:eastAsia="zh-CN"/>
        </w:rPr>
      </w:pPr>
    </w:p>
    <w:p w14:paraId="1C5049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小标宋" w:hAnsi="小标宋" w:eastAsia="小标宋" w:cs="小标宋"/>
          <w:sz w:val="24"/>
          <w:szCs w:val="24"/>
          <w:lang w:val="en-US" w:eastAsia="zh-CN"/>
        </w:rPr>
      </w:pPr>
      <w:r>
        <w:rPr>
          <w:rFonts w:hint="eastAsia" w:ascii="小标宋" w:hAnsi="小标宋" w:eastAsia="小标宋" w:cs="小标宋"/>
          <w:sz w:val="24"/>
          <w:szCs w:val="24"/>
          <w:lang w:val="en-US" w:eastAsia="zh-CN"/>
        </w:rPr>
        <w:drawing>
          <wp:inline distT="0" distB="0" distL="114300" distR="114300">
            <wp:extent cx="8862060" cy="5009515"/>
            <wp:effectExtent l="0" t="0" r="15240" b="635"/>
            <wp:docPr id="6" name="图片 6" descr="总平土建(加车位图)2015.12.200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总平土建(加车位图)2015.12.2001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500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F18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小标宋" w:hAnsi="小标宋" w:eastAsia="小标宋" w:cs="小标宋"/>
          <w:sz w:val="32"/>
          <w:szCs w:val="32"/>
          <w:lang w:val="en-US" w:eastAsia="zh-CN"/>
        </w:rPr>
      </w:pPr>
      <w:r>
        <w:rPr>
          <w:rFonts w:hint="eastAsia" w:ascii="小标宋" w:hAnsi="小标宋" w:eastAsia="小标宋" w:cs="小标宋"/>
          <w:sz w:val="32"/>
          <w:szCs w:val="32"/>
          <w:lang w:val="en-US" w:eastAsia="zh-CN"/>
        </w:rPr>
        <w:t>晋阳院区总平</w:t>
      </w:r>
    </w:p>
    <w:p w14:paraId="79E5A1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default" w:ascii="小标宋" w:hAnsi="小标宋" w:eastAsia="小标宋" w:cs="小标宋"/>
          <w:sz w:val="24"/>
          <w:szCs w:val="24"/>
          <w:lang w:val="en-US" w:eastAsia="zh-CN"/>
        </w:rPr>
      </w:pPr>
      <w:r>
        <w:rPr>
          <w:rFonts w:hint="default" w:ascii="小标宋" w:hAnsi="小标宋" w:eastAsia="小标宋" w:cs="小标宋"/>
          <w:sz w:val="24"/>
          <w:szCs w:val="24"/>
          <w:lang w:val="en-US" w:eastAsia="zh-CN"/>
        </w:rPr>
        <w:drawing>
          <wp:inline distT="0" distB="0" distL="114300" distR="114300">
            <wp:extent cx="7104380" cy="5506720"/>
            <wp:effectExtent l="0" t="0" r="0" b="0"/>
            <wp:docPr id="3" name="图片 3" descr="抚琴院区平面图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抚琴院区平面图(1)_01"/>
                    <pic:cNvPicPr>
                      <a:picLocks noChangeAspect="1"/>
                    </pic:cNvPicPr>
                  </pic:nvPicPr>
                  <pic:blipFill>
                    <a:blip r:embed="rId8"/>
                    <a:srcRect l="8789"/>
                    <a:stretch>
                      <a:fillRect/>
                    </a:stretch>
                  </pic:blipFill>
                  <pic:spPr>
                    <a:xfrm>
                      <a:off x="0" y="0"/>
                      <a:ext cx="7104380" cy="550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A40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sectPr>
          <w:pgSz w:w="16838" w:h="11906" w:orient="landscape"/>
          <w:pgMar w:top="1180" w:right="1440" w:bottom="1266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 w:ascii="小标宋" w:hAnsi="小标宋" w:eastAsia="小标宋" w:cs="小标宋"/>
          <w:sz w:val="32"/>
          <w:szCs w:val="32"/>
          <w:lang w:val="en-US" w:eastAsia="zh-CN"/>
        </w:rPr>
        <w:t xml:space="preserve">抚琴院区总平 </w:t>
      </w:r>
      <w:r>
        <w:rPr>
          <w:rFonts w:hint="eastAsia" w:ascii="小标宋" w:hAnsi="小标宋" w:eastAsia="小标宋" w:cs="小标宋"/>
          <w:sz w:val="24"/>
          <w:szCs w:val="24"/>
          <w:lang w:val="en-US" w:eastAsia="zh-CN"/>
        </w:rPr>
        <w:t>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门诊大楼共7层 ，每层面积650平方米。</w:t>
      </w:r>
      <w:r>
        <w:rPr>
          <w:rFonts w:hint="eastAsia" w:ascii="小标宋" w:hAnsi="小标宋" w:eastAsia="小标宋" w:cs="小标宋"/>
          <w:sz w:val="24"/>
          <w:szCs w:val="24"/>
          <w:lang w:val="en-US" w:eastAsia="zh-CN"/>
        </w:rPr>
        <w:t>）</w:t>
      </w:r>
    </w:p>
    <w:p w14:paraId="0B9D75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仿宋_GB2312" w:hAnsi="仿宋_GB2312" w:eastAsia="仿宋_GB2312" w:cs="仿宋_GB2312"/>
          <w:sz w:val="44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附件3：</w:t>
      </w:r>
    </w:p>
    <w:p w14:paraId="1E700E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小标宋" w:hAnsi="小标宋" w:eastAsia="小标宋" w:cs="小标宋"/>
          <w:sz w:val="36"/>
          <w:szCs w:val="36"/>
          <w:lang w:val="en-US" w:eastAsia="zh-CN"/>
        </w:rPr>
      </w:pPr>
      <w:r>
        <w:rPr>
          <w:rFonts w:hint="eastAsia" w:ascii="小标宋" w:hAnsi="小标宋" w:eastAsia="小标宋" w:cs="小标宋"/>
          <w:sz w:val="36"/>
          <w:szCs w:val="36"/>
          <w:lang w:val="en-US" w:eastAsia="zh-CN"/>
        </w:rPr>
        <w:t>医院文化</w:t>
      </w:r>
    </w:p>
    <w:p w14:paraId="4197B8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小标宋" w:hAnsi="小标宋" w:eastAsia="小标宋" w:cs="小标宋"/>
          <w:sz w:val="36"/>
          <w:szCs w:val="36"/>
          <w:lang w:val="en-US"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-267970</wp:posOffset>
            </wp:positionH>
            <wp:positionV relativeFrom="paragraph">
              <wp:posOffset>20955</wp:posOffset>
            </wp:positionV>
            <wp:extent cx="6435725" cy="6797675"/>
            <wp:effectExtent l="0" t="0" r="3175" b="3175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35725" cy="679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AF32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小标宋" w:hAnsi="小标宋" w:eastAsia="小标宋" w:cs="小标宋"/>
          <w:sz w:val="36"/>
          <w:szCs w:val="36"/>
          <w:lang w:val="en-US" w:eastAsia="zh-CN"/>
        </w:rPr>
      </w:pPr>
    </w:p>
    <w:p w14:paraId="0461C8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小标宋" w:hAnsi="小标宋" w:eastAsia="小标宋" w:cs="小标宋"/>
          <w:sz w:val="36"/>
          <w:szCs w:val="36"/>
          <w:lang w:val="en-US" w:eastAsia="zh-CN"/>
        </w:rPr>
      </w:pPr>
    </w:p>
    <w:p w14:paraId="6DF7BD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小标宋" w:hAnsi="小标宋" w:eastAsia="小标宋" w:cs="小标宋"/>
          <w:sz w:val="36"/>
          <w:szCs w:val="36"/>
          <w:lang w:val="en-US" w:eastAsia="zh-CN"/>
        </w:rPr>
      </w:pPr>
    </w:p>
    <w:p w14:paraId="34E10D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小标宋" w:hAnsi="小标宋" w:eastAsia="小标宋" w:cs="小标宋"/>
          <w:sz w:val="36"/>
          <w:szCs w:val="36"/>
          <w:lang w:val="en-US" w:eastAsia="zh-CN"/>
        </w:rPr>
      </w:pPr>
    </w:p>
    <w:p w14:paraId="63BA52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小标宋" w:hAnsi="小标宋" w:eastAsia="小标宋" w:cs="小标宋"/>
          <w:sz w:val="36"/>
          <w:szCs w:val="36"/>
          <w:lang w:val="en-US" w:eastAsia="zh-CN"/>
        </w:rPr>
      </w:pPr>
    </w:p>
    <w:p w14:paraId="460C27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default" w:ascii="小标宋" w:hAnsi="小标宋" w:eastAsia="小标宋" w:cs="小标宋"/>
          <w:sz w:val="36"/>
          <w:szCs w:val="36"/>
          <w:lang w:val="en-US" w:eastAsia="zh-CN"/>
        </w:rPr>
        <w:sectPr>
          <w:pgSz w:w="11906" w:h="16838"/>
          <w:pgMar w:top="1440" w:right="1266" w:bottom="1440" w:left="118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18346F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="小标宋" w:hAnsi="小标宋" w:eastAsia="小标宋" w:cs="小标宋"/>
          <w:sz w:val="36"/>
          <w:szCs w:val="36"/>
          <w:lang w:val="en-US" w:eastAsia="zh-CN"/>
        </w:rPr>
      </w:pPr>
      <w:r>
        <w:rPr>
          <w:rFonts w:hint="eastAsia" w:ascii="小标宋" w:hAnsi="小标宋" w:eastAsia="小标宋" w:cs="小标宋"/>
          <w:sz w:val="36"/>
          <w:szCs w:val="36"/>
          <w:lang w:val="en-US" w:eastAsia="zh-CN"/>
        </w:rPr>
        <w:t>附件4：</w:t>
      </w:r>
    </w:p>
    <w:p w14:paraId="655D34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default" w:ascii="小标宋" w:hAnsi="小标宋" w:eastAsia="小标宋" w:cs="小标宋"/>
          <w:sz w:val="36"/>
          <w:szCs w:val="36"/>
          <w:lang w:val="en-US" w:eastAsia="zh-CN"/>
        </w:rPr>
      </w:pPr>
      <w:r>
        <w:rPr>
          <w:rFonts w:hint="eastAsia" w:ascii="小标宋" w:hAnsi="小标宋" w:eastAsia="小标宋" w:cs="小标宋"/>
          <w:sz w:val="36"/>
          <w:szCs w:val="36"/>
          <w:lang w:val="en-US" w:eastAsia="zh-CN"/>
        </w:rPr>
        <w:t>IP形象介绍 （仅供参考）</w:t>
      </w:r>
    </w:p>
    <w:p w14:paraId="4A673A8D">
      <w:pPr>
        <w:numPr>
          <w:ilvl w:val="0"/>
          <w:numId w:val="0"/>
        </w:numPr>
      </w:pPr>
    </w:p>
    <w:p w14:paraId="0A901159">
      <w:pPr>
        <w:numPr>
          <w:ilvl w:val="0"/>
          <w:numId w:val="1"/>
        </w:numPr>
        <w:rPr>
          <w:sz w:val="24"/>
          <w:szCs w:val="32"/>
        </w:rPr>
      </w:pPr>
      <w:r>
        <w:rPr>
          <w:rFonts w:ascii="宋体" w:hAnsi="宋体" w:eastAsia="宋体" w:cs="宋体"/>
          <w:sz w:val="32"/>
          <w:szCs w:val="32"/>
        </w:rPr>
        <w:t>熊猫医生姓名 —— 佑宝​</w:t>
      </w:r>
      <w:r>
        <w:rPr>
          <w:rFonts w:ascii="宋体" w:hAnsi="宋体" w:eastAsia="宋体" w:cs="宋体"/>
          <w:sz w:val="32"/>
          <w:szCs w:val="32"/>
        </w:rPr>
        <w:br w:type="textWrapping"/>
      </w:r>
      <w:r>
        <w:rPr>
          <w:rFonts w:ascii="宋体" w:hAnsi="宋体" w:eastAsia="宋体" w:cs="宋体"/>
          <w:sz w:val="32"/>
          <w:szCs w:val="32"/>
        </w:rPr>
        <w:t>现有寓意：护佑妇女儿童生命健康，为母婴安全和儿童茁壮成长保驾护航。</w:t>
      </w:r>
    </w:p>
    <w:p w14:paraId="548C7E8C">
      <w:pPr>
        <w:numPr>
          <w:ilvl w:val="0"/>
          <w:numId w:val="0"/>
        </w:numPr>
        <w:rPr>
          <w:sz w:val="24"/>
          <w:szCs w:val="32"/>
        </w:rPr>
      </w:pPr>
    </w:p>
    <w:p w14:paraId="5ED7B8E4">
      <w:pPr>
        <w:numPr>
          <w:ilvl w:val="0"/>
          <w:numId w:val="0"/>
        </w:numPr>
        <w:rPr>
          <w:rFonts w:hint="eastAsia" w:ascii="宋体" w:hAnsi="宋体" w:eastAsia="宋体" w:cs="宋体"/>
          <w:color w:val="0000FF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color w:val="0000FF"/>
          <w:sz w:val="32"/>
          <w:szCs w:val="32"/>
          <w:lang w:val="en-US" w:eastAsia="zh-CN"/>
        </w:rPr>
        <w:t>形象应用：</w:t>
      </w:r>
      <w:r>
        <w:rPr>
          <w:rFonts w:ascii="宋体" w:hAnsi="宋体" w:eastAsia="宋体" w:cs="宋体"/>
          <w:color w:val="0000FF"/>
          <w:sz w:val="32"/>
          <w:szCs w:val="32"/>
        </w:rPr>
        <w:t>"佑宝不仅是医生，更是妇女儿童健康路上的贴心守护者，用专业和爱心驱散病痛，带来希望"，让名字更具情感温度。​</w:t>
      </w:r>
    </w:p>
    <w:p w14:paraId="6B748D3C"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color w:val="0000FF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color w:val="0000FF"/>
          <w:sz w:val="32"/>
          <w:szCs w:val="32"/>
          <w:lang w:eastAsia="zh-CN"/>
        </w:rPr>
        <w:drawing>
          <wp:inline distT="0" distB="0" distL="114300" distR="114300">
            <wp:extent cx="2150110" cy="2146300"/>
            <wp:effectExtent l="0" t="0" r="0" b="6350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10"/>
                    <a:srcRect t="14894" b="14544"/>
                    <a:stretch>
                      <a:fillRect/>
                    </a:stretch>
                  </pic:blipFill>
                  <pic:spPr>
                    <a:xfrm>
                      <a:off x="0" y="0"/>
                      <a:ext cx="215011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D586A">
      <w:pPr>
        <w:numPr>
          <w:ilvl w:val="0"/>
          <w:numId w:val="0"/>
        </w:numPr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z w:val="32"/>
          <w:szCs w:val="32"/>
        </w:rPr>
        <w:br w:type="textWrapping"/>
      </w:r>
      <w:r>
        <w:rPr>
          <w:rFonts w:ascii="宋体" w:hAnsi="宋体" w:eastAsia="宋体" w:cs="宋体"/>
          <w:sz w:val="32"/>
          <w:szCs w:val="32"/>
        </w:rPr>
        <w:t>（二）熊猫护士名字 —— 悦宝​</w:t>
      </w:r>
      <w:r>
        <w:rPr>
          <w:rFonts w:ascii="宋体" w:hAnsi="宋体" w:eastAsia="宋体" w:cs="宋体"/>
          <w:sz w:val="32"/>
          <w:szCs w:val="32"/>
        </w:rPr>
        <w:br w:type="textWrapping"/>
      </w:r>
      <w:r>
        <w:rPr>
          <w:rFonts w:ascii="宋体" w:hAnsi="宋体" w:eastAsia="宋体" w:cs="宋体"/>
          <w:sz w:val="32"/>
          <w:szCs w:val="32"/>
        </w:rPr>
        <w:t>现有寓意：以温柔细致的护理服务，为患者营造愉悦和谐的就医氛围，让每一次护理都充满关怀与温暖"。</w:t>
      </w:r>
    </w:p>
    <w:p w14:paraId="20F18251">
      <w:pPr>
        <w:numPr>
          <w:ilvl w:val="0"/>
          <w:numId w:val="0"/>
        </w:numPr>
        <w:rPr>
          <w:rFonts w:ascii="宋体" w:hAnsi="宋体" w:eastAsia="宋体" w:cs="宋体"/>
          <w:sz w:val="32"/>
          <w:szCs w:val="32"/>
        </w:rPr>
      </w:pPr>
    </w:p>
    <w:p w14:paraId="1074E80D">
      <w:pPr>
        <w:numPr>
          <w:ilvl w:val="0"/>
          <w:numId w:val="0"/>
        </w:numPr>
        <w:rPr>
          <w:rFonts w:ascii="宋体" w:hAnsi="宋体" w:eastAsia="宋体" w:cs="宋体"/>
          <w:color w:val="0000FF"/>
          <w:sz w:val="32"/>
          <w:szCs w:val="32"/>
        </w:rPr>
      </w:pPr>
      <w:r>
        <w:rPr>
          <w:rFonts w:hint="eastAsia" w:ascii="宋体" w:hAnsi="宋体" w:eastAsia="宋体" w:cs="宋体"/>
          <w:color w:val="0000FF"/>
          <w:sz w:val="32"/>
          <w:szCs w:val="32"/>
          <w:lang w:val="en-US" w:eastAsia="zh-CN"/>
        </w:rPr>
        <w:t>形象应用：</w:t>
      </w:r>
      <w:r>
        <w:rPr>
          <w:rFonts w:ascii="宋体" w:hAnsi="宋体" w:eastAsia="宋体" w:cs="宋体"/>
          <w:color w:val="0000FF"/>
          <w:sz w:val="32"/>
          <w:szCs w:val="32"/>
        </w:rPr>
        <w:t> "悦宝与佑宝紧密配合，共同为患者的健康努力，用微笑和专业守护每一个生命"，展现医院医护团队的协作精神。​</w:t>
      </w:r>
    </w:p>
    <w:p w14:paraId="634BC1E8">
      <w:pPr>
        <w:numPr>
          <w:ilvl w:val="0"/>
          <w:numId w:val="0"/>
        </w:numPr>
        <w:rPr>
          <w:rFonts w:ascii="宋体" w:hAnsi="宋体" w:eastAsia="宋体" w:cs="宋体"/>
          <w:sz w:val="32"/>
          <w:szCs w:val="32"/>
        </w:rPr>
      </w:pPr>
    </w:p>
    <w:p w14:paraId="561AAB4A">
      <w:pPr>
        <w:numPr>
          <w:ilvl w:val="0"/>
          <w:numId w:val="0"/>
        </w:numPr>
        <w:jc w:val="center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z w:val="32"/>
          <w:szCs w:val="32"/>
        </w:rPr>
        <w:drawing>
          <wp:inline distT="0" distB="0" distL="114300" distR="114300">
            <wp:extent cx="2402840" cy="2395220"/>
            <wp:effectExtent l="0" t="0" r="0" b="508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11"/>
                    <a:srcRect t="15845" b="13692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0DD93">
      <w:pPr>
        <w:numPr>
          <w:ilvl w:val="0"/>
          <w:numId w:val="0"/>
        </w:numPr>
        <w:jc w:val="left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z w:val="32"/>
          <w:szCs w:val="32"/>
        </w:rPr>
        <w:br w:type="textWrapping"/>
      </w:r>
      <w:r>
        <w:rPr>
          <w:rFonts w:ascii="宋体" w:hAnsi="宋体" w:eastAsia="宋体" w:cs="宋体"/>
          <w:sz w:val="32"/>
          <w:szCs w:val="32"/>
        </w:rPr>
        <w:t>（三）熊猫孕妇名字 —— 福宝​</w:t>
      </w:r>
      <w:r>
        <w:rPr>
          <w:rFonts w:ascii="宋体" w:hAnsi="宋体" w:eastAsia="宋体" w:cs="宋体"/>
          <w:sz w:val="32"/>
          <w:szCs w:val="32"/>
        </w:rPr>
        <w:br w:type="textWrapping"/>
      </w:r>
      <w:r>
        <w:rPr>
          <w:rFonts w:ascii="宋体" w:hAnsi="宋体" w:eastAsia="宋体" w:cs="宋体"/>
          <w:sz w:val="32"/>
          <w:szCs w:val="32"/>
        </w:rPr>
        <w:t>现有寓意：承载着家庭的希望与期待，在医院专业的医疗保障下，享受安心、幸福的孕期时光，迎接福气满满的新生命。</w:t>
      </w:r>
    </w:p>
    <w:p w14:paraId="2C2D626D">
      <w:pPr>
        <w:numPr>
          <w:ilvl w:val="0"/>
          <w:numId w:val="0"/>
        </w:numPr>
        <w:rPr>
          <w:rFonts w:ascii="宋体" w:hAnsi="宋体" w:eastAsia="宋体" w:cs="宋体"/>
          <w:sz w:val="32"/>
          <w:szCs w:val="32"/>
        </w:rPr>
      </w:pPr>
    </w:p>
    <w:p w14:paraId="2F4165BF">
      <w:pPr>
        <w:numPr>
          <w:ilvl w:val="0"/>
          <w:numId w:val="0"/>
        </w:numPr>
        <w:jc w:val="left"/>
        <w:rPr>
          <w:rFonts w:ascii="宋体" w:hAnsi="宋体" w:eastAsia="宋体" w:cs="宋体"/>
          <w:color w:val="0000FF"/>
          <w:sz w:val="32"/>
          <w:szCs w:val="32"/>
        </w:rPr>
      </w:pPr>
      <w:r>
        <w:rPr>
          <w:rFonts w:hint="eastAsia" w:ascii="宋体" w:hAnsi="宋体" w:eastAsia="宋体" w:cs="宋体"/>
          <w:color w:val="0000FF"/>
          <w:sz w:val="32"/>
          <w:szCs w:val="32"/>
          <w:lang w:val="en-US" w:eastAsia="zh-CN"/>
        </w:rPr>
        <w:t>形象应用：</w:t>
      </w:r>
      <w:r>
        <w:rPr>
          <w:rFonts w:ascii="宋体" w:hAnsi="宋体" w:eastAsia="宋体" w:cs="宋体"/>
          <w:color w:val="0000FF"/>
          <w:sz w:val="32"/>
          <w:szCs w:val="32"/>
        </w:rPr>
        <w:t>设计 "福宝孕期日记" 等宣传内容，记录福宝在医院的产检、学习孕期知识等经历，让孕妇群体更有代入感。</w:t>
      </w:r>
    </w:p>
    <w:p w14:paraId="748061C5">
      <w:pPr>
        <w:numPr>
          <w:ilvl w:val="0"/>
          <w:numId w:val="0"/>
        </w:numPr>
        <w:jc w:val="center"/>
        <w:rPr>
          <w:rFonts w:hint="default" w:ascii="宋体" w:hAnsi="宋体" w:eastAsia="宋体" w:cs="宋体"/>
          <w:color w:val="0000FF"/>
          <w:sz w:val="32"/>
          <w:szCs w:val="32"/>
          <w:lang w:val="en-US" w:eastAsia="zh-CN"/>
        </w:rPr>
      </w:pPr>
      <w:r>
        <w:rPr>
          <w:rFonts w:ascii="宋体" w:hAnsi="宋体" w:eastAsia="宋体" w:cs="宋体"/>
          <w:color w:val="0000FF"/>
          <w:sz w:val="32"/>
          <w:szCs w:val="32"/>
        </w:rPr>
        <w:t>​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drawing>
          <wp:inline distT="0" distB="0" distL="114300" distR="114300">
            <wp:extent cx="2599055" cy="2457450"/>
            <wp:effectExtent l="0" t="0" r="0" b="0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12"/>
                    <a:srcRect t="15424" b="17735"/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C764B">
      <w:pPr>
        <w:numPr>
          <w:ilvl w:val="0"/>
          <w:numId w:val="0"/>
        </w:numPr>
        <w:rPr>
          <w:sz w:val="24"/>
          <w:szCs w:val="32"/>
        </w:rPr>
      </w:pPr>
    </w:p>
    <w:p w14:paraId="78B3C7DE">
      <w:pPr>
        <w:numPr>
          <w:ilvl w:val="0"/>
          <w:numId w:val="2"/>
        </w:numPr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z w:val="32"/>
          <w:szCs w:val="32"/>
        </w:rPr>
        <w:t>熊猫幼崽的名字 —— 萌宝​</w:t>
      </w:r>
      <w:r>
        <w:rPr>
          <w:rFonts w:ascii="宋体" w:hAnsi="宋体" w:eastAsia="宋体" w:cs="宋体"/>
          <w:sz w:val="32"/>
          <w:szCs w:val="32"/>
        </w:rPr>
        <w:br w:type="textWrapping"/>
      </w:r>
      <w:r>
        <w:rPr>
          <w:rFonts w:ascii="宋体" w:hAnsi="宋体" w:eastAsia="宋体" w:cs="宋体"/>
          <w:sz w:val="32"/>
          <w:szCs w:val="32"/>
        </w:rPr>
        <w:t>现有寓意：在医院温暖的呵护下，如同小太阳般活泼可爱，充满生机与活力，象征着新生命的美好与希望。不仅是可爱的形象，更是医院儿科服务的温馨代表。</w:t>
      </w:r>
    </w:p>
    <w:p w14:paraId="73CB5CAA">
      <w:pPr>
        <w:numPr>
          <w:ilvl w:val="0"/>
          <w:numId w:val="0"/>
        </w:numPr>
        <w:rPr>
          <w:rFonts w:ascii="宋体" w:hAnsi="宋体" w:eastAsia="宋体" w:cs="宋体"/>
          <w:color w:val="0000FF"/>
          <w:sz w:val="32"/>
          <w:szCs w:val="32"/>
        </w:rPr>
      </w:pPr>
      <w:r>
        <w:rPr>
          <w:rFonts w:ascii="宋体" w:hAnsi="宋体" w:eastAsia="宋体" w:cs="宋体"/>
          <w:sz w:val="32"/>
          <w:szCs w:val="32"/>
        </w:rPr>
        <w:br w:type="textWrapping"/>
      </w:r>
      <w:r>
        <w:rPr>
          <w:rFonts w:hint="eastAsia" w:ascii="宋体" w:hAnsi="宋体" w:eastAsia="宋体" w:cs="宋体"/>
          <w:color w:val="0000FF"/>
          <w:sz w:val="32"/>
          <w:szCs w:val="32"/>
          <w:lang w:val="en-US" w:eastAsia="zh-CN"/>
        </w:rPr>
        <w:t>形象应用</w:t>
      </w:r>
      <w:r>
        <w:rPr>
          <w:rFonts w:ascii="宋体" w:hAnsi="宋体" w:eastAsia="宋体" w:cs="宋体"/>
          <w:color w:val="0000FF"/>
          <w:sz w:val="32"/>
          <w:szCs w:val="32"/>
        </w:rPr>
        <w:t>：创作一系列以萌宝为主角的小故事，讲述其在医院接受治疗、康复的温馨场景，展现医院对儿童的关爱。​</w:t>
      </w:r>
    </w:p>
    <w:p w14:paraId="67EBE9DD">
      <w:pPr>
        <w:numPr>
          <w:ilvl w:val="0"/>
          <w:numId w:val="0"/>
        </w:numPr>
        <w:jc w:val="center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z w:val="32"/>
          <w:szCs w:val="32"/>
        </w:rPr>
        <w:drawing>
          <wp:inline distT="0" distB="0" distL="114300" distR="114300">
            <wp:extent cx="2757170" cy="2513965"/>
            <wp:effectExtent l="0" t="0" r="0" b="0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5717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EDC12">
      <w:pPr>
        <w:numPr>
          <w:ilvl w:val="0"/>
          <w:numId w:val="0"/>
        </w:numPr>
        <w:jc w:val="left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z w:val="32"/>
          <w:szCs w:val="32"/>
        </w:rPr>
        <w:br w:type="textWrapping"/>
      </w:r>
      <w:r>
        <w:rPr>
          <w:rFonts w:ascii="宋体" w:hAnsi="宋体" w:eastAsia="宋体" w:cs="宋体"/>
          <w:sz w:val="32"/>
          <w:szCs w:val="32"/>
        </w:rPr>
        <w:t>（五）熊猫女宝的名字 —— 爱宝​</w:t>
      </w:r>
      <w:r>
        <w:rPr>
          <w:rFonts w:ascii="宋体" w:hAnsi="宋体" w:eastAsia="宋体" w:cs="宋体"/>
          <w:sz w:val="32"/>
          <w:szCs w:val="32"/>
        </w:rPr>
        <w:br w:type="textWrapping"/>
      </w:r>
      <w:r>
        <w:rPr>
          <w:rFonts w:ascii="宋体" w:hAnsi="宋体" w:eastAsia="宋体" w:cs="宋体"/>
          <w:sz w:val="32"/>
          <w:szCs w:val="32"/>
        </w:rPr>
        <w:t>现有寓意：拥有一颗纯真善良的爱心，在医院温暖的环境中感受爱、传递爱，象征着对女性健康和儿童成长的无尽关怀。</w:t>
      </w:r>
    </w:p>
    <w:p w14:paraId="1EB79B42">
      <w:pPr>
        <w:numPr>
          <w:ilvl w:val="0"/>
          <w:numId w:val="0"/>
        </w:numPr>
        <w:rPr>
          <w:rFonts w:ascii="宋体" w:hAnsi="宋体" w:eastAsia="宋体" w:cs="宋体"/>
          <w:sz w:val="32"/>
          <w:szCs w:val="32"/>
        </w:rPr>
      </w:pPr>
    </w:p>
    <w:p w14:paraId="43463723">
      <w:pPr>
        <w:numPr>
          <w:ilvl w:val="0"/>
          <w:numId w:val="0"/>
        </w:numPr>
        <w:rPr>
          <w:rFonts w:ascii="宋体" w:hAnsi="宋体" w:eastAsia="宋体" w:cs="宋体"/>
          <w:color w:val="0000FF"/>
          <w:sz w:val="32"/>
          <w:szCs w:val="32"/>
        </w:rPr>
      </w:pPr>
      <w:r>
        <w:rPr>
          <w:rFonts w:hint="eastAsia" w:ascii="宋体" w:hAnsi="宋体" w:eastAsia="宋体" w:cs="宋体"/>
          <w:color w:val="0000FF"/>
          <w:sz w:val="32"/>
          <w:szCs w:val="32"/>
          <w:lang w:val="en-US" w:eastAsia="zh-CN"/>
        </w:rPr>
        <w:t>形象应用</w:t>
      </w:r>
      <w:r>
        <w:rPr>
          <w:rFonts w:ascii="宋体" w:hAnsi="宋体" w:eastAsia="宋体" w:cs="宋体"/>
          <w:color w:val="0000FF"/>
          <w:sz w:val="32"/>
          <w:szCs w:val="32"/>
        </w:rPr>
        <w:t>：以"爱宝"为主题，组织关爱女性健康、公益义诊等活动，提升医院的社会形象。​</w:t>
      </w:r>
    </w:p>
    <w:p w14:paraId="4680BE2D">
      <w:pPr>
        <w:numPr>
          <w:ilvl w:val="0"/>
          <w:numId w:val="0"/>
        </w:numPr>
        <w:rPr>
          <w:rFonts w:hint="eastAsia" w:ascii="宋体" w:hAnsi="宋体" w:eastAsia="宋体" w:cs="宋体"/>
          <w:color w:val="0000FF"/>
          <w:sz w:val="32"/>
          <w:szCs w:val="32"/>
          <w:lang w:eastAsia="zh-CN"/>
        </w:rPr>
      </w:pPr>
    </w:p>
    <w:p w14:paraId="2C14B48B"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color w:val="0000FF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color w:val="0000FF"/>
          <w:sz w:val="32"/>
          <w:szCs w:val="32"/>
          <w:lang w:eastAsia="zh-CN"/>
        </w:rPr>
        <w:drawing>
          <wp:inline distT="0" distB="0" distL="114300" distR="114300">
            <wp:extent cx="2224405" cy="2516505"/>
            <wp:effectExtent l="0" t="0" r="0" b="17145"/>
            <wp:docPr id="10" name="图片 10" descr="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022"/>
                    <pic:cNvPicPr>
                      <a:picLocks noChangeAspect="1"/>
                    </pic:cNvPicPr>
                  </pic:nvPicPr>
                  <pic:blipFill>
                    <a:blip r:embed="rId14"/>
                    <a:srcRect t="11669" b="8348"/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0E106">
      <w:pPr>
        <w:numPr>
          <w:ilvl w:val="0"/>
          <w:numId w:val="0"/>
        </w:numPr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z w:val="32"/>
          <w:szCs w:val="32"/>
        </w:rPr>
        <w:br w:type="textWrapping"/>
      </w:r>
      <w:r>
        <w:rPr>
          <w:rFonts w:ascii="宋体" w:hAnsi="宋体" w:eastAsia="宋体" w:cs="宋体"/>
          <w:sz w:val="32"/>
          <w:szCs w:val="32"/>
        </w:rPr>
        <w:t>（六）熊猫男宝的名字 —— 乐宝​</w:t>
      </w:r>
      <w:r>
        <w:rPr>
          <w:rFonts w:ascii="宋体" w:hAnsi="宋体" w:eastAsia="宋体" w:cs="宋体"/>
          <w:sz w:val="32"/>
          <w:szCs w:val="32"/>
        </w:rPr>
        <w:br w:type="textWrapping"/>
      </w:r>
      <w:r>
        <w:rPr>
          <w:rFonts w:ascii="宋体" w:hAnsi="宋体" w:eastAsia="宋体" w:cs="宋体"/>
          <w:sz w:val="32"/>
          <w:szCs w:val="32"/>
        </w:rPr>
        <w:t>现有寓意：充满活力与勇气，在医院的守护下快乐成长，勇敢面对病痛，用乐观的笑容感染身边每一个人。</w:t>
      </w:r>
    </w:p>
    <w:p w14:paraId="3C4229FA"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40"/>
          <w:szCs w:val="40"/>
          <w:lang w:val="en-US" w:eastAsia="zh-CN"/>
        </w:rPr>
      </w:pPr>
      <w:r>
        <w:rPr>
          <w:rFonts w:ascii="宋体" w:hAnsi="宋体" w:eastAsia="宋体" w:cs="宋体"/>
          <w:sz w:val="32"/>
          <w:szCs w:val="32"/>
        </w:rPr>
        <w:br w:type="textWrapping"/>
      </w:r>
      <w:r>
        <w:rPr>
          <w:rFonts w:hint="eastAsia" w:ascii="宋体" w:hAnsi="宋体" w:eastAsia="宋体" w:cs="宋体"/>
          <w:color w:val="0000FF"/>
          <w:sz w:val="32"/>
          <w:szCs w:val="32"/>
          <w:lang w:val="en-US" w:eastAsia="zh-CN"/>
        </w:rPr>
        <w:t>形象应用</w:t>
      </w:r>
      <w:r>
        <w:rPr>
          <w:rFonts w:ascii="宋体" w:hAnsi="宋体" w:eastAsia="宋体" w:cs="宋体"/>
          <w:color w:val="0000FF"/>
          <w:sz w:val="32"/>
          <w:szCs w:val="32"/>
        </w:rPr>
        <w:t>：制作"乐宝勇敢记"系列动画或漫画，讲述乐宝在医院勇敢接受治疗的故事，鼓励患病儿童积极面对疾病。</w:t>
      </w:r>
    </w:p>
    <w:p w14:paraId="260BA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default" w:ascii="仿宋_GB2312" w:hAnsi="仿宋_GB2312" w:eastAsia="仿宋_GB2312" w:cs="仿宋_GB2312"/>
          <w:sz w:val="40"/>
          <w:szCs w:val="40"/>
          <w:lang w:val="en-US" w:eastAsia="zh-CN"/>
        </w:rPr>
      </w:pPr>
      <w:r>
        <w:rPr>
          <w:rFonts w:hint="default" w:ascii="仿宋_GB2312" w:hAnsi="仿宋_GB2312" w:eastAsia="仿宋_GB2312" w:cs="仿宋_GB2312"/>
          <w:sz w:val="40"/>
          <w:szCs w:val="40"/>
          <w:lang w:val="en-US" w:eastAsia="zh-CN"/>
        </w:rPr>
        <w:drawing>
          <wp:inline distT="0" distB="0" distL="114300" distR="114300">
            <wp:extent cx="2073910" cy="2205990"/>
            <wp:effectExtent l="0" t="0" r="0" b="3810"/>
            <wp:docPr id="8" name="图片 8" descr="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02"/>
                    <pic:cNvPicPr>
                      <a:picLocks noChangeAspect="1"/>
                    </pic:cNvPicPr>
                  </pic:nvPicPr>
                  <pic:blipFill>
                    <a:blip r:embed="rId15"/>
                    <a:srcRect t="13930" b="10890"/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9AB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小标宋" w:hAnsi="小标宋" w:eastAsia="小标宋" w:cs="小标宋"/>
          <w:sz w:val="36"/>
          <w:szCs w:val="36"/>
          <w:lang w:val="en-US" w:eastAsia="zh-CN"/>
        </w:rPr>
      </w:pPr>
      <w:bookmarkStart w:id="0" w:name="_GoBack"/>
      <w:bookmarkEnd w:id="0"/>
    </w:p>
    <w:sectPr>
      <w:pgSz w:w="11906" w:h="16838"/>
      <w:pgMar w:top="1440" w:right="1266" w:bottom="1440" w:left="118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小标宋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A13123">
    <w:pPr>
      <w:pStyle w:val="4"/>
      <w:spacing w:before="48" w:line="212" w:lineRule="auto"/>
      <w:ind w:left="3776"/>
      <w:rPr>
        <w:sz w:val="24"/>
        <w:szCs w:val="24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7610ED">
    <w:pPr>
      <w:pStyle w:val="4"/>
      <w:spacing w:before="63" w:line="220" w:lineRule="auto"/>
      <w:ind w:left="3116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C87174"/>
    <w:multiLevelType w:val="singleLevel"/>
    <w:tmpl w:val="86C87174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8DA1874F"/>
    <w:multiLevelType w:val="singleLevel"/>
    <w:tmpl w:val="8DA1874F"/>
    <w:lvl w:ilvl="0" w:tentative="0">
      <w:start w:val="4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c4MjdkMjYxY2JhYzlhN2JkM2IyNWE1YzM2NDljNTIifQ=="/>
  </w:docVars>
  <w:rsids>
    <w:rsidRoot w:val="2362585C"/>
    <w:rsid w:val="01B65300"/>
    <w:rsid w:val="064F3DB9"/>
    <w:rsid w:val="074A5AC6"/>
    <w:rsid w:val="0A0861E8"/>
    <w:rsid w:val="0ABF0394"/>
    <w:rsid w:val="0B4B0527"/>
    <w:rsid w:val="0D5C0A8A"/>
    <w:rsid w:val="10186CD3"/>
    <w:rsid w:val="10FB485E"/>
    <w:rsid w:val="13120DDB"/>
    <w:rsid w:val="16A7261A"/>
    <w:rsid w:val="16C60CFC"/>
    <w:rsid w:val="1B6511A2"/>
    <w:rsid w:val="1D0779CC"/>
    <w:rsid w:val="1D173DE6"/>
    <w:rsid w:val="2362585C"/>
    <w:rsid w:val="23D46F46"/>
    <w:rsid w:val="2858616D"/>
    <w:rsid w:val="2C95654F"/>
    <w:rsid w:val="31717C9E"/>
    <w:rsid w:val="444038EF"/>
    <w:rsid w:val="4455188C"/>
    <w:rsid w:val="45EC58DB"/>
    <w:rsid w:val="4DBF1A26"/>
    <w:rsid w:val="50B43398"/>
    <w:rsid w:val="52B4718C"/>
    <w:rsid w:val="545A6B19"/>
    <w:rsid w:val="55061B79"/>
    <w:rsid w:val="5A7975D0"/>
    <w:rsid w:val="5C687E36"/>
    <w:rsid w:val="5F1D31B4"/>
    <w:rsid w:val="60F02A2F"/>
    <w:rsid w:val="61780977"/>
    <w:rsid w:val="699B14E9"/>
    <w:rsid w:val="6BDA0E02"/>
    <w:rsid w:val="6DB9275E"/>
    <w:rsid w:val="6FA675FD"/>
    <w:rsid w:val="70B637BE"/>
    <w:rsid w:val="74057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semiHidden/>
    <w:qFormat/>
    <w:uiPriority w:val="0"/>
    <w:rPr>
      <w:rFonts w:ascii="宋体" w:hAnsi="宋体" w:eastAsia="宋体" w:cs="宋体"/>
      <w:sz w:val="36"/>
      <w:szCs w:val="36"/>
      <w:lang w:val="en-US" w:eastAsia="en-US" w:bidi="ar-SA"/>
    </w:r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paragraph" w:customStyle="1" w:styleId="13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table" w:customStyle="1" w:styleId="1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numbering" Target="numbering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469847ba-4efd-4bab-bbd0-69b844a31ddd</errorID>
      <errorWord>-</errorWord>
      <group>L1_Punc</group>
      <groupName>标点问题</groupName>
      <ability>L2_Punc_CN</ability>
      <abilityName>标点符号问题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608FB1E1</paraID>
      <start>10</start>
      <end>11</end>
      <status>unmodified</status>
      <modifiedWord/>
      <trackRevisions>false</trackRevisions>
    </reviewItem>
    <reviewItem>
      <errorID>7b1b7704-1d5e-404a-8732-9fd1f38f13be</errorID>
      <errorWord>下午17：00</errorWord>
      <group>L1_Knowledge</group>
      <groupName>知识性问题</groupName>
      <ability>L2_Time</ability>
      <abilityName>日期时间</abilityName>
      <candidateList>
        <item>17:00</item>
      </candidateList>
      <explain>24小时制的时间，不需要强调“下午”，并且冒号应使用半角。</explain>
      <paraID>1F9FAD6D</paraID>
      <start>12</start>
      <end>19</end>
      <status>unmodified</status>
      <modifiedWord/>
      <trackRevisions>false</trackRevisions>
    </reviewItem>
    <reviewItem>
      <errorID>7aeb5e33-1b2d-4f4b-a2ff-db44bfc1e5b7</errorID>
      <errorWord>(</errorWord>
      <group>L1_Format</group>
      <groupName>格式问题</groupName>
      <ability>L2_HalfPunc_CN</ability>
      <abilityName>全半角问题</abilityName>
      <candidateList>
        <item>（</item>
      </candidateList>
      <explain>文本全半角错误。</explain>
      <paraID>591AD476</paraID>
      <start>6</start>
      <end>7</end>
      <status>unmodified</status>
      <modifiedWord/>
      <trackRevisions>false</trackRevisions>
    </reviewItem>
    <reviewItem>
      <errorID>98b71954-ff6e-48d3-8acc-60e11143ae71</errorID>
      <errorWord>2)</errorWord>
      <group>L1_Format</group>
      <groupName>格式问题</groupName>
      <ability>L2_Ordinal</ability>
      <abilityName>序号格式</abilityName>
      <candidateList>
        <item>2）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5148003B</paraID>
      <start>0</start>
      <end>2</end>
      <status>unmodified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d9301622-cff7-4bef-b007-f0be069294f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2116</Words>
  <Characters>2194</Characters>
  <Lines>0</Lines>
  <Paragraphs>0</Paragraphs>
  <TotalTime>0</TotalTime>
  <ScaleCrop>false</ScaleCrop>
  <LinksUpToDate>false</LinksUpToDate>
  <CharactersWithSpaces>2258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2023-09-10T13:08:00Z</dcterms:created>
  <dc:creator>D_ollar</dc:creator>
  <cp:lastModifiedBy>D_ollar</cp:lastModifiedBy>
  <cp:lastPrinted>2026-06-23T02:31:00Z</cp:lastPrinted>
  <dcterms:modified xsi:type="dcterms:W3CDTF">2026-06-23T08:02:34Z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50B1E0F2745343A0B9DEB6D29C852B75_13</vt:lpwstr>
  </property>
  <property fmtid="{D5CDD505-2E9C-101B-9397-08002B2CF9AE}" pid="4" name="KSOTemplateDocerSaveRecord">
    <vt:lpwstr>eyJoZGlkIjoiM2Q4YTU1Y2YyOTE3NThmYmE4NWQwZjg4NjI3NGI5OTYiLCJ1c2VySWQiOiIzNjM5NzEzOTQifQ==</vt:lpwstr>
  </property>
</Properties>
</file>