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4B8B2">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60" w:lineRule="exact"/>
        <w:jc w:val="center"/>
        <w:textAlignment w:val="auto"/>
        <w:outlineLvl w:val="9"/>
        <w:rPr>
          <w:rFonts w:hint="eastAsia" w:ascii="方正小标宋简体" w:hAnsi="方正小标宋简体" w:eastAsia="方正小标宋简体" w:cs="方正小标宋简体"/>
          <w:b w:val="0"/>
          <w:bCs w:val="0"/>
          <w:color w:val="000000"/>
          <w:sz w:val="44"/>
          <w:szCs w:val="44"/>
          <w:lang w:eastAsia="zh-CN"/>
        </w:rPr>
      </w:pPr>
      <w:bookmarkStart w:id="0" w:name="_GoBack"/>
      <w:bookmarkEnd w:id="0"/>
      <w:r>
        <w:rPr>
          <w:rFonts w:hint="eastAsia" w:ascii="方正小标宋简体" w:hAnsi="方正小标宋简体" w:eastAsia="方正小标宋简体" w:cs="方正小标宋简体"/>
          <w:b w:val="0"/>
          <w:bCs w:val="0"/>
          <w:color w:val="000000"/>
          <w:sz w:val="44"/>
          <w:szCs w:val="44"/>
          <w:shd w:val="clear" w:color="auto" w:fill="FFFFFF"/>
          <w:lang w:eastAsia="zh-CN"/>
        </w:rPr>
        <w:t>四川省妇幼保健院</w:t>
      </w:r>
      <w:r>
        <w:rPr>
          <w:rFonts w:ascii="方正小标宋简体" w:hAnsi="方正小标宋简体" w:eastAsia="方正小标宋简体" w:cs="方正小标宋简体"/>
          <w:b w:val="0"/>
          <w:bCs w:val="0"/>
          <w:color w:val="000000"/>
          <w:sz w:val="44"/>
          <w:szCs w:val="44"/>
          <w:shd w:val="clear" w:color="auto" w:fill="FFFFFF"/>
        </w:rPr>
        <w:t>关于遴选“</w:t>
      </w:r>
      <w:r>
        <w:rPr>
          <w:rFonts w:hint="eastAsia" w:ascii="方正小标宋简体" w:hAnsi="方正小标宋简体" w:eastAsia="方正小标宋简体" w:cs="方正小标宋简体"/>
          <w:b w:val="0"/>
          <w:bCs w:val="0"/>
          <w:color w:val="000000"/>
          <w:sz w:val="44"/>
          <w:szCs w:val="44"/>
          <w:shd w:val="clear" w:color="auto" w:fill="FFFFFF"/>
        </w:rPr>
        <w:t>孕妇外周血血浆游离DNA 全基因组染色体高通量测序分析项目</w:t>
      </w:r>
      <w:r>
        <w:rPr>
          <w:rFonts w:ascii="方正小标宋简体" w:hAnsi="方正小标宋简体" w:eastAsia="方正小标宋简体" w:cs="方正小标宋简体"/>
          <w:b w:val="0"/>
          <w:bCs w:val="0"/>
          <w:color w:val="000000"/>
          <w:sz w:val="44"/>
          <w:szCs w:val="44"/>
          <w:shd w:val="clear" w:color="auto" w:fill="FFFFFF"/>
        </w:rPr>
        <w:t>”合作机构的公告</w:t>
      </w:r>
    </w:p>
    <w:p w14:paraId="58D447AF">
      <w:pPr>
        <w:outlineLvl w:val="9"/>
        <w:rPr>
          <w:rFonts w:hint="eastAsia" w:ascii="仿宋" w:hAnsi="仿宋" w:eastAsia="仿宋"/>
          <w:sz w:val="28"/>
          <w:szCs w:val="28"/>
          <w:lang w:eastAsia="zh-CN"/>
        </w:rPr>
      </w:pPr>
    </w:p>
    <w:p w14:paraId="7C6C75F3">
      <w:pPr>
        <w:ind w:firstLine="560" w:firstLineChars="200"/>
        <w:rPr>
          <w:rFonts w:ascii="仿宋" w:hAnsi="仿宋" w:eastAsia="仿宋"/>
          <w:sz w:val="28"/>
          <w:szCs w:val="28"/>
        </w:rPr>
      </w:pPr>
      <w:r>
        <w:rPr>
          <w:rFonts w:hint="eastAsia" w:ascii="仿宋" w:hAnsi="仿宋" w:eastAsia="仿宋"/>
          <w:sz w:val="28"/>
          <w:szCs w:val="28"/>
        </w:rPr>
        <w:t>我院将召开“孕妇外周血血浆游离DNA 全基因组染色体高通量测序分析项目</w:t>
      </w:r>
      <w:r>
        <w:rPr>
          <w:rFonts w:hint="eastAsia" w:ascii="仿宋" w:hAnsi="仿宋" w:eastAsia="仿宋"/>
          <w:sz w:val="28"/>
          <w:szCs w:val="28"/>
          <w:lang w:val="en-US" w:eastAsia="zh-CN"/>
        </w:rPr>
        <w:t xml:space="preserve"> </w:t>
      </w:r>
      <w:r>
        <w:rPr>
          <w:rFonts w:hint="eastAsia" w:ascii="仿宋" w:hAnsi="仿宋" w:eastAsia="仿宋"/>
          <w:sz w:val="28"/>
          <w:szCs w:val="28"/>
        </w:rPr>
        <w:t>合作机构”遴选会议，会议由运营发展部组织。</w:t>
      </w:r>
      <w:r>
        <w:rPr>
          <w:rFonts w:hint="eastAsia" w:ascii="仿宋" w:hAnsi="仿宋" w:eastAsia="仿宋"/>
          <w:color w:val="000000"/>
          <w:sz w:val="28"/>
          <w:szCs w:val="28"/>
        </w:rPr>
        <w:t>届时，请参选机构准时参加，务必提供公司资质（复印件加盖鲜章）及公司实力资料、参选方案、参会人员的授权书等资料，具体事项如下：</w:t>
      </w:r>
    </w:p>
    <w:p w14:paraId="6D37B54E">
      <w:pPr>
        <w:ind w:firstLine="560" w:firstLineChars="200"/>
        <w:outlineLvl w:val="0"/>
        <w:rPr>
          <w:rFonts w:ascii="仿宋" w:hAnsi="仿宋" w:eastAsia="仿宋"/>
          <w:sz w:val="28"/>
          <w:szCs w:val="28"/>
          <w:highlight w:val="none"/>
        </w:rPr>
      </w:pPr>
      <w:r>
        <w:rPr>
          <w:rFonts w:hint="eastAsia" w:ascii="仿宋" w:hAnsi="仿宋" w:eastAsia="仿宋"/>
          <w:sz w:val="28"/>
          <w:szCs w:val="28"/>
          <w:highlight w:val="none"/>
        </w:rPr>
        <w:t>1.会议时间：202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21</w:t>
      </w:r>
      <w:r>
        <w:rPr>
          <w:rFonts w:hint="eastAsia" w:ascii="仿宋" w:hAnsi="仿宋" w:eastAsia="仿宋"/>
          <w:sz w:val="28"/>
          <w:szCs w:val="28"/>
          <w:highlight w:val="none"/>
        </w:rPr>
        <w:t>日</w:t>
      </w:r>
      <w:r>
        <w:rPr>
          <w:rFonts w:hint="eastAsia" w:ascii="仿宋" w:hAnsi="仿宋" w:eastAsia="仿宋"/>
          <w:sz w:val="28"/>
          <w:szCs w:val="28"/>
          <w:highlight w:val="none"/>
          <w:lang w:eastAsia="zh-CN"/>
        </w:rPr>
        <w:t>下午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w:t>
      </w:r>
    </w:p>
    <w:p w14:paraId="3BD27263">
      <w:pPr>
        <w:ind w:firstLine="557" w:firstLineChars="199"/>
        <w:outlineLvl w:val="0"/>
        <w:rPr>
          <w:rFonts w:ascii="仿宋" w:hAnsi="仿宋" w:eastAsia="仿宋"/>
          <w:sz w:val="28"/>
          <w:szCs w:val="28"/>
          <w:highlight w:val="none"/>
        </w:rPr>
      </w:pPr>
      <w:r>
        <w:rPr>
          <w:rFonts w:hint="eastAsia" w:ascii="仿宋" w:hAnsi="仿宋" w:eastAsia="仿宋"/>
          <w:sz w:val="28"/>
          <w:szCs w:val="28"/>
          <w:highlight w:val="none"/>
        </w:rPr>
        <w:t>2.会议地点：四川省妇幼保健院-综合楼（2号楼）</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楼</w:t>
      </w:r>
      <w:r>
        <w:rPr>
          <w:rFonts w:hint="eastAsia" w:ascii="仿宋" w:hAnsi="仿宋" w:eastAsia="仿宋"/>
          <w:sz w:val="28"/>
          <w:szCs w:val="28"/>
          <w:highlight w:val="none"/>
          <w:lang w:eastAsia="zh-CN"/>
        </w:rPr>
        <w:t>小会议室。</w:t>
      </w:r>
    </w:p>
    <w:p w14:paraId="51B3CDFC">
      <w:pPr>
        <w:ind w:firstLine="560" w:firstLineChars="200"/>
        <w:outlineLvl w:val="0"/>
        <w:rPr>
          <w:rFonts w:ascii="仿宋" w:hAnsi="仿宋" w:eastAsia="仿宋"/>
          <w:sz w:val="28"/>
          <w:szCs w:val="28"/>
        </w:rPr>
      </w:pPr>
      <w:r>
        <w:rPr>
          <w:rFonts w:hint="eastAsia" w:ascii="仿宋" w:hAnsi="仿宋" w:eastAsia="仿宋"/>
          <w:sz w:val="28"/>
          <w:szCs w:val="28"/>
        </w:rPr>
        <w:t>3.遴选会议说明：</w:t>
      </w:r>
    </w:p>
    <w:p w14:paraId="6EF49E80">
      <w:pPr>
        <w:ind w:firstLine="560" w:firstLineChars="200"/>
        <w:rPr>
          <w:rFonts w:ascii="仿宋" w:hAnsi="仿宋" w:eastAsia="仿宋"/>
          <w:sz w:val="28"/>
          <w:szCs w:val="28"/>
        </w:rPr>
      </w:pPr>
      <w:r>
        <w:rPr>
          <w:rFonts w:hint="eastAsia" w:ascii="仿宋" w:hAnsi="仿宋" w:eastAsia="仿宋"/>
          <w:sz w:val="28"/>
          <w:szCs w:val="28"/>
          <w:highlight w:val="none"/>
        </w:rPr>
        <w:t>3.1本次会议评审小组成员由运营发展部、</w:t>
      </w:r>
      <w:r>
        <w:rPr>
          <w:rFonts w:hint="eastAsia" w:ascii="仿宋" w:hAnsi="仿宋" w:eastAsia="仿宋"/>
          <w:sz w:val="28"/>
          <w:szCs w:val="28"/>
          <w:highlight w:val="none"/>
          <w:lang w:eastAsia="zh-CN"/>
        </w:rPr>
        <w:t>医务部</w:t>
      </w:r>
      <w:r>
        <w:rPr>
          <w:rFonts w:hint="eastAsia" w:ascii="仿宋" w:hAnsi="仿宋" w:eastAsia="仿宋"/>
          <w:sz w:val="28"/>
          <w:szCs w:val="28"/>
          <w:highlight w:val="none"/>
        </w:rPr>
        <w:t>、医学遗传与产前诊断科</w:t>
      </w:r>
      <w:r>
        <w:rPr>
          <w:rFonts w:hint="eastAsia" w:ascii="仿宋" w:hAnsi="仿宋" w:eastAsia="仿宋"/>
          <w:sz w:val="28"/>
          <w:szCs w:val="28"/>
          <w:highlight w:val="none"/>
          <w:lang w:eastAsia="zh-CN"/>
        </w:rPr>
        <w:t>、母婴健康中心、</w:t>
      </w:r>
      <w:r>
        <w:rPr>
          <w:rFonts w:hint="eastAsia" w:ascii="仿宋" w:hAnsi="仿宋" w:eastAsia="仿宋"/>
          <w:sz w:val="28"/>
          <w:szCs w:val="28"/>
          <w:highlight w:val="none"/>
        </w:rPr>
        <w:t>招标采购</w:t>
      </w:r>
      <w:r>
        <w:rPr>
          <w:rFonts w:hint="eastAsia" w:ascii="仿宋" w:hAnsi="仿宋" w:eastAsia="仿宋"/>
          <w:sz w:val="28"/>
          <w:szCs w:val="28"/>
          <w:highlight w:val="none"/>
          <w:lang w:val="en-US" w:eastAsia="zh-CN"/>
        </w:rPr>
        <w:t>部</w:t>
      </w:r>
      <w:r>
        <w:rPr>
          <w:rFonts w:hint="eastAsia" w:ascii="仿宋" w:hAnsi="仿宋" w:eastAsia="仿宋"/>
          <w:sz w:val="28"/>
          <w:szCs w:val="28"/>
          <w:highlight w:val="none"/>
          <w:lang w:eastAsia="zh-CN"/>
        </w:rPr>
        <w:t>、院外专家</w:t>
      </w:r>
      <w:r>
        <w:rPr>
          <w:rFonts w:hint="eastAsia" w:ascii="仿宋" w:hAnsi="仿宋" w:eastAsia="仿宋"/>
          <w:sz w:val="28"/>
          <w:szCs w:val="28"/>
          <w:highlight w:val="none"/>
          <w:lang w:val="en-US" w:eastAsia="zh-CN"/>
        </w:rPr>
        <w:t>等部门的</w:t>
      </w:r>
      <w:r>
        <w:rPr>
          <w:rFonts w:hint="eastAsia" w:ascii="仿宋" w:hAnsi="仿宋" w:eastAsia="仿宋"/>
          <w:sz w:val="28"/>
          <w:szCs w:val="28"/>
          <w:highlight w:val="none"/>
        </w:rPr>
        <w:t>相关人员组成。根</w:t>
      </w:r>
      <w:r>
        <w:rPr>
          <w:rFonts w:hint="eastAsia" w:ascii="仿宋" w:hAnsi="仿宋" w:eastAsia="仿宋"/>
          <w:color w:val="000000"/>
          <w:sz w:val="28"/>
          <w:szCs w:val="28"/>
          <w:highlight w:val="none"/>
        </w:rPr>
        <w:t>据各参选机构制作的参选方案(一式</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份)</w:t>
      </w:r>
      <w:r>
        <w:rPr>
          <w:rFonts w:ascii="仿宋" w:hAnsi="仿宋" w:eastAsia="仿宋" w:cs="仿宋"/>
          <w:i w:val="0"/>
          <w:iCs w:val="0"/>
          <w:caps w:val="0"/>
          <w:color w:val="000000"/>
          <w:spacing w:val="0"/>
          <w:sz w:val="32"/>
          <w:szCs w:val="32"/>
          <w:shd w:val="clear" w:fill="FFFFFF"/>
        </w:rPr>
        <w:t>、</w:t>
      </w:r>
      <w:r>
        <w:rPr>
          <w:rFonts w:hint="eastAsia" w:ascii="仿宋" w:hAnsi="仿宋" w:eastAsia="仿宋"/>
          <w:color w:val="000000"/>
          <w:sz w:val="28"/>
          <w:szCs w:val="28"/>
          <w:highlight w:val="none"/>
        </w:rPr>
        <w:t>最终报价以及现场沟</w:t>
      </w:r>
      <w:r>
        <w:rPr>
          <w:rFonts w:hint="eastAsia" w:ascii="仿宋" w:hAnsi="仿宋" w:eastAsia="仿宋"/>
          <w:color w:val="000000"/>
          <w:sz w:val="28"/>
          <w:szCs w:val="28"/>
        </w:rPr>
        <w:t>通情况</w:t>
      </w:r>
      <w:r>
        <w:rPr>
          <w:rFonts w:hint="eastAsia" w:ascii="仿宋" w:hAnsi="仿宋" w:eastAsia="仿宋"/>
          <w:sz w:val="28"/>
          <w:szCs w:val="28"/>
        </w:rPr>
        <w:t>予以</w:t>
      </w:r>
      <w:r>
        <w:rPr>
          <w:rFonts w:hint="eastAsia" w:ascii="仿宋" w:hAnsi="仿宋" w:eastAsia="仿宋"/>
          <w:color w:val="000000"/>
          <w:sz w:val="28"/>
          <w:szCs w:val="28"/>
          <w:highlight w:val="none"/>
        </w:rPr>
        <w:t>遴选（竞争性磋商），</w:t>
      </w:r>
      <w:r>
        <w:rPr>
          <w:rFonts w:hint="eastAsia" w:ascii="仿宋" w:hAnsi="仿宋" w:eastAsia="仿宋"/>
          <w:color w:val="000000"/>
          <w:sz w:val="28"/>
          <w:szCs w:val="28"/>
        </w:rPr>
        <w:t>综合评判后优选条件最适宜、对项目综合保障能力最强的</w:t>
      </w:r>
      <w:r>
        <w:rPr>
          <w:rFonts w:hint="eastAsia" w:ascii="仿宋" w:hAnsi="仿宋" w:eastAsia="仿宋"/>
          <w:color w:val="000000"/>
          <w:sz w:val="28"/>
          <w:szCs w:val="28"/>
          <w:lang w:val="en-US" w:eastAsia="zh-CN"/>
        </w:rPr>
        <w:t>参选机构作为本项目的</w:t>
      </w:r>
      <w:r>
        <w:rPr>
          <w:rFonts w:hint="eastAsia" w:ascii="仿宋" w:hAnsi="仿宋" w:eastAsia="仿宋"/>
          <w:color w:val="000000"/>
          <w:sz w:val="28"/>
          <w:szCs w:val="28"/>
        </w:rPr>
        <w:t>合作</w:t>
      </w:r>
      <w:r>
        <w:rPr>
          <w:rFonts w:hint="eastAsia" w:ascii="仿宋" w:hAnsi="仿宋" w:eastAsia="仿宋"/>
          <w:color w:val="000000"/>
          <w:sz w:val="28"/>
          <w:szCs w:val="28"/>
          <w:lang w:val="en-US" w:eastAsia="zh-CN"/>
        </w:rPr>
        <w:t>机构</w:t>
      </w:r>
      <w:r>
        <w:rPr>
          <w:rFonts w:hint="eastAsia" w:ascii="仿宋" w:hAnsi="仿宋" w:eastAsia="仿宋"/>
          <w:color w:val="000000"/>
          <w:sz w:val="28"/>
          <w:szCs w:val="28"/>
        </w:rPr>
        <w:t>。</w:t>
      </w:r>
    </w:p>
    <w:p w14:paraId="0FBD7A88">
      <w:pPr>
        <w:ind w:firstLine="560" w:firstLineChars="200"/>
        <w:rPr>
          <w:rFonts w:ascii="仿宋" w:hAnsi="仿宋" w:eastAsia="仿宋"/>
          <w:sz w:val="28"/>
          <w:szCs w:val="28"/>
        </w:rPr>
      </w:pPr>
      <w:r>
        <w:rPr>
          <w:rFonts w:hint="eastAsia" w:ascii="仿宋" w:hAnsi="仿宋" w:eastAsia="仿宋"/>
          <w:sz w:val="28"/>
          <w:szCs w:val="28"/>
        </w:rPr>
        <w:t>3.2请仔细阅读参加会议需要的相关内容，如有贻误，后果自负。</w:t>
      </w:r>
    </w:p>
    <w:p w14:paraId="4C0ADD74">
      <w:pPr>
        <w:ind w:firstLine="560" w:firstLineChars="200"/>
        <w:rPr>
          <w:rFonts w:ascii="仿宋" w:hAnsi="仿宋" w:eastAsia="仿宋"/>
          <w:sz w:val="28"/>
          <w:szCs w:val="28"/>
        </w:rPr>
      </w:pPr>
      <w:r>
        <w:rPr>
          <w:rFonts w:hint="eastAsia" w:ascii="仿宋" w:hAnsi="仿宋" w:eastAsia="仿宋"/>
          <w:sz w:val="28"/>
          <w:szCs w:val="28"/>
        </w:rPr>
        <w:t>3.3如果本次遴选项目，存在不符合市场调查、资格主体异常、过程违规等情况，我院有权终止本次遴选活动，无义务向各机构解释具体原因。</w:t>
      </w:r>
    </w:p>
    <w:p w14:paraId="23E58494">
      <w:pPr>
        <w:ind w:firstLine="560" w:firstLineChars="200"/>
        <w:outlineLvl w:val="0"/>
        <w:rPr>
          <w:rFonts w:hint="eastAsia" w:ascii="仿宋" w:hAnsi="仿宋" w:eastAsia="仿宋"/>
          <w:sz w:val="28"/>
          <w:szCs w:val="28"/>
        </w:rPr>
      </w:pPr>
      <w:r>
        <w:rPr>
          <w:rFonts w:hint="eastAsia" w:ascii="仿宋" w:hAnsi="仿宋" w:eastAsia="仿宋"/>
          <w:sz w:val="28"/>
          <w:szCs w:val="28"/>
        </w:rPr>
        <w:t>4.参选机构资质要求（见附件1）。</w:t>
      </w:r>
    </w:p>
    <w:p w14:paraId="1D2FDC91">
      <w:pPr>
        <w:ind w:firstLine="560" w:firstLineChars="200"/>
        <w:outlineLvl w:val="0"/>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合作模式及技术服务要求（见附件1）。</w:t>
      </w:r>
    </w:p>
    <w:p w14:paraId="2225D5CE">
      <w:pPr>
        <w:ind w:firstLine="560" w:firstLineChars="200"/>
        <w:outlineLvl w:val="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.参选方案文件书装订顺序（见附件</w:t>
      </w:r>
      <w:r>
        <w:rPr>
          <w:rFonts w:hint="eastAsia" w:ascii="仿宋" w:hAnsi="仿宋" w:eastAsia="仿宋"/>
          <w:sz w:val="28"/>
          <w:szCs w:val="28"/>
          <w:lang w:val="en-US" w:eastAsia="zh-CN"/>
        </w:rPr>
        <w:t>4</w:t>
      </w:r>
      <w:r>
        <w:rPr>
          <w:rFonts w:hint="eastAsia" w:ascii="仿宋" w:hAnsi="仿宋" w:eastAsia="仿宋"/>
          <w:sz w:val="28"/>
          <w:szCs w:val="28"/>
        </w:rPr>
        <w:t>）。</w:t>
      </w:r>
    </w:p>
    <w:p w14:paraId="711E9C81">
      <w:pPr>
        <w:ind w:firstLine="560" w:firstLineChars="200"/>
        <w:outlineLvl w:val="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7.其他要求：</w:t>
      </w:r>
    </w:p>
    <w:p w14:paraId="700F26DF">
      <w:pPr>
        <w:ind w:firstLine="560" w:firstLineChars="200"/>
        <w:rPr>
          <w:rFonts w:ascii="仿宋" w:hAnsi="仿宋" w:eastAsia="仿宋"/>
          <w:sz w:val="28"/>
          <w:szCs w:val="28"/>
        </w:rPr>
      </w:pPr>
      <w:r>
        <w:rPr>
          <w:rFonts w:hint="eastAsia" w:ascii="仿宋" w:hAnsi="仿宋" w:eastAsia="仿宋"/>
          <w:sz w:val="28"/>
          <w:szCs w:val="28"/>
        </w:rPr>
        <w:t>7.1参选机构出具的技术支持和服务承诺书（包括响应时间，并对相关问题提出具体的可操作方案和解决途径）。</w:t>
      </w:r>
    </w:p>
    <w:p w14:paraId="1F0F7690">
      <w:pPr>
        <w:ind w:firstLine="560" w:firstLineChars="200"/>
        <w:rPr>
          <w:rFonts w:ascii="仿宋" w:hAnsi="仿宋" w:eastAsia="仿宋"/>
          <w:sz w:val="28"/>
          <w:szCs w:val="28"/>
        </w:rPr>
      </w:pPr>
      <w:r>
        <w:rPr>
          <w:rFonts w:hint="eastAsia" w:ascii="仿宋" w:hAnsi="仿宋" w:eastAsia="仿宋"/>
          <w:sz w:val="28"/>
          <w:szCs w:val="28"/>
        </w:rPr>
        <w:t>7.2参选机构应承诺，对</w:t>
      </w:r>
      <w:r>
        <w:rPr>
          <w:rFonts w:hint="eastAsia" w:ascii="仿宋" w:hAnsi="仿宋" w:eastAsia="仿宋"/>
          <w:sz w:val="28"/>
          <w:szCs w:val="28"/>
          <w:lang w:eastAsia="zh-CN"/>
        </w:rPr>
        <w:t>医院</w:t>
      </w:r>
      <w:r>
        <w:rPr>
          <w:rFonts w:hint="eastAsia" w:ascii="仿宋" w:hAnsi="仿宋" w:eastAsia="仿宋"/>
          <w:sz w:val="28"/>
          <w:szCs w:val="28"/>
        </w:rPr>
        <w:t>认为必要的实地考察或其他方式的询问进行相应的协助。</w:t>
      </w:r>
    </w:p>
    <w:p w14:paraId="5964CE9F">
      <w:pPr>
        <w:ind w:firstLine="560" w:firstLineChars="200"/>
        <w:rPr>
          <w:rFonts w:ascii="仿宋" w:hAnsi="仿宋" w:eastAsia="仿宋"/>
          <w:b w:val="0"/>
          <w:bCs w:val="0"/>
          <w:sz w:val="28"/>
          <w:szCs w:val="28"/>
        </w:rPr>
      </w:pPr>
      <w:r>
        <w:rPr>
          <w:rFonts w:hint="eastAsia" w:ascii="仿宋" w:hAnsi="仿宋" w:eastAsia="仿宋"/>
          <w:sz w:val="28"/>
          <w:szCs w:val="28"/>
        </w:rPr>
        <w:t>7.3参选机构应在参选方案中按遴选公告的规定和要求附上所有的资格证明文件，要求提供复印件的必须加盖单位印章，并在必要时提供原件备查。</w:t>
      </w:r>
      <w:r>
        <w:rPr>
          <w:rFonts w:hint="eastAsia" w:ascii="仿宋" w:hAnsi="仿宋" w:eastAsia="仿宋"/>
          <w:b w:val="0"/>
          <w:bCs w:val="0"/>
          <w:sz w:val="28"/>
          <w:szCs w:val="28"/>
        </w:rPr>
        <w:t>若提供的资格证明文件不全或不实，将导致其合作资格被取消。</w:t>
      </w:r>
    </w:p>
    <w:p w14:paraId="506EA87C">
      <w:pPr>
        <w:ind w:firstLine="560" w:firstLineChars="200"/>
        <w:outlineLvl w:val="0"/>
        <w:rPr>
          <w:rFonts w:ascii="仿宋" w:hAnsi="仿宋" w:eastAsia="仿宋"/>
          <w:sz w:val="28"/>
          <w:szCs w:val="28"/>
        </w:rPr>
      </w:pPr>
      <w:r>
        <w:rPr>
          <w:rFonts w:hint="eastAsia" w:ascii="仿宋" w:hAnsi="仿宋" w:eastAsia="仿宋"/>
          <w:sz w:val="28"/>
          <w:szCs w:val="28"/>
        </w:rPr>
        <w:t>8.报名时间及方式：</w:t>
      </w:r>
    </w:p>
    <w:p w14:paraId="49A87AB8">
      <w:pPr>
        <w:ind w:firstLine="560" w:firstLineChars="200"/>
        <w:rPr>
          <w:rFonts w:ascii="仿宋" w:hAnsi="仿宋" w:eastAsia="仿宋"/>
          <w:sz w:val="28"/>
          <w:szCs w:val="28"/>
          <w:highlight w:val="none"/>
        </w:rPr>
      </w:pPr>
      <w:r>
        <w:rPr>
          <w:rFonts w:hint="eastAsia" w:ascii="仿宋" w:hAnsi="仿宋" w:eastAsia="仿宋"/>
          <w:sz w:val="28"/>
          <w:szCs w:val="28"/>
          <w:highlight w:val="none"/>
        </w:rPr>
        <w:t>8.1报名时间：202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日下午17:00前。</w:t>
      </w:r>
    </w:p>
    <w:p w14:paraId="216A8031">
      <w:pPr>
        <w:ind w:firstLine="560" w:firstLineChars="200"/>
        <w:rPr>
          <w:rFonts w:ascii="仿宋" w:hAnsi="仿宋" w:eastAsia="仿宋"/>
          <w:sz w:val="28"/>
          <w:szCs w:val="28"/>
        </w:rPr>
      </w:pPr>
      <w:r>
        <w:rPr>
          <w:rFonts w:hint="eastAsia" w:ascii="仿宋" w:hAnsi="仿宋" w:eastAsia="仿宋"/>
          <w:sz w:val="28"/>
          <w:szCs w:val="28"/>
        </w:rPr>
        <w:t>8.2报名方式：拟参选机构在报名期限内携带遴选单位的资质要求复印件一份</w:t>
      </w:r>
      <w:r>
        <w:rPr>
          <w:rFonts w:hint="eastAsia" w:ascii="仿宋" w:hAnsi="仿宋" w:eastAsia="仿宋"/>
          <w:sz w:val="28"/>
          <w:szCs w:val="28"/>
          <w:lang w:eastAsia="zh-CN"/>
        </w:rPr>
        <w:t>（格式见附件</w:t>
      </w:r>
      <w:r>
        <w:rPr>
          <w:rFonts w:hint="eastAsia" w:ascii="仿宋" w:hAnsi="仿宋" w:eastAsia="仿宋"/>
          <w:sz w:val="28"/>
          <w:szCs w:val="28"/>
          <w:lang w:val="en-US" w:eastAsia="zh-CN"/>
        </w:rPr>
        <w:t>1</w:t>
      </w:r>
      <w:r>
        <w:rPr>
          <w:rFonts w:hint="eastAsia" w:ascii="仿宋" w:hAnsi="仿宋" w:eastAsia="仿宋"/>
          <w:b w:val="0"/>
          <w:bCs w:val="0"/>
          <w:sz w:val="28"/>
          <w:szCs w:val="28"/>
          <w:highlight w:val="none"/>
          <w:lang w:val="en-US" w:eastAsia="zh-CN"/>
        </w:rPr>
        <w:t>三、资质要求</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逐页</w:t>
      </w:r>
      <w:r>
        <w:rPr>
          <w:rFonts w:hint="eastAsia" w:ascii="仿宋" w:hAnsi="仿宋" w:eastAsia="仿宋"/>
          <w:b w:val="0"/>
          <w:bCs w:val="0"/>
          <w:sz w:val="28"/>
          <w:szCs w:val="28"/>
        </w:rPr>
        <w:t>盖公章</w:t>
      </w:r>
      <w:r>
        <w:rPr>
          <w:rFonts w:hint="eastAsia" w:ascii="仿宋" w:hAnsi="仿宋" w:eastAsia="仿宋"/>
          <w:sz w:val="28"/>
          <w:szCs w:val="28"/>
        </w:rPr>
        <w:t>送至四川省妇幼保健院运营发展部（详细地址：成都市武侯区沙堰西二街290号2号楼311室）。逾期将不接受遴选会议报名。</w:t>
      </w:r>
    </w:p>
    <w:p w14:paraId="0C390B28">
      <w:pPr>
        <w:ind w:firstLine="560" w:firstLineChars="200"/>
        <w:outlineLvl w:val="0"/>
        <w:rPr>
          <w:rFonts w:ascii="仿宋" w:hAnsi="仿宋" w:eastAsia="仿宋"/>
          <w:sz w:val="28"/>
          <w:szCs w:val="28"/>
          <w:highlight w:val="none"/>
        </w:rPr>
      </w:pPr>
      <w:r>
        <w:rPr>
          <w:rFonts w:hint="eastAsia" w:ascii="仿宋" w:hAnsi="仿宋" w:eastAsia="仿宋"/>
          <w:sz w:val="28"/>
          <w:szCs w:val="28"/>
          <w:highlight w:val="none"/>
        </w:rPr>
        <w:t>9.会前要求：</w:t>
      </w:r>
    </w:p>
    <w:p w14:paraId="431F0735">
      <w:pPr>
        <w:ind w:firstLine="560" w:firstLineChars="200"/>
        <w:rPr>
          <w:rFonts w:ascii="仿宋" w:hAnsi="仿宋" w:eastAsia="仿宋"/>
          <w:sz w:val="28"/>
          <w:szCs w:val="28"/>
          <w:highlight w:val="none"/>
        </w:rPr>
      </w:pPr>
      <w:r>
        <w:rPr>
          <w:rFonts w:hint="eastAsia" w:ascii="仿宋" w:hAnsi="仿宋" w:eastAsia="仿宋"/>
          <w:sz w:val="28"/>
          <w:szCs w:val="28"/>
          <w:highlight w:val="none"/>
        </w:rPr>
        <w:t>参选机构需于202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日下午16：00前到我院医院网站“四川省妇幼保健院官网”(www.fybj.net)上下载公告。</w:t>
      </w:r>
    </w:p>
    <w:p w14:paraId="71AFC161">
      <w:pPr>
        <w:numPr>
          <w:ilvl w:val="0"/>
          <w:numId w:val="1"/>
        </w:numPr>
        <w:ind w:firstLine="560" w:firstLineChars="200"/>
        <w:outlineLvl w:val="0"/>
        <w:rPr>
          <w:rFonts w:ascii="仿宋" w:hAnsi="仿宋" w:eastAsia="仿宋"/>
          <w:sz w:val="28"/>
          <w:szCs w:val="28"/>
        </w:rPr>
      </w:pPr>
      <w:r>
        <w:rPr>
          <w:rFonts w:hint="eastAsia" w:ascii="仿宋" w:hAnsi="仿宋" w:eastAsia="仿宋"/>
          <w:sz w:val="28"/>
          <w:szCs w:val="28"/>
        </w:rPr>
        <w:t>会议安排：</w:t>
      </w:r>
    </w:p>
    <w:p w14:paraId="13164F07">
      <w:pPr>
        <w:ind w:firstLine="560" w:firstLineChars="200"/>
        <w:rPr>
          <w:rFonts w:ascii="仿宋" w:hAnsi="仿宋" w:eastAsia="仿宋"/>
          <w:sz w:val="28"/>
          <w:szCs w:val="28"/>
        </w:rPr>
      </w:pPr>
      <w:r>
        <w:rPr>
          <w:rFonts w:hint="eastAsia" w:ascii="仿宋" w:hAnsi="仿宋" w:eastAsia="仿宋"/>
          <w:sz w:val="28"/>
          <w:szCs w:val="28"/>
          <w:highlight w:val="none"/>
        </w:rPr>
        <w:t>10.1 202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 xml:space="preserve"> 年</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21</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前，参选</w:t>
      </w:r>
      <w:r>
        <w:rPr>
          <w:rFonts w:hint="eastAsia" w:ascii="仿宋" w:hAnsi="仿宋" w:eastAsia="仿宋"/>
          <w:sz w:val="28"/>
          <w:szCs w:val="28"/>
        </w:rPr>
        <w:t>机构必须携带机构上述</w:t>
      </w:r>
      <w:r>
        <w:rPr>
          <w:rFonts w:hint="eastAsia" w:ascii="仿宋" w:hAnsi="仿宋" w:eastAsia="仿宋"/>
          <w:b w:val="0"/>
          <w:bCs w:val="0"/>
          <w:sz w:val="28"/>
          <w:szCs w:val="28"/>
          <w:highlight w:val="none"/>
          <w:lang w:val="en-US" w:eastAsia="zh-CN"/>
        </w:rPr>
        <w:t>资质要求</w:t>
      </w:r>
      <w:r>
        <w:rPr>
          <w:rFonts w:hint="eastAsia" w:ascii="仿宋" w:hAnsi="仿宋" w:eastAsia="仿宋"/>
          <w:sz w:val="28"/>
          <w:szCs w:val="28"/>
          <w:highlight w:val="none"/>
        </w:rPr>
        <w:t>复印件（一份）</w:t>
      </w:r>
      <w:r>
        <w:rPr>
          <w:rFonts w:hint="eastAsia" w:ascii="仿宋" w:hAnsi="仿宋" w:eastAsia="仿宋"/>
          <w:sz w:val="28"/>
          <w:szCs w:val="28"/>
          <w:highlight w:val="none"/>
          <w:lang w:eastAsia="zh-CN"/>
        </w:rPr>
        <w:t>、</w:t>
      </w:r>
      <w:r>
        <w:rPr>
          <w:rFonts w:hint="eastAsia" w:ascii="仿宋" w:hAnsi="仿宋" w:eastAsia="仿宋"/>
          <w:sz w:val="28"/>
          <w:szCs w:val="28"/>
          <w:highlight w:val="none"/>
        </w:rPr>
        <w:t>《参选方案》（一式</w:t>
      </w:r>
      <w:r>
        <w:rPr>
          <w:rFonts w:hint="eastAsia" w:ascii="仿宋" w:hAnsi="仿宋" w:eastAsia="仿宋"/>
          <w:sz w:val="28"/>
          <w:szCs w:val="28"/>
          <w:highlight w:val="none"/>
          <w:lang w:eastAsia="zh-CN"/>
        </w:rPr>
        <w:t>七</w:t>
      </w:r>
      <w:r>
        <w:rPr>
          <w:rFonts w:hint="eastAsia" w:ascii="仿宋" w:hAnsi="仿宋" w:eastAsia="仿宋"/>
          <w:sz w:val="28"/>
          <w:szCs w:val="28"/>
          <w:highlight w:val="none"/>
        </w:rPr>
        <w:t>份，正本</w:t>
      </w:r>
      <w:r>
        <w:rPr>
          <w:rFonts w:hint="eastAsia" w:ascii="仿宋" w:hAnsi="仿宋" w:eastAsia="仿宋"/>
          <w:sz w:val="28"/>
          <w:szCs w:val="28"/>
        </w:rPr>
        <w:t>1份</w:t>
      </w:r>
      <w:r>
        <w:rPr>
          <w:rFonts w:hint="eastAsia" w:ascii="仿宋" w:hAnsi="仿宋" w:eastAsia="仿宋"/>
          <w:sz w:val="28"/>
          <w:szCs w:val="28"/>
          <w:lang w:eastAsia="zh-CN"/>
        </w:rPr>
        <w:t>，</w:t>
      </w:r>
      <w:r>
        <w:rPr>
          <w:rFonts w:hint="eastAsia" w:ascii="仿宋" w:hAnsi="仿宋" w:eastAsia="仿宋"/>
          <w:sz w:val="28"/>
          <w:szCs w:val="28"/>
        </w:rPr>
        <w:t>副本</w:t>
      </w:r>
      <w:r>
        <w:rPr>
          <w:rFonts w:hint="eastAsia" w:ascii="仿宋" w:hAnsi="仿宋" w:eastAsia="仿宋"/>
          <w:sz w:val="28"/>
          <w:szCs w:val="28"/>
          <w:lang w:val="en-US" w:eastAsia="zh-CN"/>
        </w:rPr>
        <w:t>6</w:t>
      </w:r>
      <w:r>
        <w:rPr>
          <w:rFonts w:hint="eastAsia" w:ascii="仿宋" w:hAnsi="仿宋" w:eastAsia="仿宋"/>
          <w:sz w:val="28"/>
          <w:szCs w:val="28"/>
        </w:rPr>
        <w:t>份，并分别在右上角标明“正本” 和“副本”字样</w:t>
      </w:r>
      <w:r>
        <w:rPr>
          <w:rFonts w:hint="eastAsia" w:ascii="仿宋" w:hAnsi="仿宋" w:eastAsia="仿宋"/>
          <w:sz w:val="28"/>
          <w:szCs w:val="28"/>
          <w:highlight w:val="none"/>
        </w:rPr>
        <w:t>）密封盖章</w:t>
      </w:r>
      <w:r>
        <w:rPr>
          <w:rFonts w:hint="eastAsia" w:ascii="仿宋" w:hAnsi="仿宋" w:eastAsia="仿宋"/>
          <w:sz w:val="28"/>
          <w:szCs w:val="28"/>
        </w:rPr>
        <w:t>报送至会议地点。以上资料必须在公告截止时间前送达公告要求地点。逾期送达或密封不符合遴选公告规定的恕不接收。</w:t>
      </w:r>
    </w:p>
    <w:p w14:paraId="22282281">
      <w:pPr>
        <w:ind w:firstLine="560" w:firstLineChars="200"/>
        <w:rPr>
          <w:rFonts w:ascii="仿宋" w:hAnsi="仿宋" w:eastAsia="仿宋"/>
          <w:sz w:val="28"/>
          <w:szCs w:val="28"/>
        </w:rPr>
      </w:pPr>
      <w:r>
        <w:rPr>
          <w:rFonts w:hint="eastAsia" w:ascii="仿宋" w:hAnsi="仿宋" w:eastAsia="仿宋"/>
          <w:sz w:val="28"/>
          <w:szCs w:val="28"/>
        </w:rPr>
        <w:t>10.2运营发展部主持会议。主持人宣布遴选步骤，强调工作纪律、介绍遴选工作等。</w:t>
      </w:r>
    </w:p>
    <w:p w14:paraId="125AEF1C">
      <w:pPr>
        <w:ind w:firstLine="560" w:firstLineChars="200"/>
        <w:rPr>
          <w:rFonts w:hint="eastAsia" w:ascii="仿宋" w:hAnsi="仿宋" w:eastAsia="仿宋"/>
          <w:sz w:val="28"/>
          <w:szCs w:val="28"/>
        </w:rPr>
      </w:pPr>
      <w:r>
        <w:rPr>
          <w:rFonts w:hint="eastAsia" w:ascii="仿宋" w:hAnsi="仿宋" w:eastAsia="仿宋"/>
          <w:sz w:val="28"/>
          <w:szCs w:val="28"/>
        </w:rPr>
        <w:t>10.3运营发展部负责组织评审专家对参选机构的资格进行审查，通报资格审查情况，宣布参加遴选的机构名单。</w:t>
      </w:r>
    </w:p>
    <w:p w14:paraId="558BD63E">
      <w:pPr>
        <w:ind w:firstLine="560" w:firstLineChars="200"/>
        <w:rPr>
          <w:rFonts w:hint="eastAsia" w:ascii="仿宋" w:hAnsi="仿宋" w:eastAsia="仿宋"/>
          <w:sz w:val="28"/>
          <w:szCs w:val="28"/>
        </w:rPr>
      </w:pPr>
      <w:r>
        <w:rPr>
          <w:rFonts w:hint="eastAsia" w:ascii="仿宋" w:hAnsi="仿宋" w:eastAsia="仿宋"/>
          <w:sz w:val="28"/>
          <w:szCs w:val="28"/>
        </w:rPr>
        <w:t>10.4评审小组与参选机构逐一轮流磋商。评审小组可根据现场情况决定磋商轮次。</w:t>
      </w:r>
    </w:p>
    <w:p w14:paraId="64265FEB">
      <w:pPr>
        <w:ind w:firstLine="560" w:firstLineChars="200"/>
        <w:rPr>
          <w:rFonts w:hint="eastAsia" w:ascii="仿宋" w:hAnsi="仿宋" w:eastAsia="仿宋"/>
          <w:sz w:val="28"/>
          <w:szCs w:val="28"/>
        </w:rPr>
      </w:pPr>
      <w:r>
        <w:rPr>
          <w:rFonts w:hint="eastAsia" w:ascii="仿宋" w:hAnsi="仿宋" w:eastAsia="仿宋"/>
          <w:sz w:val="28"/>
          <w:szCs w:val="28"/>
        </w:rPr>
        <w:t>10.5磋商后，参选机构须在30分钟内提交密封的书面最终报价。</w:t>
      </w:r>
    </w:p>
    <w:p w14:paraId="787704A3">
      <w:pPr>
        <w:ind w:firstLine="560" w:firstLineChars="200"/>
        <w:rPr>
          <w:rFonts w:ascii="仿宋" w:hAnsi="仿宋" w:eastAsia="仿宋"/>
          <w:sz w:val="28"/>
          <w:szCs w:val="28"/>
        </w:rPr>
      </w:pPr>
      <w:r>
        <w:rPr>
          <w:rFonts w:hint="eastAsia" w:ascii="仿宋" w:hAnsi="仿宋" w:eastAsia="仿宋"/>
          <w:sz w:val="28"/>
          <w:szCs w:val="28"/>
        </w:rPr>
        <w:t>10.</w:t>
      </w:r>
      <w:r>
        <w:rPr>
          <w:rFonts w:hint="eastAsia" w:ascii="仿宋" w:hAnsi="仿宋" w:eastAsia="仿宋"/>
          <w:sz w:val="28"/>
          <w:szCs w:val="28"/>
          <w:lang w:val="en-US" w:eastAsia="zh-CN"/>
        </w:rPr>
        <w:t>6</w:t>
      </w:r>
      <w:r>
        <w:rPr>
          <w:rFonts w:hint="eastAsia" w:ascii="仿宋" w:hAnsi="仿宋" w:eastAsia="仿宋"/>
          <w:sz w:val="28"/>
          <w:szCs w:val="28"/>
        </w:rPr>
        <w:t>评审小组成员根据各参选机构方案及现场沟通情况进行综合评比，现场统分，打分后形成遴选意见。</w:t>
      </w:r>
    </w:p>
    <w:p w14:paraId="1418E1B4">
      <w:pPr>
        <w:ind w:firstLine="560" w:firstLineChars="200"/>
        <w:rPr>
          <w:rFonts w:ascii="仿宋" w:hAnsi="仿宋" w:eastAsia="仿宋"/>
          <w:sz w:val="28"/>
          <w:szCs w:val="28"/>
        </w:rPr>
      </w:pPr>
      <w:r>
        <w:rPr>
          <w:rFonts w:hint="eastAsia" w:ascii="仿宋" w:hAnsi="仿宋" w:eastAsia="仿宋"/>
          <w:sz w:val="28"/>
          <w:szCs w:val="28"/>
        </w:rPr>
        <w:t>10.</w:t>
      </w:r>
      <w:r>
        <w:rPr>
          <w:rFonts w:hint="eastAsia" w:ascii="仿宋" w:hAnsi="仿宋" w:eastAsia="仿宋"/>
          <w:sz w:val="28"/>
          <w:szCs w:val="28"/>
          <w:lang w:val="en-US" w:eastAsia="zh-CN"/>
        </w:rPr>
        <w:t>7</w:t>
      </w:r>
      <w:r>
        <w:rPr>
          <w:rFonts w:hint="eastAsia" w:ascii="仿宋" w:hAnsi="仿宋" w:eastAsia="仿宋"/>
          <w:sz w:val="28"/>
          <w:szCs w:val="28"/>
        </w:rPr>
        <w:t>根据评审小组成员综合评审情况，填写相应表格，评审小组成员签字确认。</w:t>
      </w:r>
    </w:p>
    <w:p w14:paraId="2ACE5E64">
      <w:pPr>
        <w:ind w:firstLine="560" w:firstLineChars="200"/>
        <w:rPr>
          <w:rFonts w:ascii="仿宋" w:hAnsi="仿宋" w:eastAsia="仿宋"/>
          <w:sz w:val="28"/>
          <w:szCs w:val="28"/>
        </w:rPr>
      </w:pPr>
      <w:r>
        <w:rPr>
          <w:rFonts w:hint="eastAsia" w:ascii="仿宋" w:hAnsi="仿宋" w:eastAsia="仿宋"/>
          <w:sz w:val="28"/>
          <w:szCs w:val="28"/>
        </w:rPr>
        <w:t>10.</w:t>
      </w:r>
      <w:r>
        <w:rPr>
          <w:rFonts w:hint="eastAsia" w:ascii="仿宋" w:hAnsi="仿宋" w:eastAsia="仿宋"/>
          <w:sz w:val="28"/>
          <w:szCs w:val="28"/>
          <w:lang w:val="en-US" w:eastAsia="zh-CN"/>
        </w:rPr>
        <w:t>8</w:t>
      </w:r>
      <w:r>
        <w:rPr>
          <w:rFonts w:hint="eastAsia" w:ascii="仿宋" w:hAnsi="仿宋" w:eastAsia="仿宋"/>
          <w:sz w:val="28"/>
          <w:szCs w:val="28"/>
        </w:rPr>
        <w:t>汇总填写《评审报告》，逐级上报。</w:t>
      </w:r>
    </w:p>
    <w:p w14:paraId="7D53D126">
      <w:pPr>
        <w:ind w:firstLine="560" w:firstLineChars="200"/>
        <w:rPr>
          <w:sz w:val="28"/>
          <w:szCs w:val="28"/>
        </w:rPr>
      </w:pPr>
      <w:r>
        <w:rPr>
          <w:rFonts w:hint="eastAsia" w:ascii="仿宋" w:hAnsi="仿宋" w:eastAsia="仿宋"/>
          <w:sz w:val="28"/>
          <w:szCs w:val="28"/>
        </w:rPr>
        <w:t>10.</w:t>
      </w:r>
      <w:r>
        <w:rPr>
          <w:rFonts w:hint="eastAsia" w:ascii="仿宋" w:hAnsi="仿宋" w:eastAsia="仿宋"/>
          <w:sz w:val="28"/>
          <w:szCs w:val="28"/>
          <w:lang w:val="en-US" w:eastAsia="zh-CN"/>
        </w:rPr>
        <w:t>9</w:t>
      </w:r>
      <w:r>
        <w:rPr>
          <w:rFonts w:hint="eastAsia" w:ascii="仿宋" w:hAnsi="仿宋" w:eastAsia="仿宋"/>
          <w:sz w:val="28"/>
          <w:szCs w:val="28"/>
        </w:rPr>
        <w:t xml:space="preserve"> </w:t>
      </w:r>
      <w:r>
        <w:rPr>
          <w:rFonts w:hint="eastAsia" w:ascii="仿宋" w:hAnsi="仿宋" w:eastAsia="仿宋"/>
          <w:sz w:val="28"/>
          <w:szCs w:val="28"/>
          <w:lang w:eastAsia="zh-CN"/>
        </w:rPr>
        <w:t>七个工作</w:t>
      </w:r>
      <w:r>
        <w:rPr>
          <w:rFonts w:hint="eastAsia" w:ascii="仿宋" w:hAnsi="仿宋" w:eastAsia="仿宋"/>
          <w:sz w:val="28"/>
          <w:szCs w:val="28"/>
        </w:rPr>
        <w:t>日内，将遴选结果电话通知或在医院网站公示告知参选机构。</w:t>
      </w:r>
    </w:p>
    <w:p w14:paraId="7FCBCFBB">
      <w:pPr>
        <w:ind w:firstLine="560" w:firstLineChars="200"/>
        <w:outlineLvl w:val="0"/>
        <w:rPr>
          <w:rFonts w:ascii="仿宋" w:hAnsi="仿宋" w:eastAsia="仿宋"/>
          <w:sz w:val="28"/>
          <w:szCs w:val="28"/>
        </w:rPr>
      </w:pPr>
      <w:r>
        <w:rPr>
          <w:rFonts w:hint="eastAsia" w:ascii="仿宋" w:hAnsi="仿宋" w:eastAsia="仿宋"/>
          <w:sz w:val="28"/>
          <w:szCs w:val="28"/>
        </w:rPr>
        <w:t>11.其它说明：</w:t>
      </w:r>
    </w:p>
    <w:p w14:paraId="49E18690">
      <w:pPr>
        <w:ind w:firstLine="560" w:firstLineChars="200"/>
        <w:rPr>
          <w:rFonts w:ascii="仿宋" w:hAnsi="仿宋" w:eastAsia="仿宋"/>
          <w:sz w:val="28"/>
          <w:szCs w:val="28"/>
        </w:rPr>
      </w:pPr>
      <w:r>
        <w:rPr>
          <w:rFonts w:hint="eastAsia" w:ascii="仿宋" w:hAnsi="仿宋" w:eastAsia="仿宋"/>
          <w:sz w:val="28"/>
          <w:szCs w:val="28"/>
        </w:rPr>
        <w:t>11.1参选方案等资料的编制、装订：根据要求及自身实际用A4纸编制，严格按照参选方案文件书装订顺序（见附件</w:t>
      </w:r>
      <w:r>
        <w:rPr>
          <w:rFonts w:hint="eastAsia" w:ascii="仿宋" w:hAnsi="仿宋" w:eastAsia="仿宋"/>
          <w:sz w:val="28"/>
          <w:szCs w:val="28"/>
          <w:lang w:val="en-US" w:eastAsia="zh-CN"/>
        </w:rPr>
        <w:t>4</w:t>
      </w:r>
      <w:r>
        <w:rPr>
          <w:rFonts w:hint="eastAsia" w:ascii="仿宋" w:hAnsi="仿宋" w:eastAsia="仿宋"/>
          <w:sz w:val="28"/>
          <w:szCs w:val="28"/>
        </w:rPr>
        <w:t>）的要求进行装订。提供的所有资料</w:t>
      </w:r>
      <w:r>
        <w:rPr>
          <w:rFonts w:hint="eastAsia" w:ascii="仿宋" w:hAnsi="仿宋" w:eastAsia="仿宋"/>
          <w:sz w:val="28"/>
          <w:szCs w:val="28"/>
          <w:lang w:eastAsia="zh-CN"/>
        </w:rPr>
        <w:t>必</w:t>
      </w:r>
      <w:r>
        <w:rPr>
          <w:rFonts w:hint="eastAsia" w:ascii="仿宋" w:hAnsi="仿宋" w:eastAsia="仿宋"/>
          <w:sz w:val="28"/>
          <w:szCs w:val="28"/>
        </w:rPr>
        <w:t>须加盖鲜章。自带U盘。</w:t>
      </w:r>
    </w:p>
    <w:p w14:paraId="7417C8ED">
      <w:pPr>
        <w:ind w:firstLine="560" w:firstLineChars="200"/>
        <w:rPr>
          <w:rFonts w:ascii="仿宋" w:hAnsi="仿宋" w:eastAsia="仿宋"/>
          <w:sz w:val="28"/>
          <w:szCs w:val="28"/>
        </w:rPr>
      </w:pPr>
      <w:r>
        <w:rPr>
          <w:rFonts w:hint="eastAsia" w:ascii="仿宋" w:hAnsi="仿宋" w:eastAsia="仿宋"/>
          <w:sz w:val="28"/>
          <w:szCs w:val="28"/>
        </w:rPr>
        <w:t>11.2解释权归运营发展部。联系人：杨老师  电话：028-65978233。</w:t>
      </w:r>
    </w:p>
    <w:p w14:paraId="3B89DB22">
      <w:pPr>
        <w:ind w:firstLine="560" w:firstLineChars="200"/>
        <w:rPr>
          <w:rFonts w:ascii="仿宋" w:hAnsi="仿宋" w:eastAsia="仿宋"/>
          <w:sz w:val="28"/>
          <w:szCs w:val="28"/>
        </w:rPr>
      </w:pPr>
      <w:r>
        <w:rPr>
          <w:rFonts w:hint="eastAsia" w:ascii="仿宋" w:hAnsi="仿宋" w:eastAsia="仿宋"/>
          <w:sz w:val="28"/>
          <w:szCs w:val="28"/>
        </w:rPr>
        <w:t>11.3各参选机构认为遴选文件、遴选过程、</w:t>
      </w:r>
      <w:r>
        <w:rPr>
          <w:rFonts w:hint="eastAsia" w:ascii="仿宋" w:hAnsi="仿宋" w:eastAsia="仿宋"/>
          <w:sz w:val="28"/>
          <w:szCs w:val="28"/>
          <w:lang w:val="en-US" w:eastAsia="zh-CN"/>
        </w:rPr>
        <w:t>遴选</w:t>
      </w:r>
      <w:r>
        <w:rPr>
          <w:rFonts w:hint="eastAsia" w:ascii="仿宋" w:hAnsi="仿宋" w:eastAsia="仿宋"/>
          <w:sz w:val="28"/>
          <w:szCs w:val="28"/>
        </w:rPr>
        <w:t>结果使自己的权益受到损害的，可以在知道或者应知其权益受到损害之日起</w:t>
      </w:r>
      <w:r>
        <w:rPr>
          <w:rFonts w:hint="eastAsia" w:ascii="仿宋" w:hAnsi="仿宋" w:eastAsia="仿宋"/>
          <w:sz w:val="28"/>
          <w:szCs w:val="28"/>
          <w:lang w:eastAsia="zh-CN"/>
        </w:rPr>
        <w:t>七</w:t>
      </w:r>
      <w:r>
        <w:rPr>
          <w:rFonts w:hint="eastAsia" w:ascii="仿宋" w:hAnsi="仿宋" w:eastAsia="仿宋"/>
          <w:sz w:val="28"/>
          <w:szCs w:val="28"/>
        </w:rPr>
        <w:t>个工作日内，以书面形式向运营发展部提出质疑。运营发展部联系人:杨老师028-65978233。</w:t>
      </w:r>
    </w:p>
    <w:p w14:paraId="70A4FFAF">
      <w:pPr>
        <w:ind w:firstLine="560" w:firstLineChars="200"/>
        <w:rPr>
          <w:rFonts w:hint="eastAsia" w:ascii="仿宋" w:hAnsi="仿宋" w:eastAsia="仿宋" w:cstheme="minorBidi"/>
          <w:sz w:val="28"/>
          <w:szCs w:val="28"/>
        </w:rPr>
      </w:pPr>
      <w:r>
        <w:rPr>
          <w:rFonts w:hint="eastAsia" w:ascii="仿宋" w:hAnsi="仿宋" w:eastAsia="仿宋" w:cstheme="minorBidi"/>
          <w:sz w:val="28"/>
          <w:szCs w:val="28"/>
          <w:lang w:eastAsia="zh-CN"/>
        </w:rPr>
        <w:t>1</w:t>
      </w:r>
      <w:r>
        <w:rPr>
          <w:rFonts w:hint="eastAsia" w:ascii="仿宋" w:hAnsi="仿宋" w:eastAsia="仿宋" w:cstheme="minorBidi"/>
          <w:sz w:val="28"/>
          <w:szCs w:val="28"/>
          <w:lang w:val="en-US" w:eastAsia="zh-CN"/>
        </w:rPr>
        <w:t>1.4</w:t>
      </w:r>
      <w:r>
        <w:rPr>
          <w:rFonts w:hint="eastAsia" w:ascii="仿宋" w:hAnsi="仿宋" w:eastAsia="仿宋" w:cstheme="minorBidi"/>
          <w:sz w:val="28"/>
          <w:szCs w:val="28"/>
        </w:rPr>
        <w:t>请每位参会人员需携带身份证。</w:t>
      </w:r>
    </w:p>
    <w:p w14:paraId="7A80F2A0">
      <w:pPr>
        <w:pStyle w:val="7"/>
        <w:rPr>
          <w:rFonts w:hint="eastAsia"/>
          <w:lang w:eastAsia="zh-CN"/>
        </w:rPr>
      </w:pPr>
    </w:p>
    <w:p w14:paraId="64E9B0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Calibri" w:hAnsi="Calibri" w:cs="Calibri"/>
          <w:i w:val="0"/>
          <w:iCs w:val="0"/>
          <w:caps w:val="0"/>
          <w:color w:val="333333"/>
          <w:spacing w:val="0"/>
          <w:sz w:val="14"/>
          <w:szCs w:val="14"/>
        </w:rPr>
      </w:pPr>
      <w:r>
        <w:rPr>
          <w:rFonts w:ascii="仿宋" w:hAnsi="仿宋" w:eastAsia="仿宋" w:cs="仿宋"/>
          <w:i w:val="0"/>
          <w:iCs w:val="0"/>
          <w:caps w:val="0"/>
          <w:color w:val="333333"/>
          <w:spacing w:val="0"/>
          <w:kern w:val="0"/>
          <w:sz w:val="28"/>
          <w:szCs w:val="28"/>
          <w:shd w:val="clear" w:fill="FFFFFF"/>
          <w:lang w:val="en-US" w:eastAsia="zh-CN" w:bidi="ar"/>
        </w:rPr>
        <w:t>附件</w:t>
      </w:r>
      <w:r>
        <w:rPr>
          <w:rFonts w:hint="eastAsia" w:ascii="仿宋" w:hAnsi="仿宋" w:eastAsia="仿宋" w:cs="仿宋"/>
          <w:i w:val="0"/>
          <w:iCs w:val="0"/>
          <w:caps w:val="0"/>
          <w:color w:val="333333"/>
          <w:spacing w:val="0"/>
          <w:kern w:val="0"/>
          <w:sz w:val="28"/>
          <w:szCs w:val="28"/>
          <w:shd w:val="clear" w:fill="FFFFFF"/>
          <w:lang w:val="en-US" w:eastAsia="zh-CN" w:bidi="ar"/>
        </w:rPr>
        <w:t>1：参选机构要求</w:t>
      </w:r>
    </w:p>
    <w:p w14:paraId="658EF6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14"/>
          <w:szCs w:val="14"/>
        </w:rPr>
      </w:pPr>
      <w:r>
        <w:rPr>
          <w:rFonts w:hint="eastAsia" w:ascii="仿宋" w:hAnsi="仿宋" w:eastAsia="仿宋" w:cs="仿宋"/>
          <w:i w:val="0"/>
          <w:iCs w:val="0"/>
          <w:caps w:val="0"/>
          <w:color w:val="333333"/>
          <w:spacing w:val="0"/>
          <w:kern w:val="0"/>
          <w:sz w:val="28"/>
          <w:szCs w:val="28"/>
          <w:shd w:val="clear" w:fill="FFFFFF"/>
          <w:lang w:val="en-US" w:eastAsia="zh-CN" w:bidi="ar"/>
        </w:rPr>
        <w:t>附件2：合作方案基本格式</w:t>
      </w:r>
    </w:p>
    <w:p w14:paraId="22521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14"/>
          <w:szCs w:val="14"/>
        </w:rPr>
      </w:pPr>
      <w:r>
        <w:rPr>
          <w:rFonts w:hint="eastAsia" w:ascii="仿宋" w:hAnsi="仿宋" w:eastAsia="仿宋" w:cs="仿宋"/>
          <w:i w:val="0"/>
          <w:iCs w:val="0"/>
          <w:caps w:val="0"/>
          <w:color w:val="333333"/>
          <w:spacing w:val="0"/>
          <w:kern w:val="0"/>
          <w:sz w:val="28"/>
          <w:szCs w:val="28"/>
          <w:shd w:val="clear" w:fill="FFFFFF"/>
          <w:lang w:val="en-US" w:eastAsia="zh-CN" w:bidi="ar"/>
        </w:rPr>
        <w:t>附件3：报价</w:t>
      </w:r>
    </w:p>
    <w:p w14:paraId="0DF3F7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14"/>
          <w:szCs w:val="14"/>
        </w:rPr>
      </w:pPr>
      <w:r>
        <w:rPr>
          <w:rFonts w:hint="eastAsia" w:ascii="仿宋" w:hAnsi="仿宋" w:eastAsia="仿宋" w:cs="仿宋"/>
          <w:i w:val="0"/>
          <w:iCs w:val="0"/>
          <w:caps w:val="0"/>
          <w:color w:val="333333"/>
          <w:spacing w:val="0"/>
          <w:kern w:val="0"/>
          <w:sz w:val="28"/>
          <w:szCs w:val="28"/>
          <w:shd w:val="clear" w:fill="FFFFFF"/>
          <w:lang w:val="en-US" w:eastAsia="zh-CN" w:bidi="ar"/>
        </w:rPr>
        <w:t>附件4: 参选方案文件书装订顺序</w:t>
      </w:r>
    </w:p>
    <w:p w14:paraId="52DF5E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14"/>
          <w:szCs w:val="14"/>
        </w:rPr>
      </w:pPr>
      <w:r>
        <w:rPr>
          <w:rFonts w:hint="eastAsia" w:ascii="仿宋" w:hAnsi="仿宋" w:eastAsia="仿宋" w:cs="仿宋"/>
          <w:i w:val="0"/>
          <w:iCs w:val="0"/>
          <w:caps w:val="0"/>
          <w:color w:val="333333"/>
          <w:spacing w:val="0"/>
          <w:kern w:val="0"/>
          <w:sz w:val="28"/>
          <w:szCs w:val="28"/>
          <w:shd w:val="clear" w:fill="FFFFFF"/>
          <w:lang w:val="en-US" w:eastAsia="zh-CN" w:bidi="ar"/>
        </w:rPr>
        <w:t>附件5：偏离表</w:t>
      </w:r>
    </w:p>
    <w:p w14:paraId="78393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14"/>
          <w:szCs w:val="14"/>
        </w:rPr>
      </w:pPr>
      <w:r>
        <w:rPr>
          <w:rFonts w:hint="eastAsia" w:ascii="仿宋" w:hAnsi="仿宋" w:eastAsia="仿宋" w:cs="仿宋"/>
          <w:i w:val="0"/>
          <w:iCs w:val="0"/>
          <w:caps w:val="0"/>
          <w:color w:val="333333"/>
          <w:spacing w:val="0"/>
          <w:kern w:val="0"/>
          <w:sz w:val="28"/>
          <w:szCs w:val="28"/>
          <w:shd w:val="clear" w:fill="FFFFFF"/>
          <w:lang w:val="en-US" w:eastAsia="zh-CN" w:bidi="ar"/>
        </w:rPr>
        <w:t>附件6：法定代表人身份授权书</w:t>
      </w:r>
    </w:p>
    <w:p w14:paraId="2FA4F7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14"/>
          <w:szCs w:val="14"/>
        </w:rPr>
      </w:pPr>
      <w:r>
        <w:rPr>
          <w:rFonts w:hint="eastAsia" w:ascii="仿宋" w:hAnsi="仿宋" w:eastAsia="仿宋" w:cs="仿宋"/>
          <w:i w:val="0"/>
          <w:iCs w:val="0"/>
          <w:caps w:val="0"/>
          <w:color w:val="333333"/>
          <w:spacing w:val="0"/>
          <w:kern w:val="0"/>
          <w:sz w:val="28"/>
          <w:szCs w:val="28"/>
          <w:shd w:val="clear" w:fill="FFFFFF"/>
          <w:lang w:val="en-US" w:eastAsia="zh-CN" w:bidi="ar"/>
        </w:rPr>
        <w:t>附件7：反商业贿赂承诺书</w:t>
      </w:r>
    </w:p>
    <w:p w14:paraId="084EA3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14"/>
          <w:szCs w:val="14"/>
        </w:rPr>
      </w:pPr>
      <w:r>
        <w:rPr>
          <w:rFonts w:hint="eastAsia" w:ascii="仿宋" w:hAnsi="仿宋" w:eastAsia="仿宋" w:cs="仿宋"/>
          <w:i w:val="0"/>
          <w:iCs w:val="0"/>
          <w:caps w:val="0"/>
          <w:color w:val="333333"/>
          <w:spacing w:val="0"/>
          <w:kern w:val="0"/>
          <w:sz w:val="28"/>
          <w:szCs w:val="28"/>
          <w:shd w:val="clear" w:fill="FFFFFF"/>
          <w:lang w:val="en-US" w:eastAsia="zh-CN" w:bidi="ar"/>
        </w:rPr>
        <w:t>附件8：参选机构遵守遴选纪律承诺书</w:t>
      </w:r>
    </w:p>
    <w:p w14:paraId="0D2571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333333"/>
          <w:spacing w:val="0"/>
          <w:sz w:val="14"/>
          <w:szCs w:val="14"/>
        </w:rPr>
      </w:pPr>
      <w:r>
        <w:rPr>
          <w:rFonts w:hint="eastAsia" w:ascii="仿宋" w:hAnsi="仿宋" w:eastAsia="仿宋" w:cs="仿宋"/>
          <w:i w:val="0"/>
          <w:iCs w:val="0"/>
          <w:caps w:val="0"/>
          <w:color w:val="333333"/>
          <w:spacing w:val="0"/>
          <w:kern w:val="0"/>
          <w:sz w:val="28"/>
          <w:szCs w:val="28"/>
          <w:shd w:val="clear" w:fill="FFFFFF"/>
          <w:lang w:val="en-US" w:eastAsia="zh-CN" w:bidi="ar"/>
        </w:rPr>
        <w:t>附件9：评审办法（综合评分明细表）</w:t>
      </w:r>
    </w:p>
    <w:p w14:paraId="53F8C9BF">
      <w:pPr>
        <w:rPr>
          <w:rFonts w:hint="eastAsia" w:ascii="仿宋" w:hAnsi="仿宋" w:eastAsia="仿宋"/>
          <w:b/>
          <w:sz w:val="32"/>
          <w:szCs w:val="28"/>
        </w:rPr>
      </w:pPr>
    </w:p>
    <w:p w14:paraId="5BA7D85E">
      <w:pPr>
        <w:outlineLvl w:val="9"/>
        <w:rPr>
          <w:rFonts w:hint="eastAsia" w:ascii="仿宋" w:hAnsi="仿宋" w:eastAsia="仿宋"/>
          <w:sz w:val="28"/>
          <w:szCs w:val="28"/>
        </w:rPr>
      </w:pPr>
    </w:p>
    <w:p w14:paraId="5B28A159">
      <w:pPr>
        <w:outlineLvl w:val="9"/>
        <w:rPr>
          <w:rFonts w:hint="eastAsia" w:ascii="仿宋" w:hAnsi="仿宋" w:eastAsia="仿宋"/>
          <w:sz w:val="28"/>
          <w:szCs w:val="28"/>
        </w:rPr>
      </w:pPr>
    </w:p>
    <w:p w14:paraId="6AB28AAD">
      <w:pPr>
        <w:outlineLvl w:val="9"/>
        <w:rPr>
          <w:rFonts w:hint="eastAsia" w:ascii="仿宋" w:hAnsi="仿宋" w:eastAsia="仿宋"/>
          <w:sz w:val="28"/>
          <w:szCs w:val="28"/>
        </w:rPr>
      </w:pPr>
    </w:p>
    <w:p w14:paraId="238EFA65">
      <w:pPr>
        <w:outlineLvl w:val="9"/>
        <w:rPr>
          <w:rFonts w:hint="eastAsia" w:ascii="仿宋" w:hAnsi="仿宋" w:eastAsia="仿宋"/>
          <w:sz w:val="28"/>
          <w:szCs w:val="28"/>
        </w:rPr>
      </w:pPr>
    </w:p>
    <w:p w14:paraId="005E89B5">
      <w:pPr>
        <w:outlineLvl w:val="9"/>
        <w:rPr>
          <w:rFonts w:hint="eastAsia" w:ascii="仿宋" w:hAnsi="仿宋" w:eastAsia="仿宋"/>
          <w:sz w:val="28"/>
          <w:szCs w:val="28"/>
        </w:rPr>
      </w:pPr>
    </w:p>
    <w:p w14:paraId="60B17B73">
      <w:pPr>
        <w:outlineLvl w:val="0"/>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1：</w:t>
      </w:r>
    </w:p>
    <w:p w14:paraId="79266D82">
      <w:pPr>
        <w:adjustRightInd w:val="0"/>
        <w:snapToGrid w:val="0"/>
        <w:spacing w:line="480" w:lineRule="auto"/>
        <w:ind w:firstLine="0" w:firstLineChars="0"/>
        <w:jc w:val="center"/>
        <w:outlineLvl w:val="9"/>
        <w:rPr>
          <w:rFonts w:hint="eastAsia" w:ascii="仿宋" w:hAnsi="仿宋" w:eastAsia="仿宋"/>
          <w:b/>
          <w:sz w:val="32"/>
          <w:szCs w:val="32"/>
        </w:rPr>
      </w:pPr>
      <w:r>
        <w:rPr>
          <w:rFonts w:hint="eastAsia" w:ascii="仿宋" w:hAnsi="仿宋" w:eastAsia="仿宋"/>
          <w:b/>
          <w:sz w:val="32"/>
          <w:szCs w:val="32"/>
        </w:rPr>
        <w:t>参选机构要求</w:t>
      </w:r>
    </w:p>
    <w:p w14:paraId="38FB6B2F">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一、总体要求</w:t>
      </w:r>
    </w:p>
    <w:p w14:paraId="1C33253D">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拟遴选一家孕妇外周血血浆游离DNA全基因组染色体高通量测序分析项目的第三方医学检测机构。</w:t>
      </w:r>
    </w:p>
    <w:p w14:paraId="08D5E5B0">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第三方医学检测机构负责承担我院孕妇外周血血浆游离DNA全基因组染色体高通量测序分析项目院外合作市场的项目开拓，并提供实验室检测、科研、运营管理、相关培训、物流配送（含样本的转运、检测报告和临床报告的发送）等综合服务；我院负责临床报告出具、技术指导、人员培训、质量控制和项目整体监管，提出每年的基本合作业务量，与第三方医学检测机构共同为我院项目合作医院体系的患者提供疾病筛查、诊断与治疗服务，共享合作成果，共同推动该技术惠及我省孕产妇及其家庭的民生发展。</w:t>
      </w:r>
    </w:p>
    <w:p w14:paraId="29DE411D">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二、合作模式</w:t>
      </w:r>
    </w:p>
    <w:p w14:paraId="44F42AE1">
      <w:pPr>
        <w:spacing w:line="360" w:lineRule="auto"/>
        <w:ind w:firstLine="560" w:firstLineChars="200"/>
        <w:jc w:val="both"/>
        <w:rPr>
          <w:rFonts w:hint="eastAsia" w:ascii="仿宋" w:hAnsi="仿宋" w:eastAsia="仿宋"/>
          <w:b/>
          <w:bCs/>
          <w:sz w:val="28"/>
          <w:szCs w:val="28"/>
          <w:highlight w:val="none"/>
          <w:lang w:val="en-US" w:eastAsia="zh-CN"/>
        </w:rPr>
      </w:pPr>
      <w:r>
        <w:rPr>
          <w:rFonts w:hint="eastAsia" w:ascii="仿宋" w:hAnsi="仿宋" w:eastAsia="仿宋"/>
          <w:sz w:val="28"/>
          <w:szCs w:val="28"/>
          <w:highlight w:val="none"/>
          <w:lang w:val="en-US" w:eastAsia="zh-CN"/>
        </w:rPr>
        <w:t>引入具备资质完善、综合实力较强的检测机构，由其负责承接我院孕妇外周血血浆游离DNA全基因组染色体高通量测序分析项目的院外合作需求、运营该项目在我院院外的医院合作体系，提升服务质量、增强体系学术支持、加强科学管理。同时，检测机构须严格按照相关政策要求，选择符合资质的产筛/产诊机构进行合作。我院可通过与第三方医学检测机构组成联合体的方式，参与有业务合作需求的基层机构公开招标活动，或通过市场认可的方式签署合作协议，在此种模式下，</w:t>
      </w:r>
      <w:r>
        <w:rPr>
          <w:rFonts w:hint="eastAsia" w:ascii="仿宋" w:hAnsi="仿宋" w:eastAsia="仿宋"/>
          <w:b/>
          <w:bCs/>
          <w:sz w:val="28"/>
          <w:szCs w:val="28"/>
          <w:highlight w:val="none"/>
          <w:lang w:val="en-US" w:eastAsia="zh-CN"/>
        </w:rPr>
        <w:t>基层合作机构可根据送检样本量分别向我院和第三方医学检测机构支付诊断服务费、实验室检测服务费。</w:t>
      </w:r>
    </w:p>
    <w:p w14:paraId="7F0D0CB7">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三、资质要求</w:t>
      </w:r>
    </w:p>
    <w:p w14:paraId="25A1A87E">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1.提供有效年检的营业执照（副本复印件）；</w:t>
      </w:r>
    </w:p>
    <w:p w14:paraId="1AE4EFBC">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2.法定代表人身份授权书（原件，格式见附件6）,法定代表人与授权代表身份证复印件；</w:t>
      </w:r>
    </w:p>
    <w:p w14:paraId="0AF82B0F">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3.医疗机构执业许可证（复印件）；</w:t>
      </w:r>
    </w:p>
    <w:p w14:paraId="057A46E0">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4.具备临床基因扩增检验实验室资质（以参选单位提供的临床检验主管部门出具的批复文件或实验室认定证书复印件为评审依据）；</w:t>
      </w:r>
    </w:p>
    <w:p w14:paraId="094AEC97">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具有良好的商业信誉和健全的财务会计制度（良好的商业信誉需要提供承诺函。健全的财务会计制度需提供2024年或2025年年度财务报表，参选单位注册时间截至报名文件递交截止日不足一年的，也可提供在工商备案的公司章程（复印件））；</w:t>
      </w:r>
    </w:p>
    <w:p w14:paraId="0DCCB39F">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6.具有履行合同所必需的设备和专业技术能力（提供承诺函）；</w:t>
      </w:r>
    </w:p>
    <w:p w14:paraId="0B136D11">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7.有依法缴纳税收和社会保障资金的良好记录（提供承诺函）；</w:t>
      </w:r>
    </w:p>
    <w:p w14:paraId="0FE91295">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8.近三年内，参选单位无任何行贿及犯罪记录，无任何负面新闻（提供承诺函原件）；</w:t>
      </w:r>
    </w:p>
    <w:p w14:paraId="06377E25">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9.近三年内，参选单位未在经营活动中因违法行为（包括消防安全等问题）受到刑事处罚、处以罚款或者没收财产5万元以上、责令停产停业、吊销许可证或者执照等行政处罚（提供承诺函原件）；</w:t>
      </w:r>
    </w:p>
    <w:p w14:paraId="652107E0">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10.反商业贿赂承诺书（附件7）；</w:t>
      </w:r>
    </w:p>
    <w:p w14:paraId="23205FFD">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11.参选单位遵守遴选纪律承诺书（提供承诺函原件，附件8）。</w:t>
      </w:r>
    </w:p>
    <w:p w14:paraId="027D45D7">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注：①5—11均提供承诺函原件或相关证明材料复印件并加盖公章。②参选单位应按遴选公告的规定和要求附上所有的资格证明文件，要求提供复印件的必须加盖单位公章，并在必要时提供原件备查。若提供的资格证明文件不全或不实，将导致其合作资格被取消。</w:t>
      </w:r>
      <w:r>
        <w:rPr>
          <w:rFonts w:hint="eastAsia" w:ascii="仿宋" w:hAnsi="仿宋" w:eastAsia="仿宋" w:cstheme="minorBidi"/>
          <w:i w:val="0"/>
          <w:iCs w:val="0"/>
          <w:caps w:val="0"/>
          <w:spacing w:val="0"/>
          <w:sz w:val="28"/>
          <w:szCs w:val="28"/>
          <w:highlight w:val="none"/>
          <w:shd w:val="clear"/>
        </w:rPr>
        <w:t>③本项目不接受联合体投标，且不允许分包或转包。</w:t>
      </w:r>
    </w:p>
    <w:p w14:paraId="6943E168">
      <w:pPr>
        <w:numPr>
          <w:ilvl w:val="0"/>
          <w:numId w:val="2"/>
        </w:num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技术服务要求</w:t>
      </w:r>
    </w:p>
    <w:p w14:paraId="28FE72E3">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本技术用于孕妇外周血血浆游离DNA全基因组染色体高通量测序分析项目的开展，参选单位检测平台可以支持除孕妇外周血胎儿游离DNA产前检测（NIPT）项目之外的临床应用（提供测序设备NMPA或CFDA认证相应证明）。</w:t>
      </w:r>
    </w:p>
    <w:p w14:paraId="136187A6">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▲2.参选单位有独立完成本项目的检测能力，提供各品牌测序设备权属证明（提供设备采购合同或购买发票、设备上机证明文件）。</w:t>
      </w:r>
    </w:p>
    <w:p w14:paraId="1F9DA946">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▲3.参选单位使用的试剂符合《医疗器械监督管理条例》和《医疗器械注册管理办法》等相关规定，经药品器械监督管理部门批准注册（提供试剂采购合同或购买发票、NMPA或CFDA认证相应证明）。</w:t>
      </w:r>
    </w:p>
    <w:p w14:paraId="37FC40E5">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▲4.检测内容包含染色体非整倍体，还包含至少90种缺失重复综合征（提供产品彩页或检测报告相关证明材料）。</w:t>
      </w:r>
    </w:p>
    <w:p w14:paraId="3889B973">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▲5.数据分析要求，参选单位需提供：</w:t>
      </w:r>
    </w:p>
    <w:p w14:paraId="2E31962A">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① 包含本地化样本管理、测序芯片管理、数据分析、结果审核等功能的胎儿染色体非整倍体数据分析系统。</w:t>
      </w:r>
    </w:p>
    <w:p w14:paraId="0501F0E2">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② 有单独的胎儿性别计算方法，并在软件中可提示胎儿染色体比例计算值。</w:t>
      </w:r>
    </w:p>
    <w:p w14:paraId="05A21F52">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③ 基于双端测序模式的数据，软件可提供多种方法和提示进行阳性样本的判断（如Z值、RC-GC图、散点图等）。</w:t>
      </w:r>
    </w:p>
    <w:p w14:paraId="63526E53">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（以上要求提供实际分析软件或分析数据的截图证明）</w:t>
      </w:r>
    </w:p>
    <w:p w14:paraId="7BDB5306">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6.为保证检测结果准确性，每样本的检测有效数据量大于20MReads（提供检测记录相应证明材料）。</w:t>
      </w:r>
    </w:p>
    <w:p w14:paraId="155A5649">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7.为满足检测样本量，参选单位检测设备满足单台测序设备、单次检测样本量≥20例（提供检测记录相应证明材料）。</w:t>
      </w:r>
    </w:p>
    <w:p w14:paraId="45ACF04E">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8.样本要求：可保证抽取5ml全血满足本项目检测的需求（提供相应证明资料）。</w:t>
      </w:r>
    </w:p>
    <w:p w14:paraId="168BCC9C">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 参选单位针对本项目配置的人员需符合四川省卫健委关于相关政策（川卫办发〔2017〕32号）中第一条第（二）款的要求：“其从事孕妇外周血胎儿游离DNA实验室检测技术服务的相关实验技术人员须符合《产前诊断技术管理办法》第八条的有关规定，且经省级及以上卫生计生行政部门认可的机构临床基因扩增检验技术专项培训并合格”（提供人员符合要求的培训合格证书及劳务在职证明）。</w:t>
      </w:r>
    </w:p>
    <w:p w14:paraId="7239B44E">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10.具备自有生物信息学团队和服务器计算资源（提供团队负责人及人员履历等证明材料）。</w:t>
      </w:r>
    </w:p>
    <w:p w14:paraId="2AC7185C">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 xml:space="preserve">▲11.参选单位具备较强的科研能力，参选单位（包含全资母公司和全资子公司）具备参与国家级科研项目并参与承担课题的能力（提供相应证明文件）。 </w:t>
      </w:r>
    </w:p>
    <w:p w14:paraId="63506764">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▲12.可提供专业的遗传咨询团队，团队有具备临床医师资质的人员，团队人员应参加过遗传咨询培训，并获得相关培训证书（提供团队成员简历、临床医师资质、员工在职证明及培训证书复印件为证）。</w:t>
      </w:r>
    </w:p>
    <w:p w14:paraId="1E9B406C">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13.检测报告时间:自采血至发放临床报告时间不超过15个工作日，其中发出因检测失败须重新采血通知的时间不超过10个工作日（提供产品彩页或承诺函）。</w:t>
      </w:r>
    </w:p>
    <w:p w14:paraId="45032196">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14.参选单位LIMS系统等信息系统与医院LIS系统对接并承担所有接口费用，</w:t>
      </w:r>
      <w:r>
        <w:rPr>
          <w:rFonts w:hint="eastAsia" w:ascii="仿宋" w:hAnsi="仿宋" w:eastAsia="仿宋" w:cstheme="minorBidi"/>
          <w:sz w:val="28"/>
          <w:szCs w:val="28"/>
          <w:highlight w:val="none"/>
        </w:rPr>
        <w:t>本项目报告系统需在医院院内部署</w:t>
      </w:r>
      <w:r>
        <w:rPr>
          <w:rFonts w:hint="eastAsia" w:ascii="仿宋" w:hAnsi="仿宋" w:eastAsia="仿宋" w:cstheme="minorBidi"/>
          <w:sz w:val="28"/>
          <w:szCs w:val="28"/>
          <w:highlight w:val="none"/>
          <w:lang w:eastAsia="zh-CN"/>
        </w:rPr>
        <w:t>，</w:t>
      </w:r>
      <w:r>
        <w:rPr>
          <w:rFonts w:hint="eastAsia" w:ascii="仿宋" w:hAnsi="仿宋" w:eastAsia="仿宋"/>
          <w:sz w:val="28"/>
          <w:szCs w:val="28"/>
          <w:highlight w:val="none"/>
          <w:lang w:val="en-US" w:eastAsia="zh-CN"/>
        </w:rPr>
        <w:t>满足医院医师实现在线完成审核,提供具备样本信息、检测信息、质控信息、检测结果等内容的系统截图等证明资料。</w:t>
      </w:r>
    </w:p>
    <w:p w14:paraId="5394F769">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15.协助医院提供受检孕妇追踪随访服务（提供承诺函）。</w:t>
      </w:r>
    </w:p>
    <w:p w14:paraId="14E4661E">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16.参选单位提供完善的冷链物流体系，具备专业冷链物流渠道和专用冷链箱（提供相关证明材料）。</w:t>
      </w:r>
    </w:p>
    <w:p w14:paraId="192E40C0">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17.提供受检者在线样本检测进度和报告查询系统（提供相关证明材料）。</w:t>
      </w:r>
    </w:p>
    <w:p w14:paraId="1E76D3E7">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18.为受检者提供保险保障措施（提供保险单模板及承诺书）。</w:t>
      </w:r>
    </w:p>
    <w:p w14:paraId="4FAC09B4">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19.根据医院实际科研需要，可在医院指定场所，安排实验技术支持人员及所需设备，协助医院搭建本项目科研所必要的技术条件及验证条件，产生的费用由参选单位承担（需提供相应承诺函，格式自拟）。</w:t>
      </w:r>
    </w:p>
    <w:p w14:paraId="15FD0E7E">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20.培训要求：根据医院要求针对检测流程、检测设备使用、技术原理等，提供与技术相关的培训（提供承诺函）。</w:t>
      </w:r>
    </w:p>
    <w:p w14:paraId="00B284E8">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注：以上20项均提供承诺函原件或证明材料复印件并加盖公章。</w:t>
      </w:r>
    </w:p>
    <w:p w14:paraId="24A11099">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五、商务要求</w:t>
      </w:r>
    </w:p>
    <w:p w14:paraId="0B3B7615">
      <w:pPr>
        <w:spacing w:line="360" w:lineRule="auto"/>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（一）报价要求</w:t>
      </w:r>
    </w:p>
    <w:p w14:paraId="180EAA94">
      <w:pPr>
        <w:spacing w:line="360" w:lineRule="auto"/>
        <w:ind w:firstLine="560" w:firstLineChars="200"/>
        <w:jc w:val="both"/>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1.院外产诊产筛医院模式：我院在本项目合作下的每一例收益分配不低于本项目在四川省各地物价收费标准的25%（不含25%）。</w:t>
      </w:r>
    </w:p>
    <w:p w14:paraId="24BB4646">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2.院外非资质医院转诊模式：我院在本项目合作下的每一例收益分配不低于四川省三甲医院物价收费标准的40%（不含40%）。</w:t>
      </w:r>
    </w:p>
    <w:p w14:paraId="571B6BF1">
      <w:pPr>
        <w:spacing w:line="360" w:lineRule="auto"/>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（二）运营目标：</w:t>
      </w:r>
      <w:r>
        <w:rPr>
          <w:rFonts w:hint="eastAsia" w:ascii="仿宋" w:hAnsi="仿宋" w:eastAsia="仿宋" w:cstheme="minorBidi"/>
          <w:color w:val="000000"/>
          <w:kern w:val="2"/>
          <w:sz w:val="28"/>
          <w:szCs w:val="28"/>
          <w:highlight w:val="none"/>
        </w:rPr>
        <w:t>合作期限内，</w:t>
      </w:r>
      <w:r>
        <w:rPr>
          <w:rFonts w:hint="eastAsia" w:ascii="仿宋" w:hAnsi="仿宋" w:eastAsia="仿宋" w:cstheme="minorBidi"/>
          <w:color w:val="000000"/>
          <w:kern w:val="2"/>
          <w:sz w:val="28"/>
          <w:szCs w:val="28"/>
          <w:highlight w:val="none"/>
          <w:lang w:eastAsia="zh-CN"/>
        </w:rPr>
        <w:t>参选单位运营</w:t>
      </w:r>
      <w:r>
        <w:rPr>
          <w:rFonts w:hint="eastAsia" w:ascii="仿宋" w:hAnsi="仿宋" w:eastAsia="仿宋" w:cstheme="minorBidi"/>
          <w:color w:val="000000"/>
          <w:sz w:val="28"/>
          <w:szCs w:val="28"/>
          <w:highlight w:val="none"/>
          <w:lang w:eastAsia="zh-CN"/>
        </w:rPr>
        <w:t>本</w:t>
      </w:r>
      <w:r>
        <w:rPr>
          <w:rFonts w:hint="eastAsia" w:ascii="仿宋" w:hAnsi="仿宋" w:eastAsia="仿宋" w:cstheme="minorBidi"/>
          <w:color w:val="000000"/>
          <w:sz w:val="28"/>
          <w:szCs w:val="28"/>
          <w:highlight w:val="none"/>
        </w:rPr>
        <w:t>项目</w:t>
      </w:r>
      <w:r>
        <w:rPr>
          <w:rFonts w:hint="eastAsia" w:ascii="仿宋" w:hAnsi="仿宋" w:eastAsia="仿宋" w:cstheme="minorBidi"/>
          <w:color w:val="000000"/>
          <w:kern w:val="2"/>
          <w:sz w:val="28"/>
          <w:szCs w:val="28"/>
          <w:highlight w:val="none"/>
          <w:lang w:eastAsia="zh-CN"/>
        </w:rPr>
        <w:t>院外市场标本</w:t>
      </w:r>
      <w:r>
        <w:rPr>
          <w:rFonts w:hint="eastAsia" w:ascii="仿宋" w:hAnsi="仿宋" w:eastAsia="仿宋" w:cstheme="minorBidi"/>
          <w:kern w:val="2"/>
          <w:sz w:val="28"/>
          <w:szCs w:val="28"/>
          <w:highlight w:val="none"/>
          <w:lang w:eastAsia="zh-CN"/>
        </w:rPr>
        <w:t>任务量为</w:t>
      </w:r>
      <w:r>
        <w:rPr>
          <w:rFonts w:hint="eastAsia" w:ascii="仿宋" w:hAnsi="仿宋" w:eastAsia="仿宋" w:cstheme="minorBidi"/>
          <w:color w:val="000000"/>
          <w:kern w:val="2"/>
          <w:sz w:val="28"/>
          <w:szCs w:val="28"/>
          <w:highlight w:val="none"/>
          <w:u w:val="none"/>
          <w:lang w:val="en-US" w:eastAsia="zh-CN"/>
        </w:rPr>
        <w:t>3000</w:t>
      </w:r>
      <w:r>
        <w:rPr>
          <w:rFonts w:hint="eastAsia" w:ascii="仿宋" w:hAnsi="仿宋" w:eastAsia="仿宋" w:cstheme="minorBidi"/>
          <w:color w:val="000000"/>
          <w:kern w:val="2"/>
          <w:sz w:val="28"/>
          <w:szCs w:val="28"/>
          <w:highlight w:val="none"/>
          <w:lang w:val="en-US" w:eastAsia="zh-CN"/>
        </w:rPr>
        <w:t>例</w:t>
      </w:r>
      <w:r>
        <w:rPr>
          <w:rFonts w:hint="eastAsia" w:ascii="仿宋" w:hAnsi="仿宋" w:eastAsia="仿宋" w:cstheme="minorBidi"/>
          <w:kern w:val="2"/>
          <w:sz w:val="28"/>
          <w:szCs w:val="28"/>
          <w:highlight w:val="none"/>
          <w:lang w:val="en-US" w:eastAsia="zh-CN"/>
        </w:rPr>
        <w:t>。</w:t>
      </w:r>
    </w:p>
    <w:p w14:paraId="090ED3FC">
      <w:pPr>
        <w:spacing w:line="360" w:lineRule="auto"/>
        <w:ind w:firstLine="560" w:firstLineChars="200"/>
        <w:rPr>
          <w:rFonts w:hint="eastAsia" w:ascii="仿宋" w:hAnsi="仿宋" w:eastAsia="仿宋" w:cstheme="minorBidi"/>
          <w:sz w:val="28"/>
          <w:szCs w:val="28"/>
          <w:highlight w:val="none"/>
          <w:u w:val="none"/>
          <w:lang w:eastAsia="zh-CN"/>
        </w:rPr>
      </w:pPr>
      <w:r>
        <w:rPr>
          <w:rFonts w:hint="eastAsia" w:ascii="仿宋" w:hAnsi="仿宋" w:eastAsia="仿宋" w:cstheme="minorBidi"/>
          <w:color w:val="auto"/>
          <w:sz w:val="28"/>
          <w:szCs w:val="28"/>
          <w:highlight w:val="none"/>
          <w:lang w:eastAsia="zh-CN"/>
        </w:rPr>
        <w:t>（三）</w:t>
      </w:r>
      <w:r>
        <w:rPr>
          <w:rFonts w:hint="eastAsia" w:ascii="仿宋" w:hAnsi="仿宋" w:eastAsia="仿宋"/>
          <w:color w:val="auto"/>
          <w:sz w:val="28"/>
          <w:szCs w:val="28"/>
          <w:highlight w:val="none"/>
          <w:lang w:val="en-US" w:eastAsia="zh-CN"/>
        </w:rPr>
        <w:t>履约保证金：</w:t>
      </w:r>
      <w:r>
        <w:rPr>
          <w:rFonts w:hint="eastAsia" w:ascii="仿宋" w:hAnsi="仿宋" w:eastAsia="仿宋" w:cstheme="minorBidi"/>
          <w:color w:val="auto"/>
          <w:sz w:val="28"/>
          <w:szCs w:val="28"/>
          <w:highlight w:val="none"/>
          <w:lang w:eastAsia="zh-CN"/>
        </w:rPr>
        <w:t>参选</w:t>
      </w:r>
      <w:r>
        <w:rPr>
          <w:rFonts w:hint="eastAsia" w:ascii="仿宋" w:hAnsi="仿宋" w:eastAsia="仿宋" w:cstheme="minorBidi"/>
          <w:color w:val="000000"/>
          <w:kern w:val="2"/>
          <w:sz w:val="28"/>
          <w:szCs w:val="28"/>
          <w:highlight w:val="none"/>
          <w:lang w:eastAsia="zh-CN"/>
        </w:rPr>
        <w:t>单位</w:t>
      </w:r>
      <w:r>
        <w:rPr>
          <w:rFonts w:hint="eastAsia" w:ascii="仿宋" w:hAnsi="仿宋" w:eastAsia="仿宋" w:cstheme="minorBidi"/>
          <w:color w:val="auto"/>
          <w:sz w:val="28"/>
          <w:szCs w:val="28"/>
          <w:highlight w:val="none"/>
        </w:rPr>
        <w:t>应在本协议签订后5日内一次性向</w:t>
      </w:r>
      <w:r>
        <w:rPr>
          <w:rFonts w:hint="eastAsia" w:ascii="仿宋" w:hAnsi="仿宋" w:eastAsia="仿宋" w:cstheme="minorBidi"/>
          <w:color w:val="auto"/>
          <w:sz w:val="28"/>
          <w:szCs w:val="28"/>
          <w:highlight w:val="none"/>
          <w:lang w:eastAsia="zh-CN"/>
        </w:rPr>
        <w:t>我院</w:t>
      </w:r>
      <w:r>
        <w:rPr>
          <w:rFonts w:hint="eastAsia" w:ascii="仿宋" w:hAnsi="仿宋" w:eastAsia="仿宋" w:cstheme="minorBidi"/>
          <w:color w:val="auto"/>
          <w:sz w:val="28"/>
          <w:szCs w:val="28"/>
          <w:highlight w:val="none"/>
        </w:rPr>
        <w:t>缴纳履约保证金人民币</w:t>
      </w:r>
      <w:r>
        <w:rPr>
          <w:rFonts w:hint="eastAsia" w:ascii="仿宋" w:hAnsi="仿宋" w:eastAsia="仿宋" w:cstheme="minorBidi"/>
          <w:color w:val="auto"/>
          <w:sz w:val="28"/>
          <w:szCs w:val="28"/>
          <w:highlight w:val="none"/>
          <w:u w:val="none"/>
          <w:lang w:val="en-US" w:eastAsia="zh-CN"/>
        </w:rPr>
        <w:t>10</w:t>
      </w:r>
      <w:r>
        <w:rPr>
          <w:rFonts w:hint="eastAsia" w:ascii="仿宋" w:hAnsi="仿宋" w:eastAsia="仿宋" w:cstheme="minorBidi"/>
          <w:color w:val="auto"/>
          <w:sz w:val="28"/>
          <w:szCs w:val="28"/>
          <w:highlight w:val="none"/>
          <w:u w:val="none"/>
        </w:rPr>
        <w:t>万元</w:t>
      </w:r>
      <w:r>
        <w:rPr>
          <w:rFonts w:hint="eastAsia" w:ascii="仿宋" w:hAnsi="仿宋" w:eastAsia="仿宋" w:cstheme="minorBidi"/>
          <w:color w:val="auto"/>
          <w:sz w:val="28"/>
          <w:szCs w:val="28"/>
          <w:highlight w:val="none"/>
          <w:u w:val="none"/>
          <w:lang w:eastAsia="zh-CN"/>
        </w:rPr>
        <w:t>，</w:t>
      </w:r>
      <w:r>
        <w:rPr>
          <w:rFonts w:hint="eastAsia" w:ascii="仿宋" w:hAnsi="仿宋" w:eastAsia="仿宋" w:cstheme="minorBidi"/>
          <w:sz w:val="28"/>
          <w:szCs w:val="28"/>
          <w:highlight w:val="none"/>
          <w:u w:val="none"/>
          <w:lang w:eastAsia="zh-CN"/>
        </w:rPr>
        <w:t>若在合作期限内未完成运营目标（即院外市场标本数量未达到</w:t>
      </w:r>
      <w:r>
        <w:rPr>
          <w:rFonts w:hint="eastAsia" w:ascii="仿宋" w:hAnsi="仿宋" w:eastAsia="仿宋" w:cstheme="minorBidi"/>
          <w:sz w:val="28"/>
          <w:szCs w:val="28"/>
          <w:highlight w:val="none"/>
          <w:u w:val="none"/>
          <w:lang w:val="en-US" w:eastAsia="zh-CN"/>
        </w:rPr>
        <w:t>30</w:t>
      </w:r>
      <w:r>
        <w:rPr>
          <w:rFonts w:hint="eastAsia" w:ascii="仿宋" w:hAnsi="仿宋" w:eastAsia="仿宋" w:cstheme="minorBidi"/>
          <w:sz w:val="28"/>
          <w:szCs w:val="28"/>
          <w:highlight w:val="none"/>
          <w:u w:val="none"/>
          <w:lang w:eastAsia="zh-CN"/>
        </w:rPr>
        <w:t>00例），则每少完成1例，履约保证金扣除人民币500元。若实际完成标本数量低于</w:t>
      </w:r>
      <w:r>
        <w:rPr>
          <w:rFonts w:hint="eastAsia" w:ascii="仿宋" w:hAnsi="仿宋" w:eastAsia="仿宋" w:cstheme="minorBidi"/>
          <w:sz w:val="28"/>
          <w:szCs w:val="28"/>
          <w:highlight w:val="none"/>
          <w:u w:val="none"/>
          <w:lang w:val="en-US" w:eastAsia="zh-CN"/>
        </w:rPr>
        <w:t>2800</w:t>
      </w:r>
      <w:r>
        <w:rPr>
          <w:rFonts w:hint="eastAsia" w:ascii="仿宋" w:hAnsi="仿宋" w:eastAsia="仿宋" w:cstheme="minorBidi"/>
          <w:sz w:val="28"/>
          <w:szCs w:val="28"/>
          <w:highlight w:val="none"/>
          <w:u w:val="none"/>
          <w:lang w:eastAsia="zh-CN"/>
        </w:rPr>
        <w:t>例，扣除全部履约保证金。在完成运营目标且无其他违约行为的情况下，履约保证金将在合作期满后的30个工作日内无息退还。</w:t>
      </w:r>
    </w:p>
    <w:p w14:paraId="61823615">
      <w:pPr>
        <w:spacing w:line="360" w:lineRule="auto"/>
        <w:ind w:firstLine="562" w:firstLineChars="200"/>
        <w:rPr>
          <w:rFonts w:hint="eastAsia" w:ascii="仿宋" w:hAnsi="仿宋" w:eastAsia="仿宋" w:cstheme="minorBidi"/>
          <w:b/>
          <w:bCs/>
          <w:color w:val="auto"/>
          <w:kern w:val="2"/>
          <w:sz w:val="28"/>
          <w:szCs w:val="28"/>
          <w:highlight w:val="none"/>
          <w:lang w:eastAsia="zh-CN"/>
        </w:rPr>
      </w:pPr>
      <w:r>
        <w:rPr>
          <w:rFonts w:hint="eastAsia" w:ascii="仿宋" w:hAnsi="仿宋" w:eastAsia="仿宋" w:cstheme="minorBidi"/>
          <w:b/>
          <w:bCs/>
          <w:kern w:val="2"/>
          <w:sz w:val="28"/>
          <w:szCs w:val="28"/>
          <w:highlight w:val="none"/>
          <w:lang w:eastAsia="zh-CN"/>
        </w:rPr>
        <w:t>备注：五、商务要求属于实质性响应条款，参选单位均需提供承诺函加盖单位公章，格式自拟。</w:t>
      </w:r>
      <w:r>
        <w:rPr>
          <w:rFonts w:hint="eastAsia" w:ascii="仿宋" w:hAnsi="仿宋" w:eastAsia="仿宋" w:cstheme="minorBidi"/>
          <w:b/>
          <w:bCs/>
          <w:i w:val="0"/>
          <w:iCs w:val="0"/>
          <w:caps w:val="0"/>
          <w:color w:val="auto"/>
          <w:spacing w:val="0"/>
          <w:sz w:val="28"/>
          <w:szCs w:val="28"/>
          <w:highlight w:val="none"/>
          <w:shd w:val="clear" w:fill="auto"/>
        </w:rPr>
        <w:t>未满足实质性响应条款的，将被列为无效参选单位。</w:t>
      </w:r>
    </w:p>
    <w:p w14:paraId="27266BBF">
      <w:pPr>
        <w:spacing w:line="360" w:lineRule="auto"/>
        <w:ind w:firstLine="562" w:firstLineChars="200"/>
        <w:jc w:val="both"/>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六、合作期限</w:t>
      </w:r>
    </w:p>
    <w:p w14:paraId="66715599">
      <w:pPr>
        <w:keepNext w:val="0"/>
        <w:keepLines w:val="0"/>
        <w:widowControl/>
        <w:suppressLineNumbers w:val="0"/>
        <w:spacing w:line="360" w:lineRule="auto"/>
        <w:ind w:firstLine="560" w:firstLineChars="200"/>
        <w:jc w:val="left"/>
        <w:rPr>
          <w:rFonts w:hint="eastAsia" w:ascii="仿宋" w:hAnsi="仿宋" w:eastAsia="仿宋"/>
          <w:sz w:val="28"/>
          <w:szCs w:val="28"/>
          <w:highlight w:val="none"/>
          <w:u w:val="none"/>
        </w:rPr>
      </w:pPr>
      <w:r>
        <w:rPr>
          <w:rFonts w:hint="eastAsia" w:ascii="仿宋" w:hAnsi="仿宋" w:eastAsia="仿宋"/>
          <w:sz w:val="28"/>
          <w:szCs w:val="28"/>
          <w:highlight w:val="none"/>
          <w:u w:val="none"/>
          <w:lang w:val="en-US" w:eastAsia="zh-CN"/>
        </w:rPr>
        <w:t>项目服务期限：1年。</w:t>
      </w:r>
      <w:r>
        <w:rPr>
          <w:rFonts w:hint="eastAsia" w:ascii="仿宋" w:hAnsi="仿宋" w:eastAsia="仿宋"/>
          <w:sz w:val="28"/>
          <w:szCs w:val="28"/>
          <w:highlight w:val="none"/>
          <w:u w:val="none"/>
          <w:lang w:bidi="ar"/>
        </w:rPr>
        <w:t>若我院</w:t>
      </w:r>
      <w:r>
        <w:rPr>
          <w:rFonts w:hint="eastAsia" w:ascii="仿宋" w:hAnsi="仿宋" w:eastAsia="仿宋"/>
          <w:sz w:val="28"/>
          <w:szCs w:val="28"/>
          <w:highlight w:val="none"/>
          <w:u w:val="none"/>
          <w:lang w:val="en-US" w:eastAsia="zh-CN" w:bidi="ar"/>
        </w:rPr>
        <w:t>在此期间能够自主开展该项目</w:t>
      </w:r>
      <w:r>
        <w:rPr>
          <w:rFonts w:hint="eastAsia" w:ascii="仿宋" w:hAnsi="仿宋" w:eastAsia="仿宋"/>
          <w:sz w:val="28"/>
          <w:szCs w:val="28"/>
          <w:highlight w:val="none"/>
          <w:u w:val="none"/>
          <w:lang w:bidi="ar"/>
        </w:rPr>
        <w:t>，</w:t>
      </w:r>
      <w:r>
        <w:rPr>
          <w:rFonts w:hint="eastAsia" w:ascii="仿宋" w:hAnsi="仿宋" w:eastAsia="仿宋"/>
          <w:sz w:val="28"/>
          <w:szCs w:val="28"/>
          <w:highlight w:val="none"/>
          <w:u w:val="none"/>
          <w:lang w:val="en-US" w:eastAsia="zh-CN" w:bidi="ar"/>
        </w:rPr>
        <w:t>及时</w:t>
      </w:r>
      <w:r>
        <w:rPr>
          <w:rFonts w:hint="eastAsia" w:ascii="仿宋" w:hAnsi="仿宋" w:eastAsia="仿宋"/>
          <w:sz w:val="28"/>
          <w:szCs w:val="28"/>
          <w:highlight w:val="none"/>
          <w:u w:val="none"/>
          <w:lang w:bidi="ar"/>
        </w:rPr>
        <w:t>终止与合作方的合作关系。</w:t>
      </w:r>
    </w:p>
    <w:p w14:paraId="7C38AB21">
      <w:pPr>
        <w:spacing w:line="360" w:lineRule="auto"/>
        <w:ind w:firstLine="562" w:firstLineChars="200"/>
        <w:rPr>
          <w:rFonts w:hint="eastAsia" w:ascii="仿宋" w:hAnsi="仿宋" w:eastAsia="仿宋" w:cstheme="minorBidi"/>
          <w:b/>
          <w:bCs/>
          <w:color w:val="auto"/>
          <w:kern w:val="2"/>
          <w:sz w:val="28"/>
          <w:szCs w:val="28"/>
          <w:highlight w:val="none"/>
          <w:lang w:eastAsia="zh-CN"/>
        </w:rPr>
      </w:pPr>
      <w:r>
        <w:rPr>
          <w:rFonts w:hint="eastAsia" w:ascii="仿宋" w:hAnsi="仿宋" w:eastAsia="仿宋" w:cstheme="minorBidi"/>
          <w:b/>
          <w:bCs/>
          <w:kern w:val="2"/>
          <w:sz w:val="28"/>
          <w:szCs w:val="28"/>
          <w:highlight w:val="none"/>
          <w:lang w:eastAsia="zh-CN"/>
        </w:rPr>
        <w:t>备注：</w:t>
      </w:r>
      <w:r>
        <w:rPr>
          <w:rFonts w:hint="eastAsia" w:ascii="仿宋" w:hAnsi="仿宋" w:eastAsia="仿宋"/>
          <w:b/>
          <w:bCs/>
          <w:sz w:val="28"/>
          <w:szCs w:val="28"/>
          <w:highlight w:val="none"/>
          <w:lang w:val="en-US" w:eastAsia="zh-CN"/>
        </w:rPr>
        <w:t xml:space="preserve">六、合作期限 </w:t>
      </w:r>
      <w:r>
        <w:rPr>
          <w:rFonts w:hint="eastAsia" w:ascii="仿宋" w:hAnsi="仿宋" w:eastAsia="仿宋" w:cstheme="minorBidi"/>
          <w:b/>
          <w:bCs/>
          <w:kern w:val="2"/>
          <w:sz w:val="28"/>
          <w:szCs w:val="28"/>
          <w:highlight w:val="none"/>
          <w:lang w:eastAsia="zh-CN"/>
        </w:rPr>
        <w:t>属于实质性响应条款，参选单位需提供承诺函加盖单位公章，格式自拟。</w:t>
      </w:r>
      <w:r>
        <w:rPr>
          <w:rFonts w:hint="eastAsia" w:ascii="仿宋" w:hAnsi="仿宋" w:eastAsia="仿宋" w:cstheme="minorBidi"/>
          <w:b/>
          <w:bCs/>
          <w:i w:val="0"/>
          <w:iCs w:val="0"/>
          <w:caps w:val="0"/>
          <w:color w:val="auto"/>
          <w:spacing w:val="0"/>
          <w:sz w:val="28"/>
          <w:szCs w:val="28"/>
          <w:highlight w:val="none"/>
          <w:shd w:val="clear" w:fill="auto"/>
        </w:rPr>
        <w:t>未满足实质性响应条款的，将被列为无效参选单位。</w:t>
      </w:r>
    </w:p>
    <w:p w14:paraId="2427BBC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heme="minorBidi"/>
          <w:i w:val="0"/>
          <w:iCs w:val="0"/>
          <w:caps w:val="0"/>
          <w:color w:val="auto"/>
          <w:spacing w:val="0"/>
          <w:sz w:val="28"/>
          <w:szCs w:val="28"/>
          <w:highlight w:val="none"/>
          <w:u w:val="none"/>
          <w:shd w:val="clear" w:color="auto" w:fill="auto"/>
          <w:lang w:bidi="ar"/>
        </w:rPr>
      </w:pPr>
    </w:p>
    <w:p w14:paraId="1A191079">
      <w:pPr>
        <w:spacing w:line="360" w:lineRule="auto"/>
        <w:ind w:firstLine="0" w:firstLineChars="0"/>
        <w:jc w:val="both"/>
        <w:rPr>
          <w:rFonts w:hint="eastAsia" w:ascii="仿宋" w:hAnsi="仿宋" w:eastAsia="仿宋"/>
          <w:sz w:val="28"/>
          <w:szCs w:val="28"/>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0E0804F9">
      <w:pPr>
        <w:adjustRightInd w:val="0"/>
        <w:snapToGrid w:val="0"/>
        <w:spacing w:line="480" w:lineRule="auto"/>
        <w:ind w:firstLine="0"/>
        <w:jc w:val="both"/>
        <w:outlineLvl w:val="0"/>
        <w:rPr>
          <w:rFonts w:hint="default" w:ascii="仿宋" w:hAnsi="仿宋" w:eastAsia="仿宋"/>
          <w:b w:val="0"/>
          <w:bCs/>
          <w:sz w:val="28"/>
          <w:szCs w:val="24"/>
          <w:lang w:val="en-US" w:eastAsia="zh-CN"/>
        </w:rPr>
      </w:pPr>
      <w:r>
        <w:rPr>
          <w:rFonts w:hint="eastAsia" w:ascii="仿宋" w:hAnsi="仿宋" w:eastAsia="仿宋"/>
          <w:b w:val="0"/>
          <w:bCs/>
          <w:sz w:val="28"/>
          <w:szCs w:val="24"/>
          <w:lang w:val="en-US" w:eastAsia="zh-CN"/>
        </w:rPr>
        <w:t>附件2：</w:t>
      </w:r>
    </w:p>
    <w:p w14:paraId="139BEEF4">
      <w:pPr>
        <w:adjustRightInd w:val="0"/>
        <w:snapToGrid w:val="0"/>
        <w:spacing w:line="480" w:lineRule="auto"/>
        <w:ind w:firstLine="0" w:firstLineChars="0"/>
        <w:jc w:val="center"/>
        <w:outlineLvl w:val="9"/>
        <w:rPr>
          <w:rFonts w:hint="eastAsia" w:ascii="仿宋" w:hAnsi="仿宋" w:eastAsia="仿宋"/>
          <w:b/>
          <w:sz w:val="32"/>
          <w:szCs w:val="28"/>
        </w:rPr>
      </w:pPr>
      <w:r>
        <w:rPr>
          <w:rFonts w:hint="eastAsia" w:ascii="仿宋" w:hAnsi="仿宋" w:eastAsia="仿宋"/>
          <w:b/>
          <w:sz w:val="32"/>
          <w:szCs w:val="28"/>
        </w:rPr>
        <w:t>合作方案基本格式</w:t>
      </w:r>
    </w:p>
    <w:p w14:paraId="4A0D0096">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至少需包括(不限于)以下内容</w:t>
      </w:r>
    </w:p>
    <w:p w14:paraId="0C47E7BB">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1.整体服务流程；</w:t>
      </w:r>
    </w:p>
    <w:p w14:paraId="47C1757D">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2.标本接收方案（包括样本采集、标本收取、标本运输）；</w:t>
      </w:r>
    </w:p>
    <w:p w14:paraId="182A432A">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3.检测工作流程及检测结果报告方法；</w:t>
      </w:r>
    </w:p>
    <w:p w14:paraId="675D901A">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4.技术支持方案（至少包含孕妇追踪随访服务流程及承诺函）；</w:t>
      </w:r>
    </w:p>
    <w:p w14:paraId="3E0A7AE6">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5.技术培训方案；</w:t>
      </w:r>
    </w:p>
    <w:p w14:paraId="53A4F1EB">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6.服务质量保障措施；</w:t>
      </w:r>
    </w:p>
    <w:p w14:paraId="6FF8390E">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7.应急方案（结果异议、报告丢失、标本丢失、医院急诊项目服务、提供特急标本优先加急特事特办服务）；</w:t>
      </w:r>
    </w:p>
    <w:p w14:paraId="22D8AD8F">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8.院外拓展方案及在四川的合作医院资源；</w:t>
      </w:r>
    </w:p>
    <w:p w14:paraId="1775F1BA">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9.</w:t>
      </w:r>
      <w:r>
        <w:rPr>
          <w:rFonts w:hint="eastAsia" w:ascii="仿宋" w:hAnsi="仿宋" w:eastAsia="仿宋" w:cs="仿宋"/>
          <w:color w:val="000000"/>
          <w:sz w:val="28"/>
          <w:lang w:eastAsia="zh-CN"/>
        </w:rPr>
        <w:t>科研方案（</w:t>
      </w:r>
      <w:r>
        <w:rPr>
          <w:rFonts w:hint="eastAsia" w:ascii="仿宋" w:hAnsi="仿宋" w:eastAsia="仿宋" w:cs="仿宋"/>
          <w:color w:val="000000"/>
          <w:sz w:val="28"/>
        </w:rPr>
        <w:t>包括以下内容：背景、研究内容、创新性、研究方案、技术路线</w:t>
      </w:r>
      <w:r>
        <w:rPr>
          <w:rFonts w:hint="eastAsia" w:ascii="仿宋" w:hAnsi="仿宋" w:eastAsia="仿宋" w:cs="仿宋"/>
          <w:color w:val="000000"/>
          <w:sz w:val="28"/>
          <w:lang w:eastAsia="zh-CN"/>
        </w:rPr>
        <w:t>）</w:t>
      </w:r>
      <w:r>
        <w:rPr>
          <w:rFonts w:hint="eastAsia" w:ascii="仿宋" w:hAnsi="仿宋" w:eastAsia="仿宋" w:cs="仿宋"/>
          <w:color w:val="000000"/>
          <w:sz w:val="28"/>
        </w:rPr>
        <w:t>。</w:t>
      </w:r>
    </w:p>
    <w:p w14:paraId="5620D00E">
      <w:pPr>
        <w:pStyle w:val="5"/>
      </w:pPr>
    </w:p>
    <w:p w14:paraId="72C99256">
      <w:pPr>
        <w:pStyle w:val="5"/>
      </w:pPr>
    </w:p>
    <w:p w14:paraId="314CD5A0">
      <w:pPr>
        <w:pStyle w:val="5"/>
      </w:pPr>
    </w:p>
    <w:p w14:paraId="5B3B7750">
      <w:pPr>
        <w:pStyle w:val="5"/>
      </w:pPr>
    </w:p>
    <w:p w14:paraId="12274940">
      <w:pPr>
        <w:pStyle w:val="5"/>
      </w:pPr>
    </w:p>
    <w:p w14:paraId="41DE5A4A">
      <w:pPr>
        <w:pStyle w:val="5"/>
      </w:pPr>
    </w:p>
    <w:p w14:paraId="03142D8E">
      <w:pPr>
        <w:pStyle w:val="5"/>
      </w:pPr>
    </w:p>
    <w:p w14:paraId="712BB58C">
      <w:pPr>
        <w:pStyle w:val="5"/>
      </w:pPr>
    </w:p>
    <w:p w14:paraId="7000209F">
      <w:pPr>
        <w:pStyle w:val="5"/>
      </w:pPr>
    </w:p>
    <w:p w14:paraId="3EBAA837">
      <w:pPr>
        <w:pStyle w:val="5"/>
      </w:pPr>
    </w:p>
    <w:p w14:paraId="0F35DF1D">
      <w:pPr>
        <w:pStyle w:val="5"/>
      </w:pPr>
    </w:p>
    <w:p w14:paraId="35383D7F">
      <w:pPr>
        <w:pStyle w:val="5"/>
      </w:pPr>
    </w:p>
    <w:p w14:paraId="020D2860">
      <w:pPr>
        <w:pStyle w:val="5"/>
      </w:pPr>
    </w:p>
    <w:p w14:paraId="35CBA134">
      <w:pPr>
        <w:pStyle w:val="5"/>
      </w:pPr>
    </w:p>
    <w:p w14:paraId="5765B64B">
      <w:pPr>
        <w:pStyle w:val="5"/>
      </w:pPr>
    </w:p>
    <w:p w14:paraId="70523311">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3</w:t>
      </w:r>
      <w:r>
        <w:rPr>
          <w:rFonts w:ascii="仿宋" w:hAnsi="仿宋" w:eastAsia="仿宋"/>
          <w:sz w:val="28"/>
          <w:szCs w:val="28"/>
        </w:rPr>
        <w:t>：</w:t>
      </w:r>
    </w:p>
    <w:p w14:paraId="279E8197">
      <w:pPr>
        <w:adjustRightInd w:val="0"/>
        <w:snapToGrid w:val="0"/>
        <w:spacing w:line="480" w:lineRule="auto"/>
        <w:ind w:firstLine="0" w:firstLineChars="0"/>
        <w:jc w:val="center"/>
        <w:rPr>
          <w:rFonts w:hint="eastAsia" w:ascii="仿宋" w:hAnsi="仿宋" w:eastAsia="仿宋" w:cstheme="minorBidi"/>
          <w:b/>
          <w:spacing w:val="0"/>
          <w:sz w:val="32"/>
          <w:szCs w:val="28"/>
          <w:lang w:eastAsia="zh-CN"/>
        </w:rPr>
      </w:pPr>
      <w:r>
        <w:rPr>
          <w:rFonts w:hint="eastAsia" w:ascii="仿宋" w:hAnsi="仿宋" w:eastAsia="仿宋" w:cstheme="minorBidi"/>
          <w:b/>
          <w:spacing w:val="0"/>
          <w:sz w:val="32"/>
          <w:szCs w:val="28"/>
          <w:lang w:eastAsia="zh-CN"/>
        </w:rPr>
        <w:t>报价</w:t>
      </w:r>
    </w:p>
    <w:tbl>
      <w:tblPr>
        <w:tblStyle w:val="18"/>
        <w:tblpPr w:leftFromText="180" w:rightFromText="180" w:vertAnchor="text" w:horzAnchor="page" w:tblpX="1460" w:tblpY="224"/>
        <w:tblOverlap w:val="never"/>
        <w:tblW w:w="9815" w:type="dxa"/>
        <w:tblInd w:w="0" w:type="dxa"/>
        <w:tblLayout w:type="fixed"/>
        <w:tblCellMar>
          <w:top w:w="0" w:type="dxa"/>
          <w:left w:w="10" w:type="dxa"/>
          <w:bottom w:w="0" w:type="dxa"/>
          <w:right w:w="10" w:type="dxa"/>
        </w:tblCellMar>
      </w:tblPr>
      <w:tblGrid>
        <w:gridCol w:w="2657"/>
        <w:gridCol w:w="3858"/>
        <w:gridCol w:w="3300"/>
      </w:tblGrid>
      <w:tr w14:paraId="120DEC7E">
        <w:tblPrEx>
          <w:tblCellMar>
            <w:top w:w="0" w:type="dxa"/>
            <w:left w:w="10" w:type="dxa"/>
            <w:bottom w:w="0" w:type="dxa"/>
            <w:right w:w="10" w:type="dxa"/>
          </w:tblCellMar>
        </w:tblPrEx>
        <w:trPr>
          <w:trHeight w:val="1936" w:hRule="atLeast"/>
        </w:trPr>
        <w:tc>
          <w:tcPr>
            <w:tcW w:w="2657" w:type="dxa"/>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34700022">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项目</w:t>
            </w:r>
          </w:p>
        </w:tc>
        <w:tc>
          <w:tcPr>
            <w:tcW w:w="3858" w:type="dxa"/>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7BBFAA74">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报价</w:t>
            </w:r>
          </w:p>
        </w:tc>
        <w:tc>
          <w:tcPr>
            <w:tcW w:w="3300" w:type="dxa"/>
            <w:tcBorders>
              <w:top w:val="single" w:color="000000" w:sz="8"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646583E5">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备注</w:t>
            </w:r>
          </w:p>
        </w:tc>
      </w:tr>
      <w:tr w14:paraId="5A5AE84D">
        <w:tblPrEx>
          <w:tblCellMar>
            <w:top w:w="0" w:type="dxa"/>
            <w:left w:w="10" w:type="dxa"/>
            <w:bottom w:w="0" w:type="dxa"/>
            <w:right w:w="10" w:type="dxa"/>
          </w:tblCellMar>
        </w:tblPrEx>
        <w:trPr>
          <w:trHeight w:val="2153" w:hRule="atLeast"/>
        </w:trPr>
        <w:tc>
          <w:tcPr>
            <w:tcW w:w="2657" w:type="dxa"/>
            <w:vMerge w:val="restart"/>
            <w:tcBorders>
              <w:top w:val="single" w:color="000000" w:sz="0" w:space="0"/>
              <w:left w:val="single" w:color="000000" w:sz="0" w:space="0"/>
              <w:right w:val="single" w:color="000000" w:sz="8" w:space="0"/>
            </w:tcBorders>
            <w:shd w:val="clear" w:color="000000" w:fill="FFFFFF"/>
            <w:tcMar>
              <w:left w:w="108" w:type="dxa"/>
              <w:right w:w="108" w:type="dxa"/>
            </w:tcMar>
            <w:vAlign w:val="center"/>
          </w:tcPr>
          <w:p w14:paraId="7A39D5E9">
            <w:pPr>
              <w:spacing w:line="360" w:lineRule="auto"/>
              <w:jc w:val="both"/>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孕妇外周血血浆游离DNA全基因组染色体高通量测序分析项目院外合作医院体系综合服务</w:t>
            </w:r>
          </w:p>
        </w:tc>
        <w:tc>
          <w:tcPr>
            <w:tcW w:w="3858" w:type="dxa"/>
            <w:tcBorders>
              <w:top w:val="single" w:color="000000" w:sz="0" w:space="0"/>
              <w:left w:val="single" w:color="000000" w:sz="0" w:space="0"/>
              <w:bottom w:val="single" w:color="auto" w:sz="4" w:space="0"/>
              <w:right w:val="single" w:color="000000" w:sz="8" w:space="0"/>
            </w:tcBorders>
            <w:shd w:val="clear" w:color="000000" w:fill="FFFFFF"/>
            <w:tcMar>
              <w:left w:w="108" w:type="dxa"/>
              <w:right w:w="108" w:type="dxa"/>
            </w:tcMar>
            <w:vAlign w:val="center"/>
          </w:tcPr>
          <w:p w14:paraId="17C0B634">
            <w:pPr>
              <w:spacing w:line="360" w:lineRule="auto"/>
              <w:jc w:val="both"/>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1.院外产诊产筛医院模式：我院每例收益占四川省各地物价收费标准的比例为</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lang w:val="en-US" w:eastAsia="zh-CN"/>
              </w:rPr>
              <w:t xml:space="preserve"> %</w:t>
            </w:r>
          </w:p>
          <w:p w14:paraId="653844B1">
            <w:pPr>
              <w:spacing w:line="360" w:lineRule="auto"/>
              <w:jc w:val="both"/>
              <w:rPr>
                <w:rFonts w:hint="eastAsia" w:ascii="仿宋" w:hAnsi="仿宋" w:eastAsia="仿宋"/>
                <w:sz w:val="24"/>
                <w:szCs w:val="24"/>
                <w:highlight w:val="none"/>
                <w:lang w:val="en-US" w:eastAsia="zh-CN"/>
              </w:rPr>
            </w:pPr>
          </w:p>
        </w:tc>
        <w:tc>
          <w:tcPr>
            <w:tcW w:w="3300" w:type="dxa"/>
            <w:tcBorders>
              <w:top w:val="single" w:color="000000" w:sz="0" w:space="0"/>
              <w:left w:val="single" w:color="000000" w:sz="0" w:space="0"/>
              <w:bottom w:val="single" w:color="auto" w:sz="4" w:space="0"/>
              <w:right w:val="single" w:color="000000" w:sz="8" w:space="0"/>
            </w:tcBorders>
            <w:shd w:val="clear" w:color="000000" w:fill="FFFFFF"/>
            <w:tcMar>
              <w:left w:w="108" w:type="dxa"/>
              <w:right w:w="108" w:type="dxa"/>
            </w:tcMar>
            <w:vAlign w:val="center"/>
          </w:tcPr>
          <w:p w14:paraId="4D036900">
            <w:pPr>
              <w:spacing w:line="360" w:lineRule="auto"/>
              <w:jc w:val="both"/>
              <w:rPr>
                <w:rFonts w:hint="eastAsia" w:ascii="仿宋" w:hAnsi="仿宋" w:eastAsia="仿宋"/>
                <w:sz w:val="24"/>
                <w:szCs w:val="24"/>
                <w:highlight w:val="none"/>
                <w:lang w:val="en-US" w:eastAsia="zh-CN"/>
              </w:rPr>
            </w:pPr>
          </w:p>
        </w:tc>
      </w:tr>
      <w:tr w14:paraId="0BA0885D">
        <w:tblPrEx>
          <w:tblCellMar>
            <w:top w:w="0" w:type="dxa"/>
            <w:left w:w="10" w:type="dxa"/>
            <w:bottom w:w="0" w:type="dxa"/>
            <w:right w:w="10" w:type="dxa"/>
          </w:tblCellMar>
        </w:tblPrEx>
        <w:trPr>
          <w:trHeight w:val="1479" w:hRule="atLeast"/>
        </w:trPr>
        <w:tc>
          <w:tcPr>
            <w:tcW w:w="2657" w:type="dxa"/>
            <w:vMerge w:val="continue"/>
            <w:tcBorders>
              <w:left w:val="single" w:color="000000" w:sz="0" w:space="0"/>
              <w:bottom w:val="single" w:color="000000" w:sz="8" w:space="0"/>
              <w:right w:val="single" w:color="000000" w:sz="8" w:space="0"/>
            </w:tcBorders>
            <w:shd w:val="clear" w:color="000000" w:fill="FFFFFF"/>
            <w:tcMar>
              <w:left w:w="108" w:type="dxa"/>
              <w:right w:w="108" w:type="dxa"/>
            </w:tcMar>
            <w:vAlign w:val="center"/>
          </w:tcPr>
          <w:p w14:paraId="31DD4DEF">
            <w:pPr>
              <w:spacing w:line="360" w:lineRule="auto"/>
              <w:ind w:firstLine="480" w:firstLineChars="200"/>
              <w:jc w:val="both"/>
              <w:rPr>
                <w:rFonts w:hint="eastAsia" w:ascii="仿宋" w:hAnsi="仿宋" w:eastAsia="仿宋"/>
                <w:sz w:val="24"/>
                <w:szCs w:val="24"/>
                <w:highlight w:val="none"/>
                <w:lang w:val="en-US" w:eastAsia="zh-CN"/>
              </w:rPr>
            </w:pPr>
          </w:p>
        </w:tc>
        <w:tc>
          <w:tcPr>
            <w:tcW w:w="3858" w:type="dxa"/>
            <w:tcBorders>
              <w:top w:val="single" w:color="auto" w:sz="4"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3BE5EA7D">
            <w:pPr>
              <w:spacing w:line="360" w:lineRule="auto"/>
              <w:jc w:val="both"/>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 xml:space="preserve">2.院外非资质医院转诊模式：我院每例收益占四川省三甲医院物价收费标准的比例为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lang w:val="en-US" w:eastAsia="zh-CN"/>
              </w:rPr>
              <w:t>%</w:t>
            </w:r>
          </w:p>
          <w:p w14:paraId="32389C21">
            <w:pPr>
              <w:spacing w:line="360" w:lineRule="auto"/>
              <w:ind w:firstLine="480" w:firstLineChars="200"/>
              <w:jc w:val="both"/>
              <w:rPr>
                <w:rFonts w:hint="eastAsia" w:ascii="仿宋" w:hAnsi="仿宋" w:eastAsia="仿宋"/>
                <w:sz w:val="24"/>
                <w:szCs w:val="24"/>
                <w:highlight w:val="none"/>
                <w:lang w:val="en-US" w:eastAsia="zh-CN"/>
              </w:rPr>
            </w:pPr>
          </w:p>
        </w:tc>
        <w:tc>
          <w:tcPr>
            <w:tcW w:w="3300" w:type="dxa"/>
            <w:tcBorders>
              <w:top w:val="single" w:color="auto" w:sz="4" w:space="0"/>
              <w:left w:val="single" w:color="000000" w:sz="0" w:space="0"/>
              <w:bottom w:val="single" w:color="000000" w:sz="8" w:space="0"/>
              <w:right w:val="single" w:color="000000" w:sz="8" w:space="0"/>
            </w:tcBorders>
            <w:shd w:val="clear" w:color="000000" w:fill="FFFFFF"/>
            <w:tcMar>
              <w:left w:w="108" w:type="dxa"/>
              <w:right w:w="108" w:type="dxa"/>
            </w:tcMar>
            <w:vAlign w:val="center"/>
          </w:tcPr>
          <w:p w14:paraId="29C05FE0">
            <w:pPr>
              <w:spacing w:line="360" w:lineRule="auto"/>
              <w:ind w:firstLine="480" w:firstLineChars="200"/>
              <w:jc w:val="both"/>
              <w:rPr>
                <w:rFonts w:hint="eastAsia" w:ascii="仿宋" w:hAnsi="仿宋" w:eastAsia="仿宋"/>
                <w:sz w:val="24"/>
                <w:szCs w:val="24"/>
                <w:highlight w:val="none"/>
                <w:lang w:val="en-US" w:eastAsia="zh-CN"/>
              </w:rPr>
            </w:pPr>
          </w:p>
        </w:tc>
      </w:tr>
    </w:tbl>
    <w:p w14:paraId="362DC2FE">
      <w:pPr>
        <w:adjustRightInd w:val="0"/>
        <w:snapToGrid w:val="0"/>
        <w:spacing w:line="480" w:lineRule="auto"/>
        <w:ind w:firstLine="3219" w:firstLineChars="1002"/>
        <w:rPr>
          <w:rFonts w:hint="eastAsia" w:ascii="仿宋" w:hAnsi="仿宋" w:eastAsia="仿宋" w:cstheme="minorBidi"/>
          <w:b/>
          <w:spacing w:val="0"/>
          <w:sz w:val="32"/>
          <w:szCs w:val="28"/>
          <w:lang w:eastAsia="zh-CN"/>
        </w:rPr>
      </w:pPr>
    </w:p>
    <w:p w14:paraId="704A720B">
      <w:pPr>
        <w:spacing w:line="360" w:lineRule="auto"/>
        <w:ind w:firstLine="480" w:firstLineChars="200"/>
        <w:jc w:val="both"/>
        <w:rPr>
          <w:rFonts w:hint="eastAsia"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报价要求：</w:t>
      </w:r>
    </w:p>
    <w:p w14:paraId="1FF7CDA7">
      <w:pPr>
        <w:spacing w:line="360" w:lineRule="auto"/>
        <w:ind w:firstLine="480" w:firstLineChars="200"/>
        <w:jc w:val="both"/>
        <w:rPr>
          <w:rFonts w:hint="default"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1.院外产诊产筛医院模式：我院在本项目合作下的每一例收益分配不低于本项目在四川省各地物价收费标准的25%</w:t>
      </w:r>
      <w:r>
        <w:rPr>
          <w:rFonts w:hint="eastAsia" w:ascii="仿宋" w:hAnsi="仿宋" w:eastAsia="仿宋"/>
          <w:sz w:val="24"/>
          <w:szCs w:val="24"/>
          <w:highlight w:val="none"/>
          <w:lang w:val="en-US" w:eastAsia="zh-CN"/>
        </w:rPr>
        <w:t>（不含25%）</w:t>
      </w:r>
      <w:r>
        <w:rPr>
          <w:rFonts w:hint="eastAsia" w:ascii="仿宋" w:hAnsi="仿宋" w:eastAsia="仿宋"/>
          <w:b w:val="0"/>
          <w:bCs w:val="0"/>
          <w:sz w:val="24"/>
          <w:szCs w:val="24"/>
          <w:highlight w:val="none"/>
          <w:lang w:val="en-US" w:eastAsia="zh-CN"/>
        </w:rPr>
        <w:t>，此报价要求属于实质性响应条款，若未能满足该项要求，将被判定为无效投标。</w:t>
      </w:r>
    </w:p>
    <w:p w14:paraId="742BA7F8">
      <w:pPr>
        <w:spacing w:line="360" w:lineRule="auto"/>
        <w:ind w:firstLine="480" w:firstLineChars="200"/>
        <w:jc w:val="both"/>
        <w:rPr>
          <w:rFonts w:hint="eastAsia" w:ascii="仿宋" w:hAnsi="仿宋" w:eastAsia="仿宋"/>
          <w:b w:val="0"/>
          <w:bCs w:val="0"/>
          <w:sz w:val="24"/>
          <w:szCs w:val="24"/>
          <w:highlight w:val="none"/>
          <w:lang w:val="en-US" w:eastAsia="zh-CN"/>
        </w:rPr>
      </w:pPr>
      <w:r>
        <w:rPr>
          <w:rFonts w:hint="eastAsia" w:ascii="仿宋" w:hAnsi="仿宋" w:eastAsia="仿宋"/>
          <w:b w:val="0"/>
          <w:bCs w:val="0"/>
          <w:sz w:val="24"/>
          <w:szCs w:val="24"/>
          <w:highlight w:val="none"/>
          <w:lang w:val="en-US" w:eastAsia="zh-CN"/>
        </w:rPr>
        <w:t>2.院外非资质医院转诊模式：我院在本项目合作下的每一例收益分配不低于四川省三甲医院物价收费标准的40%</w:t>
      </w:r>
      <w:r>
        <w:rPr>
          <w:rFonts w:hint="eastAsia" w:ascii="仿宋" w:hAnsi="仿宋" w:eastAsia="仿宋"/>
          <w:sz w:val="24"/>
          <w:szCs w:val="24"/>
          <w:highlight w:val="none"/>
          <w:lang w:val="en-US" w:eastAsia="zh-CN"/>
        </w:rPr>
        <w:t>（不含40%）</w:t>
      </w:r>
      <w:r>
        <w:rPr>
          <w:rFonts w:hint="eastAsia" w:ascii="仿宋" w:hAnsi="仿宋" w:eastAsia="仿宋"/>
          <w:b w:val="0"/>
          <w:bCs w:val="0"/>
          <w:sz w:val="24"/>
          <w:szCs w:val="24"/>
          <w:highlight w:val="none"/>
          <w:lang w:val="en-US" w:eastAsia="zh-CN"/>
        </w:rPr>
        <w:t>，此报价要求属于实质性响应条款，若未能满足该项要求，将被判定为无效投标。</w:t>
      </w:r>
    </w:p>
    <w:p w14:paraId="10A8FC45">
      <w:pPr>
        <w:spacing w:line="360" w:lineRule="auto"/>
        <w:ind w:firstLine="480" w:firstLineChars="200"/>
        <w:jc w:val="left"/>
        <w:rPr>
          <w:rFonts w:hint="eastAsia" w:ascii="仿宋" w:hAnsi="仿宋" w:eastAsia="仿宋" w:cstheme="minorBidi"/>
          <w:sz w:val="24"/>
          <w:szCs w:val="24"/>
          <w:highlight w:val="none"/>
        </w:rPr>
      </w:pPr>
    </w:p>
    <w:p w14:paraId="7BEC4B37">
      <w:pPr>
        <w:spacing w:line="360" w:lineRule="auto"/>
        <w:ind w:firstLine="480" w:firstLineChars="200"/>
        <w:rPr>
          <w:rFonts w:hint="eastAsia" w:ascii="仿宋" w:hAnsi="仿宋" w:eastAsia="仿宋"/>
          <w:sz w:val="24"/>
          <w:szCs w:val="24"/>
          <w:highlight w:val="none"/>
          <w:lang w:val="en-US" w:eastAsia="zh-CN"/>
        </w:rPr>
      </w:pPr>
    </w:p>
    <w:p w14:paraId="33E95CF1">
      <w:pPr>
        <w:spacing w:line="360" w:lineRule="auto"/>
        <w:ind w:firstLine="480" w:firstLineChars="200"/>
        <w:jc w:val="both"/>
        <w:rPr>
          <w:rFonts w:hint="eastAsia" w:ascii="仿宋" w:hAnsi="仿宋" w:eastAsia="仿宋"/>
          <w:b w:val="0"/>
          <w:bCs w:val="0"/>
          <w:sz w:val="24"/>
          <w:szCs w:val="24"/>
          <w:highlight w:val="none"/>
          <w:lang w:val="en-US" w:eastAsia="zh-CN"/>
        </w:rPr>
      </w:pPr>
    </w:p>
    <w:p w14:paraId="38B81175">
      <w:pPr>
        <w:spacing w:line="360" w:lineRule="auto"/>
        <w:ind w:firstLine="480" w:firstLineChars="200"/>
        <w:jc w:val="both"/>
        <w:rPr>
          <w:rFonts w:hint="eastAsia" w:ascii="仿宋" w:hAnsi="仿宋" w:eastAsia="仿宋"/>
          <w:b w:val="0"/>
          <w:bCs w:val="0"/>
          <w:sz w:val="24"/>
          <w:szCs w:val="24"/>
          <w:highlight w:val="none"/>
          <w:lang w:val="en-US" w:eastAsia="zh-CN"/>
        </w:rPr>
      </w:pPr>
    </w:p>
    <w:p w14:paraId="1AD25079">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lang w:val="en-US" w:eastAsia="zh-CN"/>
        </w:rPr>
        <w:t>4</w:t>
      </w:r>
      <w:r>
        <w:rPr>
          <w:rFonts w:ascii="仿宋" w:hAnsi="仿宋" w:eastAsia="仿宋"/>
          <w:sz w:val="28"/>
          <w:szCs w:val="28"/>
        </w:rPr>
        <w:t>：</w:t>
      </w:r>
    </w:p>
    <w:p w14:paraId="206D5CAD">
      <w:pPr>
        <w:adjustRightInd w:val="0"/>
        <w:snapToGrid w:val="0"/>
        <w:spacing w:line="480" w:lineRule="auto"/>
        <w:ind w:firstLine="0" w:firstLineChars="0"/>
        <w:jc w:val="center"/>
        <w:outlineLvl w:val="9"/>
        <w:rPr>
          <w:rFonts w:hint="eastAsia" w:ascii="仿宋" w:hAnsi="仿宋" w:eastAsia="仿宋"/>
          <w:b/>
          <w:sz w:val="32"/>
          <w:szCs w:val="28"/>
        </w:rPr>
      </w:pPr>
      <w:r>
        <w:rPr>
          <w:rFonts w:hint="eastAsia" w:ascii="仿宋" w:hAnsi="仿宋" w:eastAsia="仿宋"/>
          <w:b/>
          <w:sz w:val="32"/>
          <w:szCs w:val="28"/>
        </w:rPr>
        <w:t>参选方案文件书装订顺序</w:t>
      </w:r>
    </w:p>
    <w:p w14:paraId="29DA4A9D">
      <w:pPr>
        <w:ind w:firstLine="618" w:firstLineChars="221"/>
        <w:rPr>
          <w:rFonts w:ascii="仿宋" w:hAnsi="仿宋" w:eastAsia="仿宋"/>
          <w:sz w:val="28"/>
          <w:szCs w:val="28"/>
        </w:rPr>
      </w:pPr>
    </w:p>
    <w:p w14:paraId="244C338D">
      <w:pPr>
        <w:ind w:firstLine="618" w:firstLineChars="221"/>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封面（</w:t>
      </w:r>
      <w:r>
        <w:rPr>
          <w:rFonts w:hint="eastAsia" w:ascii="仿宋" w:hAnsi="仿宋" w:eastAsia="仿宋"/>
          <w:sz w:val="28"/>
          <w:szCs w:val="28"/>
        </w:rPr>
        <w:t>注明</w:t>
      </w:r>
      <w:r>
        <w:rPr>
          <w:rFonts w:hint="eastAsia" w:ascii="仿宋" w:hAnsi="仿宋" w:eastAsia="仿宋"/>
          <w:b/>
          <w:sz w:val="28"/>
          <w:szCs w:val="28"/>
        </w:rPr>
        <w:t>项目名称及包号</w:t>
      </w:r>
      <w:r>
        <w:rPr>
          <w:rFonts w:hint="eastAsia" w:ascii="仿宋" w:hAnsi="仿宋" w:eastAsia="仿宋"/>
          <w:sz w:val="28"/>
          <w:szCs w:val="28"/>
        </w:rPr>
        <w:t>、公司名称</w:t>
      </w:r>
      <w:r>
        <w:rPr>
          <w:rFonts w:ascii="仿宋" w:hAnsi="仿宋" w:eastAsia="仿宋"/>
          <w:sz w:val="28"/>
          <w:szCs w:val="28"/>
        </w:rPr>
        <w:t>、联系人、联系</w:t>
      </w:r>
      <w:r>
        <w:rPr>
          <w:rFonts w:hint="eastAsia" w:ascii="仿宋" w:hAnsi="仿宋" w:eastAsia="仿宋"/>
          <w:sz w:val="28"/>
          <w:szCs w:val="28"/>
        </w:rPr>
        <w:t>电话、加盖公司印章</w:t>
      </w:r>
      <w:r>
        <w:rPr>
          <w:rFonts w:ascii="仿宋" w:hAnsi="仿宋" w:eastAsia="仿宋"/>
          <w:sz w:val="28"/>
          <w:szCs w:val="28"/>
        </w:rPr>
        <w:t>）</w:t>
      </w:r>
      <w:r>
        <w:rPr>
          <w:rFonts w:hint="eastAsia" w:ascii="仿宋" w:hAnsi="仿宋" w:eastAsia="仿宋"/>
          <w:sz w:val="28"/>
          <w:szCs w:val="28"/>
          <w:lang w:eastAsia="zh-CN"/>
        </w:rPr>
        <w:t>。</w:t>
      </w:r>
    </w:p>
    <w:p w14:paraId="2F017BCA">
      <w:pPr>
        <w:ind w:firstLine="560" w:firstLineChars="200"/>
        <w:rPr>
          <w:rFonts w:hint="eastAsia" w:ascii="仿宋" w:hAnsi="仿宋" w:eastAsia="仿宋"/>
          <w:sz w:val="28"/>
          <w:szCs w:val="28"/>
          <w:lang w:eastAsia="zh-CN"/>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目录</w:t>
      </w:r>
      <w:r>
        <w:rPr>
          <w:rFonts w:hint="eastAsia" w:ascii="仿宋" w:hAnsi="仿宋" w:eastAsia="仿宋"/>
          <w:sz w:val="28"/>
          <w:szCs w:val="28"/>
          <w:lang w:eastAsia="zh-CN"/>
        </w:rPr>
        <w:t>。</w:t>
      </w:r>
    </w:p>
    <w:p w14:paraId="6B9D2140">
      <w:pPr>
        <w:ind w:firstLine="560" w:firstLineChars="200"/>
        <w:rPr>
          <w:rFonts w:hint="eastAsia" w:ascii="仿宋" w:hAnsi="仿宋" w:eastAsia="仿宋"/>
          <w:sz w:val="28"/>
          <w:szCs w:val="28"/>
          <w:lang w:eastAsia="zh-CN"/>
        </w:rPr>
      </w:pPr>
      <w:r>
        <w:rPr>
          <w:rFonts w:hint="eastAsia" w:ascii="仿宋" w:hAnsi="仿宋" w:eastAsia="仿宋"/>
          <w:sz w:val="28"/>
          <w:szCs w:val="28"/>
        </w:rPr>
        <w:t>3.有效的资质证</w:t>
      </w:r>
      <w:r>
        <w:rPr>
          <w:rFonts w:hint="eastAsia" w:ascii="仿宋" w:hAnsi="仿宋" w:eastAsia="仿宋"/>
          <w:sz w:val="28"/>
          <w:szCs w:val="28"/>
          <w:lang w:val="en-US" w:eastAsia="zh-CN"/>
        </w:rPr>
        <w:t>明</w:t>
      </w:r>
      <w:r>
        <w:rPr>
          <w:rFonts w:hint="eastAsia" w:ascii="仿宋" w:hAnsi="仿宋" w:eastAsia="仿宋"/>
          <w:sz w:val="28"/>
          <w:szCs w:val="28"/>
        </w:rPr>
        <w:t>文件（</w:t>
      </w:r>
      <w:r>
        <w:rPr>
          <w:rFonts w:hint="eastAsia" w:ascii="仿宋" w:hAnsi="仿宋" w:eastAsia="仿宋"/>
          <w:sz w:val="28"/>
          <w:szCs w:val="28"/>
          <w:lang w:val="en-US" w:eastAsia="zh-CN"/>
        </w:rPr>
        <w:t>按附件1 三、资质要求 顺序装订</w:t>
      </w:r>
      <w:r>
        <w:rPr>
          <w:rFonts w:hint="eastAsia" w:ascii="仿宋" w:hAnsi="仿宋" w:eastAsia="仿宋"/>
          <w:sz w:val="28"/>
          <w:szCs w:val="28"/>
        </w:rPr>
        <w:t>）</w:t>
      </w:r>
      <w:r>
        <w:rPr>
          <w:rFonts w:hint="eastAsia" w:ascii="仿宋" w:hAnsi="仿宋" w:eastAsia="仿宋"/>
          <w:sz w:val="28"/>
          <w:szCs w:val="28"/>
          <w:lang w:eastAsia="zh-CN"/>
        </w:rPr>
        <w:t>。</w:t>
      </w:r>
    </w:p>
    <w:p w14:paraId="64766FA2">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val="en-US" w:eastAsia="zh-CN"/>
        </w:rPr>
        <w:t>4</w:t>
      </w:r>
      <w:r>
        <w:rPr>
          <w:rFonts w:hint="eastAsia" w:ascii="仿宋" w:hAnsi="仿宋" w:eastAsia="仿宋"/>
          <w:sz w:val="28"/>
          <w:szCs w:val="28"/>
        </w:rPr>
        <w:t>.</w:t>
      </w:r>
      <w:r>
        <w:rPr>
          <w:rFonts w:ascii="仿宋" w:hAnsi="仿宋" w:eastAsia="仿宋"/>
          <w:color w:val="000000" w:themeColor="text1"/>
          <w:sz w:val="28"/>
          <w:szCs w:val="28"/>
          <w14:textFill>
            <w14:solidFill>
              <w14:schemeClr w14:val="tx1"/>
            </w14:solidFill>
          </w14:textFill>
        </w:rPr>
        <w:t>偏离表（格式见附件</w:t>
      </w:r>
      <w:r>
        <w:rPr>
          <w:rFonts w:hint="eastAsia" w:ascii="仿宋" w:hAnsi="仿宋" w:eastAsia="仿宋"/>
          <w:color w:val="000000" w:themeColor="text1"/>
          <w:sz w:val="28"/>
          <w:szCs w:val="28"/>
          <w:lang w:val="en-US" w:eastAsia="zh-CN"/>
          <w14:textFill>
            <w14:solidFill>
              <w14:schemeClr w14:val="tx1"/>
            </w14:solidFill>
          </w14:textFill>
        </w:rPr>
        <w:t>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w:t>
      </w:r>
    </w:p>
    <w:p w14:paraId="606DD9B9">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5.偏离表响应内容承诺函或证明材料（按附件1</w:t>
      </w:r>
      <w:r>
        <w:rPr>
          <w:rFonts w:hint="eastAsia" w:ascii="仿宋" w:hAnsi="仿宋" w:eastAsia="仿宋"/>
          <w:color w:val="000000" w:themeColor="text1"/>
          <w:sz w:val="28"/>
          <w:szCs w:val="28"/>
          <w:lang w:val="en-US" w:eastAsia="zh-CN"/>
          <w14:textFill>
            <w14:solidFill>
              <w14:schemeClr w14:val="tx1"/>
            </w14:solidFill>
          </w14:textFill>
        </w:rPr>
        <w:t xml:space="preserve"> 四、</w:t>
      </w:r>
      <w:r>
        <w:rPr>
          <w:rFonts w:hint="eastAsia" w:ascii="仿宋" w:hAnsi="仿宋" w:eastAsia="仿宋"/>
          <w:color w:val="000000" w:themeColor="text1"/>
          <w:sz w:val="28"/>
          <w:szCs w:val="28"/>
          <w:lang w:eastAsia="zh-CN"/>
          <w14:textFill>
            <w14:solidFill>
              <w14:schemeClr w14:val="tx1"/>
            </w14:solidFill>
          </w14:textFill>
        </w:rPr>
        <w:t>技术服务要求</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顺序装订）。</w:t>
      </w:r>
    </w:p>
    <w:p w14:paraId="6ED232B9">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hint="eastAsia" w:ascii="仿宋" w:hAnsi="仿宋" w:eastAsia="仿宋"/>
          <w:sz w:val="28"/>
          <w:szCs w:val="28"/>
        </w:rPr>
        <w:t>.参选机构基本情况及其他证明文件等</w:t>
      </w:r>
      <w:r>
        <w:rPr>
          <w:rFonts w:hint="eastAsia" w:ascii="仿宋" w:hAnsi="仿宋" w:eastAsia="仿宋"/>
          <w:sz w:val="28"/>
          <w:szCs w:val="28"/>
          <w:lang w:eastAsia="zh-CN"/>
        </w:rPr>
        <w:t>。</w:t>
      </w:r>
    </w:p>
    <w:p w14:paraId="7F620CEE">
      <w:pPr>
        <w:ind w:firstLine="560" w:firstLineChars="200"/>
        <w:rPr>
          <w:rFonts w:hint="eastAsia" w:ascii="仿宋" w:hAnsi="仿宋" w:eastAsia="仿宋"/>
          <w:sz w:val="28"/>
          <w:szCs w:val="28"/>
          <w:lang w:eastAsia="zh-CN"/>
        </w:rPr>
      </w:pPr>
      <w:r>
        <w:rPr>
          <w:rFonts w:hint="eastAsia" w:ascii="仿宋" w:hAnsi="仿宋" w:eastAsia="仿宋" w:cs="仿宋"/>
          <w:color w:val="000000"/>
          <w:sz w:val="28"/>
          <w:lang w:val="en-US" w:eastAsia="zh-CN"/>
        </w:rPr>
        <w:t>7.</w:t>
      </w:r>
      <w:r>
        <w:rPr>
          <w:rFonts w:hint="eastAsia" w:ascii="仿宋" w:hAnsi="仿宋" w:eastAsia="仿宋" w:cs="仿宋"/>
          <w:color w:val="000000"/>
          <w:sz w:val="28"/>
          <w:lang w:eastAsia="zh-CN"/>
        </w:rPr>
        <w:t>附件</w:t>
      </w:r>
      <w:r>
        <w:rPr>
          <w:rFonts w:hint="eastAsia" w:ascii="仿宋" w:hAnsi="仿宋" w:eastAsia="仿宋" w:cs="仿宋"/>
          <w:color w:val="000000"/>
          <w:sz w:val="28"/>
          <w:lang w:val="en-US" w:eastAsia="zh-CN"/>
        </w:rPr>
        <w:t>9</w:t>
      </w:r>
      <w:r>
        <w:rPr>
          <w:rFonts w:hint="eastAsia" w:ascii="仿宋" w:hAnsi="仿宋" w:eastAsia="仿宋" w:cs="仿宋"/>
          <w:color w:val="000000"/>
          <w:sz w:val="28"/>
          <w:lang w:eastAsia="zh-CN"/>
        </w:rPr>
        <w:t>评审办法</w:t>
      </w: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lang w:eastAsia="zh-CN"/>
        </w:rPr>
        <w:t>中要求的承诺书、证明材料等。</w:t>
      </w:r>
    </w:p>
    <w:p w14:paraId="38E34FE9">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.合作方案（格式见附件</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eastAsia="zh-CN"/>
        </w:rPr>
        <w:t>。</w:t>
      </w:r>
    </w:p>
    <w:p w14:paraId="5A7457A0">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9.报价</w:t>
      </w:r>
      <w:r>
        <w:rPr>
          <w:rFonts w:hint="eastAsia" w:ascii="仿宋" w:hAnsi="仿宋" w:eastAsia="仿宋"/>
          <w:sz w:val="28"/>
          <w:szCs w:val="28"/>
        </w:rPr>
        <w:t>（格式见附件</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eastAsia="zh-CN"/>
        </w:rPr>
        <w:t>。</w:t>
      </w:r>
    </w:p>
    <w:p w14:paraId="461EB519">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10</w:t>
      </w:r>
      <w:r>
        <w:rPr>
          <w:rFonts w:hint="eastAsia" w:ascii="仿宋" w:hAnsi="仿宋" w:eastAsia="仿宋"/>
          <w:sz w:val="28"/>
          <w:szCs w:val="28"/>
        </w:rPr>
        <w:t>.封底</w:t>
      </w:r>
      <w:r>
        <w:rPr>
          <w:rFonts w:hint="eastAsia" w:ascii="仿宋" w:hAnsi="仿宋" w:eastAsia="仿宋"/>
          <w:sz w:val="28"/>
          <w:szCs w:val="28"/>
          <w:lang w:eastAsia="zh-CN"/>
        </w:rPr>
        <w:t>。</w:t>
      </w:r>
    </w:p>
    <w:p w14:paraId="4EBC3C75">
      <w:pPr>
        <w:ind w:firstLine="560" w:firstLineChars="200"/>
        <w:rPr>
          <w:rFonts w:hint="eastAsia" w:ascii="仿宋" w:hAnsi="仿宋" w:eastAsia="仿宋"/>
          <w:sz w:val="28"/>
          <w:szCs w:val="28"/>
        </w:rPr>
      </w:pPr>
      <w:r>
        <w:rPr>
          <w:rFonts w:hint="eastAsia" w:ascii="仿宋" w:hAnsi="仿宋" w:eastAsia="仿宋"/>
          <w:sz w:val="28"/>
          <w:szCs w:val="28"/>
        </w:rPr>
        <w:t>注：请务必按以上顺序装订资料，如有非中文资料，请同时提供中文翻译件。</w:t>
      </w:r>
    </w:p>
    <w:p w14:paraId="544745D8">
      <w:pPr>
        <w:ind w:firstLine="560" w:firstLineChars="200"/>
        <w:rPr>
          <w:rFonts w:hint="eastAsia" w:ascii="仿宋" w:hAnsi="仿宋" w:eastAsia="仿宋"/>
          <w:sz w:val="28"/>
          <w:szCs w:val="28"/>
        </w:rPr>
      </w:pPr>
    </w:p>
    <w:p w14:paraId="2B42B04F">
      <w:pPr>
        <w:rPr>
          <w:rFonts w:ascii="仿宋" w:hAnsi="仿宋" w:eastAsia="仿宋"/>
          <w:sz w:val="28"/>
          <w:szCs w:val="28"/>
        </w:rPr>
      </w:pPr>
    </w:p>
    <w:p w14:paraId="25AB1553">
      <w:pPr>
        <w:pStyle w:val="5"/>
        <w:rPr>
          <w:rFonts w:ascii="仿宋" w:hAnsi="仿宋" w:eastAsia="仿宋"/>
          <w:sz w:val="28"/>
          <w:szCs w:val="28"/>
        </w:rPr>
      </w:pPr>
    </w:p>
    <w:p w14:paraId="21A750AF">
      <w:pPr>
        <w:pStyle w:val="5"/>
        <w:rPr>
          <w:rFonts w:ascii="仿宋" w:hAnsi="仿宋" w:eastAsia="仿宋"/>
          <w:sz w:val="28"/>
          <w:szCs w:val="28"/>
        </w:rPr>
      </w:pPr>
    </w:p>
    <w:p w14:paraId="66CABB12">
      <w:pPr>
        <w:pStyle w:val="5"/>
        <w:rPr>
          <w:rFonts w:ascii="仿宋" w:hAnsi="仿宋" w:eastAsia="仿宋"/>
          <w:sz w:val="28"/>
          <w:szCs w:val="28"/>
        </w:rPr>
      </w:pPr>
    </w:p>
    <w:p w14:paraId="326F6BBC">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lang w:val="en-US" w:eastAsia="zh-CN"/>
        </w:rPr>
        <w:t>5</w:t>
      </w:r>
      <w:r>
        <w:rPr>
          <w:rFonts w:ascii="仿宋" w:hAnsi="仿宋" w:eastAsia="仿宋"/>
          <w:sz w:val="28"/>
          <w:szCs w:val="28"/>
        </w:rPr>
        <w:t>：</w:t>
      </w:r>
    </w:p>
    <w:p w14:paraId="13AF54C5">
      <w:pPr>
        <w:adjustRightInd w:val="0"/>
        <w:snapToGrid w:val="0"/>
        <w:spacing w:line="480" w:lineRule="auto"/>
        <w:ind w:firstLine="0" w:firstLineChars="0"/>
        <w:jc w:val="center"/>
        <w:outlineLvl w:val="9"/>
        <w:rPr>
          <w:rFonts w:hint="eastAsia" w:ascii="仿宋" w:hAnsi="仿宋" w:eastAsia="仿宋"/>
          <w:b/>
          <w:sz w:val="32"/>
          <w:szCs w:val="28"/>
        </w:rPr>
      </w:pPr>
      <w:r>
        <w:rPr>
          <w:rFonts w:hint="eastAsia" w:ascii="仿宋" w:hAnsi="仿宋" w:eastAsia="仿宋"/>
          <w:b/>
          <w:sz w:val="32"/>
          <w:szCs w:val="28"/>
        </w:rPr>
        <w:t>偏离表</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1"/>
        <w:gridCol w:w="2300"/>
        <w:gridCol w:w="2300"/>
        <w:gridCol w:w="2871"/>
      </w:tblGrid>
      <w:tr w14:paraId="30B493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E86F9C">
            <w:pPr>
              <w:spacing w:line="360" w:lineRule="auto"/>
              <w:jc w:val="center"/>
              <w:rPr>
                <w:rFonts w:ascii="黑体" w:hAnsi="宋体" w:eastAsia="黑体"/>
                <w:szCs w:val="21"/>
              </w:rPr>
            </w:pPr>
            <w:r>
              <w:rPr>
                <w:rFonts w:ascii="黑体" w:hAnsi="宋体" w:eastAsia="黑体"/>
                <w:szCs w:val="21"/>
              </w:rPr>
              <w:t>序号</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7F793522">
            <w:pPr>
              <w:spacing w:line="360" w:lineRule="auto"/>
              <w:jc w:val="center"/>
              <w:rPr>
                <w:rFonts w:ascii="黑体" w:hAnsi="宋体" w:eastAsia="黑体"/>
                <w:szCs w:val="21"/>
              </w:rPr>
            </w:pPr>
            <w:r>
              <w:rPr>
                <w:rFonts w:hint="eastAsia" w:ascii="黑体" w:hAnsi="宋体" w:eastAsia="黑体"/>
                <w:szCs w:val="21"/>
              </w:rPr>
              <w:t>遴选</w:t>
            </w:r>
            <w:r>
              <w:rPr>
                <w:rFonts w:ascii="黑体" w:hAnsi="宋体" w:eastAsia="黑体"/>
                <w:szCs w:val="21"/>
              </w:rPr>
              <w:t>要求</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10724511">
            <w:pPr>
              <w:spacing w:line="360" w:lineRule="auto"/>
              <w:jc w:val="center"/>
              <w:rPr>
                <w:rFonts w:ascii="黑体" w:hAnsi="宋体" w:eastAsia="黑体"/>
                <w:szCs w:val="21"/>
              </w:rPr>
            </w:pPr>
            <w:r>
              <w:rPr>
                <w:rFonts w:ascii="黑体" w:hAnsi="宋体" w:eastAsia="黑体"/>
                <w:szCs w:val="21"/>
              </w:rPr>
              <w:t>响应</w:t>
            </w:r>
            <w:r>
              <w:rPr>
                <w:rFonts w:hint="eastAsia" w:ascii="黑体" w:hAnsi="宋体" w:eastAsia="黑体"/>
                <w:szCs w:val="21"/>
              </w:rPr>
              <w:t>内容</w:t>
            </w:r>
          </w:p>
        </w:tc>
        <w:tc>
          <w:tcPr>
            <w:tcW w:w="351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2886E77A">
            <w:pPr>
              <w:spacing w:line="360" w:lineRule="auto"/>
              <w:jc w:val="center"/>
              <w:rPr>
                <w:rFonts w:ascii="黑体" w:hAnsi="宋体" w:eastAsia="黑体"/>
                <w:szCs w:val="21"/>
              </w:rPr>
            </w:pPr>
            <w:r>
              <w:rPr>
                <w:rFonts w:ascii="黑体" w:hAnsi="宋体" w:eastAsia="黑体"/>
                <w:szCs w:val="21"/>
              </w:rPr>
              <w:t>偏离及其影响</w:t>
            </w:r>
          </w:p>
        </w:tc>
      </w:tr>
      <w:tr w14:paraId="5434DA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1CCD1A68">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0193723D">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0A393B28">
            <w:pPr>
              <w:rPr>
                <w:rFonts w:ascii="仿宋" w:hAnsi="仿宋" w:eastAsia="仿宋"/>
                <w:sz w:val="32"/>
                <w:szCs w:val="32"/>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574B4BB">
            <w:pPr>
              <w:rPr>
                <w:rFonts w:ascii="仿宋" w:hAnsi="仿宋" w:eastAsia="仿宋"/>
                <w:sz w:val="32"/>
                <w:szCs w:val="32"/>
              </w:rPr>
            </w:pPr>
          </w:p>
        </w:tc>
      </w:tr>
      <w:tr w14:paraId="26E8D7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6872157E">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EAAF90C">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9A37925">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4EB5A1AB">
            <w:pPr>
              <w:rPr>
                <w:rFonts w:ascii="仿宋" w:hAnsi="仿宋" w:eastAsia="仿宋"/>
                <w:sz w:val="32"/>
                <w:szCs w:val="32"/>
              </w:rPr>
            </w:pPr>
          </w:p>
        </w:tc>
      </w:tr>
      <w:tr w14:paraId="7626CC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29539CC4">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2E000667">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7B48BEBC">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628D2617">
            <w:pPr>
              <w:rPr>
                <w:rFonts w:ascii="仿宋" w:hAnsi="仿宋" w:eastAsia="仿宋"/>
                <w:sz w:val="32"/>
                <w:szCs w:val="32"/>
              </w:rPr>
            </w:pPr>
          </w:p>
        </w:tc>
      </w:tr>
      <w:tr w14:paraId="6CB0C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6FF19347">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80D5143">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4908CFBB">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7E8E69FE">
            <w:pPr>
              <w:rPr>
                <w:rFonts w:ascii="仿宋" w:hAnsi="仿宋" w:eastAsia="仿宋"/>
                <w:sz w:val="32"/>
                <w:szCs w:val="32"/>
              </w:rPr>
            </w:pPr>
          </w:p>
        </w:tc>
      </w:tr>
      <w:tr w14:paraId="4413F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6E07F1D3">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525EACEB">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5AF07DAA">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47487C71">
            <w:pPr>
              <w:rPr>
                <w:rFonts w:ascii="仿宋" w:hAnsi="仿宋" w:eastAsia="仿宋"/>
                <w:sz w:val="32"/>
                <w:szCs w:val="32"/>
              </w:rPr>
            </w:pPr>
          </w:p>
        </w:tc>
      </w:tr>
      <w:tr w14:paraId="3F805C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2D8B9623">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3B9ED76B">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1187DF3B">
            <w:pPr>
              <w:rPr>
                <w:rFonts w:ascii="仿宋" w:hAnsi="仿宋" w:eastAsia="仿宋"/>
                <w:sz w:val="32"/>
                <w:szCs w:val="32"/>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2D092174">
            <w:pPr>
              <w:rPr>
                <w:rFonts w:ascii="仿宋" w:hAnsi="仿宋" w:eastAsia="仿宋"/>
                <w:sz w:val="32"/>
                <w:szCs w:val="32"/>
              </w:rPr>
            </w:pPr>
          </w:p>
        </w:tc>
      </w:tr>
    </w:tbl>
    <w:p w14:paraId="625DB0E4">
      <w:pPr>
        <w:rPr>
          <w:rFonts w:ascii="楷体_GB2312" w:hAnsi="宋体" w:eastAsia="楷体_GB2312"/>
          <w:sz w:val="28"/>
          <w:szCs w:val="28"/>
        </w:rPr>
      </w:pPr>
      <w:r>
        <w:rPr>
          <w:rFonts w:ascii="楷体_GB2312" w:hAnsi="宋体" w:eastAsia="楷体_GB2312"/>
          <w:sz w:val="28"/>
          <w:szCs w:val="28"/>
        </w:rPr>
        <w:t>注：1、此表要求</w:t>
      </w:r>
      <w:r>
        <w:rPr>
          <w:rFonts w:hint="eastAsia" w:ascii="楷体_GB2312" w:hAnsi="宋体" w:eastAsia="楷体_GB2312"/>
          <w:sz w:val="28"/>
          <w:szCs w:val="28"/>
        </w:rPr>
        <w:t>响应内容</w:t>
      </w:r>
      <w:r>
        <w:rPr>
          <w:rFonts w:ascii="楷体_GB2312" w:hAnsi="宋体" w:eastAsia="楷体_GB2312"/>
          <w:sz w:val="28"/>
          <w:szCs w:val="28"/>
        </w:rPr>
        <w:t>与</w:t>
      </w:r>
      <w:r>
        <w:rPr>
          <w:rFonts w:hint="eastAsia" w:ascii="楷体_GB2312" w:hAnsi="宋体" w:eastAsia="楷体_GB2312"/>
          <w:b/>
          <w:bCs/>
          <w:sz w:val="28"/>
          <w:szCs w:val="28"/>
          <w:lang w:eastAsia="zh-CN"/>
        </w:rPr>
        <w:t>“附件</w:t>
      </w:r>
      <w:r>
        <w:rPr>
          <w:rFonts w:hint="eastAsia" w:ascii="楷体_GB2312" w:hAnsi="宋体" w:eastAsia="楷体_GB2312"/>
          <w:b/>
          <w:bCs/>
          <w:sz w:val="28"/>
          <w:szCs w:val="28"/>
          <w:lang w:val="en-US" w:eastAsia="zh-CN"/>
        </w:rPr>
        <w:t>1 四、技术服务要求</w:t>
      </w:r>
      <w:r>
        <w:rPr>
          <w:rFonts w:hint="eastAsia" w:ascii="楷体_GB2312" w:hAnsi="宋体" w:eastAsia="楷体_GB2312"/>
          <w:b/>
          <w:bCs/>
          <w:sz w:val="28"/>
          <w:szCs w:val="28"/>
          <w:lang w:eastAsia="zh-CN"/>
        </w:rPr>
        <w:t>”</w:t>
      </w:r>
      <w:r>
        <w:rPr>
          <w:rFonts w:ascii="楷体_GB2312" w:hAnsi="宋体" w:eastAsia="楷体_GB2312"/>
          <w:sz w:val="28"/>
          <w:szCs w:val="28"/>
        </w:rPr>
        <w:t>一一对应、逐一列出</w:t>
      </w:r>
      <w:r>
        <w:rPr>
          <w:rFonts w:hint="eastAsia" w:ascii="楷体_GB2312" w:hAnsi="宋体" w:eastAsia="楷体_GB2312"/>
          <w:sz w:val="28"/>
          <w:szCs w:val="28"/>
          <w:lang w:val="en-US" w:eastAsia="zh-CN"/>
        </w:rPr>
        <w:t>并附证明材料或承诺函加盖公章</w:t>
      </w:r>
      <w:r>
        <w:rPr>
          <w:rFonts w:ascii="楷体_GB2312" w:hAnsi="宋体" w:eastAsia="楷体_GB2312"/>
          <w:sz w:val="28"/>
          <w:szCs w:val="28"/>
        </w:rPr>
        <w:t>；2．</w:t>
      </w:r>
      <w:r>
        <w:rPr>
          <w:rFonts w:hint="eastAsia" w:ascii="楷体_GB2312" w:hAnsi="宋体" w:eastAsia="楷体_GB2312"/>
          <w:sz w:val="28"/>
          <w:szCs w:val="28"/>
        </w:rPr>
        <w:t>据实填写偏离及其影响的内容，</w:t>
      </w:r>
      <w:r>
        <w:rPr>
          <w:rFonts w:ascii="楷体_GB2312" w:hAnsi="宋体" w:eastAsia="楷体_GB2312"/>
          <w:sz w:val="28"/>
          <w:szCs w:val="28"/>
        </w:rPr>
        <w:t>不得虚假响应，否则</w:t>
      </w:r>
      <w:r>
        <w:rPr>
          <w:rFonts w:hint="eastAsia" w:ascii="楷体_GB2312" w:hAnsi="宋体" w:eastAsia="楷体_GB2312"/>
          <w:sz w:val="28"/>
          <w:szCs w:val="28"/>
        </w:rPr>
        <w:t>视为</w:t>
      </w:r>
      <w:r>
        <w:rPr>
          <w:rFonts w:ascii="楷体_GB2312" w:hAnsi="宋体" w:eastAsia="楷体_GB2312"/>
          <w:sz w:val="28"/>
          <w:szCs w:val="28"/>
        </w:rPr>
        <w:t>无效并按规定追究其相关责任。</w:t>
      </w:r>
    </w:p>
    <w:p w14:paraId="46C82D15">
      <w:pPr>
        <w:ind w:firstLine="3360" w:firstLineChars="1050"/>
        <w:rPr>
          <w:rFonts w:ascii="仿宋" w:hAnsi="仿宋" w:eastAsia="仿宋"/>
          <w:sz w:val="32"/>
          <w:szCs w:val="32"/>
        </w:rPr>
      </w:pPr>
    </w:p>
    <w:p w14:paraId="42AAF6CD">
      <w:pPr>
        <w:ind w:firstLine="4620" w:firstLineChars="1650"/>
        <w:rPr>
          <w:rFonts w:ascii="楷体_GB2312" w:hAnsi="宋体" w:eastAsia="楷体_GB2312"/>
          <w:sz w:val="28"/>
          <w:szCs w:val="28"/>
        </w:rPr>
      </w:pPr>
      <w:r>
        <w:rPr>
          <w:rFonts w:ascii="楷体_GB2312" w:hAnsi="宋体" w:eastAsia="楷体_GB2312"/>
          <w:sz w:val="28"/>
          <w:szCs w:val="28"/>
        </w:rPr>
        <w:t>法定代表人或授权代表签字：</w:t>
      </w:r>
    </w:p>
    <w:p w14:paraId="66B3970A">
      <w:pPr>
        <w:ind w:firstLine="4620" w:firstLineChars="1650"/>
        <w:rPr>
          <w:rFonts w:ascii="楷体_GB2312" w:hAnsi="宋体" w:eastAsia="楷体_GB2312"/>
          <w:sz w:val="28"/>
          <w:szCs w:val="28"/>
        </w:rPr>
      </w:pPr>
      <w:r>
        <w:rPr>
          <w:rFonts w:ascii="楷体_GB2312" w:hAnsi="宋体" w:eastAsia="楷体_GB2312"/>
          <w:sz w:val="28"/>
          <w:szCs w:val="28"/>
        </w:rPr>
        <w:t>日期:</w:t>
      </w:r>
    </w:p>
    <w:p w14:paraId="05DA3049">
      <w:pPr>
        <w:jc w:val="left"/>
        <w:rPr>
          <w:rFonts w:ascii="仿宋" w:hAnsi="仿宋" w:eastAsia="仿宋"/>
          <w:sz w:val="28"/>
          <w:szCs w:val="28"/>
        </w:rPr>
      </w:pPr>
    </w:p>
    <w:p w14:paraId="1C3A93B0">
      <w:pPr>
        <w:jc w:val="left"/>
        <w:rPr>
          <w:rFonts w:ascii="仿宋" w:hAnsi="仿宋" w:eastAsia="仿宋"/>
          <w:sz w:val="28"/>
          <w:szCs w:val="28"/>
        </w:rPr>
      </w:pPr>
    </w:p>
    <w:p w14:paraId="3B401DDD">
      <w:pPr>
        <w:jc w:val="left"/>
        <w:rPr>
          <w:rFonts w:ascii="仿宋" w:hAnsi="仿宋" w:eastAsia="仿宋"/>
          <w:sz w:val="28"/>
          <w:szCs w:val="28"/>
        </w:rPr>
      </w:pPr>
    </w:p>
    <w:p w14:paraId="476F4CC0">
      <w:pPr>
        <w:jc w:val="left"/>
        <w:rPr>
          <w:rFonts w:ascii="仿宋" w:hAnsi="仿宋" w:eastAsia="仿宋"/>
          <w:sz w:val="28"/>
          <w:szCs w:val="28"/>
        </w:rPr>
      </w:pPr>
    </w:p>
    <w:p w14:paraId="109A494A">
      <w:pPr>
        <w:jc w:val="left"/>
        <w:rPr>
          <w:rFonts w:ascii="仿宋" w:hAnsi="仿宋" w:eastAsia="仿宋"/>
          <w:sz w:val="28"/>
          <w:szCs w:val="28"/>
        </w:rPr>
      </w:pPr>
    </w:p>
    <w:p w14:paraId="1893CD8C">
      <w:pPr>
        <w:jc w:val="left"/>
        <w:rPr>
          <w:rFonts w:ascii="仿宋" w:hAnsi="仿宋" w:eastAsia="仿宋"/>
          <w:sz w:val="28"/>
          <w:szCs w:val="28"/>
        </w:rPr>
      </w:pPr>
    </w:p>
    <w:p w14:paraId="061A9903">
      <w:pPr>
        <w:outlineLvl w:val="9"/>
        <w:rPr>
          <w:rFonts w:hint="eastAsia" w:ascii="仿宋" w:hAnsi="仿宋" w:eastAsia="仿宋"/>
          <w:sz w:val="28"/>
          <w:szCs w:val="28"/>
        </w:rPr>
      </w:pPr>
    </w:p>
    <w:p w14:paraId="0000FF02">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6</w:t>
      </w:r>
      <w:r>
        <w:rPr>
          <w:rFonts w:hint="eastAsia" w:ascii="仿宋" w:hAnsi="仿宋" w:eastAsia="仿宋"/>
          <w:sz w:val="28"/>
          <w:szCs w:val="28"/>
        </w:rPr>
        <w:t>:</w:t>
      </w:r>
    </w:p>
    <w:p w14:paraId="4EDEFEC6">
      <w:pPr>
        <w:adjustRightInd/>
        <w:snapToGrid/>
        <w:spacing w:line="480" w:lineRule="auto"/>
        <w:ind w:firstLine="0" w:firstLineChars="0"/>
        <w:jc w:val="center"/>
        <w:outlineLvl w:val="9"/>
        <w:rPr>
          <w:rFonts w:hint="eastAsia" w:ascii="仿宋" w:hAnsi="仿宋" w:eastAsia="仿宋"/>
          <w:b/>
          <w:sz w:val="32"/>
          <w:szCs w:val="28"/>
        </w:rPr>
      </w:pPr>
      <w:r>
        <w:rPr>
          <w:rFonts w:hint="eastAsia" w:ascii="仿宋" w:hAnsi="仿宋" w:eastAsia="仿宋"/>
          <w:b/>
          <w:sz w:val="32"/>
          <w:szCs w:val="28"/>
        </w:rPr>
        <w:t>法定代表人身份授权书</w:t>
      </w:r>
    </w:p>
    <w:p w14:paraId="1E40A919">
      <w:pPr>
        <w:ind w:firstLine="560" w:firstLineChars="200"/>
        <w:rPr>
          <w:rFonts w:ascii="仿宋" w:hAnsi="仿宋" w:eastAsia="仿宋" w:cs="仿宋"/>
          <w:sz w:val="28"/>
          <w:szCs w:val="28"/>
        </w:rPr>
      </w:pPr>
    </w:p>
    <w:p w14:paraId="4EA3B9F3">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授权声明：</w:t>
      </w:r>
    </w:p>
    <w:p w14:paraId="4DEA1EE4">
      <w:pPr>
        <w:tabs>
          <w:tab w:val="left" w:pos="720"/>
          <w:tab w:val="left" w:pos="6300"/>
        </w:tabs>
        <w:spacing w:line="360" w:lineRule="auto"/>
        <w:rPr>
          <w:rFonts w:ascii="仿宋" w:hAnsi="仿宋" w:eastAsia="仿宋" w:cs="仿宋"/>
          <w:sz w:val="28"/>
          <w:szCs w:val="28"/>
        </w:rPr>
      </w:pPr>
      <w:r>
        <w:rPr>
          <w:rFonts w:hint="eastAsia" w:ascii="仿宋" w:hAnsi="仿宋" w:eastAsia="仿宋" w:cs="仿宋"/>
          <w:sz w:val="28"/>
          <w:szCs w:val="28"/>
        </w:rPr>
        <w:t>（法定代表人姓名、职务）授权（被授权人姓名、职务）为</w:t>
      </w:r>
      <w:r>
        <w:rPr>
          <w:rFonts w:hint="eastAsia" w:ascii="仿宋" w:hAnsi="仿宋" w:eastAsia="仿宋" w:cs="仿宋"/>
          <w:sz w:val="28"/>
          <w:szCs w:val="28"/>
          <w:lang w:val="zh-CN"/>
        </w:rPr>
        <w:t>我方</w:t>
      </w:r>
      <w:r>
        <w:rPr>
          <w:rFonts w:hint="eastAsia" w:ascii="仿宋" w:hAnsi="仿宋" w:eastAsia="仿宋" w:cs="仿宋"/>
          <w:sz w:val="28"/>
          <w:szCs w:val="28"/>
          <w:u w:val="single"/>
          <w:lang w:val="zh-CN"/>
        </w:rPr>
        <w:t xml:space="preserve"> “                                          ”</w:t>
      </w:r>
      <w:r>
        <w:rPr>
          <w:rFonts w:hint="eastAsia" w:ascii="仿宋" w:hAnsi="仿宋" w:eastAsia="仿宋" w:cs="仿宋"/>
          <w:sz w:val="28"/>
          <w:szCs w:val="28"/>
          <w:lang w:val="zh-CN"/>
        </w:rPr>
        <w:t>项目遴选活动的合法代表，以我方名义全权处理该项目有关遴选、签订合同以及执行合同等一切事宜。</w:t>
      </w:r>
    </w:p>
    <w:p w14:paraId="6917D615">
      <w:pPr>
        <w:ind w:firstLine="560" w:firstLineChars="200"/>
        <w:rPr>
          <w:rFonts w:ascii="仿宋" w:hAnsi="仿宋" w:eastAsia="仿宋" w:cs="仿宋"/>
          <w:sz w:val="28"/>
          <w:szCs w:val="28"/>
        </w:rPr>
      </w:pPr>
      <w:r>
        <w:rPr>
          <w:rFonts w:hint="eastAsia" w:ascii="仿宋" w:hAnsi="仿宋" w:eastAsia="仿宋" w:cs="仿宋"/>
          <w:sz w:val="28"/>
          <w:szCs w:val="28"/>
        </w:rPr>
        <w:t>特此声明。</w:t>
      </w:r>
    </w:p>
    <w:p w14:paraId="608C8781">
      <w:pPr>
        <w:ind w:firstLine="560" w:firstLineChars="200"/>
        <w:rPr>
          <w:rFonts w:ascii="仿宋" w:hAnsi="仿宋" w:eastAsia="仿宋" w:cs="仿宋"/>
          <w:sz w:val="28"/>
          <w:szCs w:val="28"/>
        </w:rPr>
      </w:pPr>
      <w:r>
        <w:rPr>
          <w:rFonts w:hint="eastAsia" w:ascii="仿宋" w:hAnsi="仿宋" w:eastAsia="仿宋" w:cs="仿宋"/>
          <w:sz w:val="28"/>
          <w:szCs w:val="28"/>
        </w:rPr>
        <w:t>法定代表人签字：</w:t>
      </w:r>
    </w:p>
    <w:p w14:paraId="1852601C">
      <w:pPr>
        <w:ind w:firstLine="560" w:firstLineChars="200"/>
        <w:rPr>
          <w:rFonts w:ascii="仿宋" w:hAnsi="仿宋" w:eastAsia="仿宋" w:cs="仿宋"/>
          <w:sz w:val="28"/>
          <w:szCs w:val="28"/>
        </w:rPr>
      </w:pPr>
      <w:r>
        <w:rPr>
          <w:rFonts w:hint="eastAsia" w:ascii="仿宋" w:hAnsi="仿宋" w:eastAsia="仿宋" w:cs="仿宋"/>
          <w:sz w:val="28"/>
          <w:szCs w:val="28"/>
        </w:rPr>
        <w:t>授权代表签字：</w:t>
      </w:r>
    </w:p>
    <w:p w14:paraId="3B587C73">
      <w:pPr>
        <w:ind w:firstLine="560" w:firstLineChars="200"/>
        <w:rPr>
          <w:rFonts w:ascii="仿宋" w:hAnsi="仿宋" w:eastAsia="仿宋" w:cs="仿宋"/>
          <w:sz w:val="28"/>
          <w:szCs w:val="28"/>
        </w:rPr>
      </w:pPr>
      <w:r>
        <w:rPr>
          <w:rFonts w:hint="eastAsia" w:ascii="仿宋" w:hAnsi="仿宋" w:eastAsia="仿宋" w:cs="仿宋"/>
          <w:sz w:val="28"/>
          <w:szCs w:val="28"/>
        </w:rPr>
        <w:t>投标人名称：（加盖公章）</w:t>
      </w:r>
    </w:p>
    <w:p w14:paraId="595EE049">
      <w:pPr>
        <w:ind w:firstLine="560" w:firstLineChars="200"/>
        <w:rPr>
          <w:rFonts w:ascii="仿宋" w:hAnsi="仿宋" w:eastAsia="仿宋" w:cs="仿宋"/>
          <w:sz w:val="28"/>
          <w:szCs w:val="28"/>
        </w:rPr>
      </w:pPr>
      <w:r>
        <w:rPr>
          <w:rFonts w:hint="eastAsia" w:ascii="仿宋" w:hAnsi="仿宋" w:eastAsia="仿宋" w:cs="仿宋"/>
          <w:sz w:val="28"/>
          <w:szCs w:val="28"/>
        </w:rPr>
        <w:t>日期：</w:t>
      </w:r>
    </w:p>
    <w:p w14:paraId="42207CEA">
      <w:pPr>
        <w:ind w:firstLine="560" w:firstLineChars="200"/>
        <w:rPr>
          <w:rFonts w:ascii="仿宋" w:hAnsi="仿宋" w:eastAsia="仿宋" w:cs="仿宋"/>
          <w:sz w:val="28"/>
          <w:szCs w:val="28"/>
        </w:rPr>
      </w:pPr>
      <w:r>
        <w:rPr>
          <w:rFonts w:hint="eastAsia" w:ascii="仿宋" w:hAnsi="仿宋" w:eastAsia="仿宋" w:cs="仿宋"/>
          <w:sz w:val="28"/>
          <w:szCs w:val="28"/>
        </w:rPr>
        <w:t>说明：上述证明文件附有法定代表人、被授权代表身份证复印件（加盖公章）时才能生效。</w:t>
      </w:r>
    </w:p>
    <w:p w14:paraId="3A3E5C72">
      <w:pPr>
        <w:ind w:firstLine="560" w:firstLineChars="200"/>
        <w:rPr>
          <w:rFonts w:ascii="仿宋" w:hAnsi="仿宋" w:eastAsia="仿宋" w:cs="仿宋"/>
          <w:sz w:val="28"/>
          <w:szCs w:val="28"/>
        </w:rPr>
      </w:pPr>
    </w:p>
    <w:p w14:paraId="5483C175">
      <w:pPr>
        <w:ind w:firstLine="560" w:firstLineChars="200"/>
        <w:rPr>
          <w:rFonts w:ascii="仿宋" w:hAnsi="仿宋" w:eastAsia="仿宋" w:cs="仿宋"/>
          <w:sz w:val="28"/>
          <w:szCs w:val="28"/>
        </w:rPr>
      </w:pPr>
    </w:p>
    <w:p w14:paraId="287B2FD6">
      <w:pPr>
        <w:ind w:firstLine="560" w:firstLineChars="200"/>
        <w:rPr>
          <w:rFonts w:ascii="仿宋" w:hAnsi="仿宋" w:eastAsia="仿宋" w:cs="仿宋"/>
          <w:sz w:val="28"/>
          <w:szCs w:val="28"/>
        </w:rPr>
      </w:pPr>
    </w:p>
    <w:p w14:paraId="692100AA">
      <w:pPr>
        <w:ind w:firstLine="560" w:firstLineChars="200"/>
        <w:rPr>
          <w:rFonts w:ascii="仿宋" w:hAnsi="仿宋" w:eastAsia="仿宋"/>
          <w:sz w:val="28"/>
          <w:szCs w:val="28"/>
        </w:rPr>
      </w:pPr>
    </w:p>
    <w:p w14:paraId="21813CBB">
      <w:pPr>
        <w:rPr>
          <w:rFonts w:ascii="仿宋" w:hAnsi="仿宋" w:eastAsia="仿宋"/>
          <w:sz w:val="28"/>
          <w:szCs w:val="28"/>
        </w:rPr>
      </w:pPr>
    </w:p>
    <w:p w14:paraId="07E4D3DE">
      <w:pPr>
        <w:rPr>
          <w:rFonts w:ascii="仿宋" w:hAnsi="仿宋" w:eastAsia="仿宋"/>
          <w:sz w:val="28"/>
          <w:szCs w:val="28"/>
        </w:rPr>
      </w:pPr>
    </w:p>
    <w:p w14:paraId="686789D1">
      <w:pPr>
        <w:outlineLvl w:val="9"/>
        <w:rPr>
          <w:rFonts w:hint="eastAsia" w:ascii="仿宋" w:hAnsi="仿宋" w:eastAsia="仿宋"/>
          <w:sz w:val="28"/>
          <w:szCs w:val="28"/>
        </w:rPr>
      </w:pPr>
    </w:p>
    <w:p w14:paraId="21BD2135">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7</w:t>
      </w:r>
      <w:r>
        <w:rPr>
          <w:rFonts w:hint="eastAsia" w:ascii="仿宋" w:hAnsi="仿宋" w:eastAsia="仿宋"/>
          <w:sz w:val="28"/>
          <w:szCs w:val="28"/>
        </w:rPr>
        <w:t>：</w:t>
      </w:r>
    </w:p>
    <w:p w14:paraId="3434E1D9">
      <w:pPr>
        <w:adjustRightInd w:val="0"/>
        <w:snapToGrid w:val="0"/>
        <w:spacing w:line="480" w:lineRule="auto"/>
        <w:ind w:firstLine="0" w:firstLineChars="0"/>
        <w:jc w:val="center"/>
        <w:outlineLvl w:val="9"/>
        <w:rPr>
          <w:rFonts w:hint="eastAsia" w:ascii="仿宋" w:hAnsi="仿宋" w:eastAsia="仿宋"/>
          <w:b/>
          <w:sz w:val="32"/>
          <w:szCs w:val="28"/>
        </w:rPr>
      </w:pPr>
      <w:r>
        <w:rPr>
          <w:rFonts w:hint="eastAsia" w:ascii="仿宋" w:hAnsi="仿宋" w:eastAsia="仿宋"/>
          <w:b/>
          <w:sz w:val="32"/>
          <w:szCs w:val="28"/>
        </w:rPr>
        <w:t>反商业贿赂承诺书</w:t>
      </w:r>
    </w:p>
    <w:p w14:paraId="49D86EF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为维护卫生行业的整体形象，保证合作的合法开展，维护贵院医疗、管理工作的正常秩序，保障广大患者的健康和利益，本厂家、商家、公司特郑重承诺如下：</w:t>
      </w:r>
    </w:p>
    <w:p w14:paraId="258E1C4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一、严格按照《招标投标法》《药品管理法》《反不正当竞争法》等有关法律、法规、规章、政策的规定，规范遴选工作以及达成协议后的合作工作，保证做到合法遴选、正当竞争、廉洁经营。</w:t>
      </w:r>
    </w:p>
    <w:p w14:paraId="630841B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二、本厂家、商家、公司保证在遴选工作及合作工作中承诺做到：</w:t>
      </w:r>
    </w:p>
    <w:p w14:paraId="095E9E8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.不与其他参选机构相互串通遴选报价，损害贵院的合法权益；</w:t>
      </w:r>
    </w:p>
    <w:p w14:paraId="5122126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.不与其他参选机构串通遴选，损害国家利益、社会公共利益或他人的合法权益；</w:t>
      </w:r>
    </w:p>
    <w:p w14:paraId="351168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.不以向项目遴选方或者评审小组成员行贿的手段谋取中选；</w:t>
      </w:r>
    </w:p>
    <w:p w14:paraId="2252FDA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.遴选报价不违反相关法律的规定，也不以他人名义参加遴选或者以其他方式弄虚作假，骗取中选；</w:t>
      </w:r>
    </w:p>
    <w:p w14:paraId="186AEB8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.保证不以其他任何方式扰乱贵院的遴选工作；</w:t>
      </w:r>
    </w:p>
    <w:p w14:paraId="182F11A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.保证不在遴选中采取账外暗中给予回扣的手段腐蚀、贿赂相关人员；</w:t>
      </w:r>
    </w:p>
    <w:p w14:paraId="726270E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.保证不以任何名义包括以宣传费、临床促销费、开单费、处方费、广告费、免费度假、考察旅游、房屋装修等任何名义给予贵院有关人员以财物或者其他利益；</w:t>
      </w:r>
    </w:p>
    <w:p w14:paraId="21566C5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.保证不干扰贵院的正常工作秩序；</w:t>
      </w:r>
    </w:p>
    <w:p w14:paraId="5C25D9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.保证不以其他任何不正当竞争手段推销药品、医疗器械、设备、物资。</w:t>
      </w:r>
    </w:p>
    <w:p w14:paraId="3BD882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三、本厂家、商家、公司保证竭力维护贵院的声誉，不做任何有损贵院形象的事情。</w:t>
      </w:r>
    </w:p>
    <w:p w14:paraId="5B98DAE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四、本厂家、商家、公司保证加强对遴选、促销等工作的领导、监督和检查；加强对本厂家、商家、公司工作人员进行相关法律、法规、规章、政策等的教育工作，切实要求本厂家、商家、公司相关工作人员不得采取各类回扣手段腐蚀、贿赂相关人员。</w:t>
      </w:r>
    </w:p>
    <w:p w14:paraId="0F1A6A9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五、对本厂家、商家、公司及本厂家、商家、公司工作人员采取以上手段遴选、促销等，干扰贵院正常工作秩序，损害贵院形象的，本厂家、商家、公司保证：</w:t>
      </w:r>
    </w:p>
    <w:p w14:paraId="2D548BE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.对尚处在遴选阶段的，贵院有权取消本厂家、商家、公司的遴选资格；已经中选的，贵院有权取消中选；对已经获得准入资格的，贵院有权随时取消本厂家、商家、公司的准入资格；</w:t>
      </w:r>
    </w:p>
    <w:p w14:paraId="786346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.对本厂家、商家、公司相关工作人员作出严肃处理；</w:t>
      </w:r>
    </w:p>
    <w:p w14:paraId="5D48012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.对由于本厂家、商家、公司或本厂家、商家、公司工作人员的上述行为给贵院造成经济或名誉损失的，由本厂家、商家、公司负责，并愿意承担全部民事赔偿责任。</w:t>
      </w:r>
    </w:p>
    <w:p w14:paraId="23D954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六、遴选项目名称：</w:t>
      </w:r>
    </w:p>
    <w:p w14:paraId="3154B0FF">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p w14:paraId="03F804E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本《承诺书》一式二份（一份由承诺人自存；一份随竞价书传递）</w:t>
      </w:r>
    </w:p>
    <w:p w14:paraId="0F715338">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rPr>
      </w:pPr>
      <w:r>
        <w:rPr>
          <w:rFonts w:hint="eastAsia" w:ascii="仿宋" w:hAnsi="仿宋" w:eastAsia="仿宋"/>
          <w:sz w:val="28"/>
          <w:szCs w:val="28"/>
        </w:rPr>
        <w:t>承诺企业名称（公章）</w:t>
      </w:r>
    </w:p>
    <w:p w14:paraId="47759566">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rPr>
      </w:pPr>
      <w:r>
        <w:rPr>
          <w:rFonts w:hint="eastAsia" w:ascii="仿宋" w:hAnsi="仿宋" w:eastAsia="仿宋"/>
          <w:sz w:val="28"/>
          <w:szCs w:val="28"/>
        </w:rPr>
        <w:t>法人代表或委托代理人（承诺人）</w:t>
      </w:r>
    </w:p>
    <w:p w14:paraId="22B21AAE">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8</w:t>
      </w:r>
      <w:r>
        <w:rPr>
          <w:rFonts w:hint="eastAsia" w:ascii="仿宋" w:hAnsi="仿宋" w:eastAsia="仿宋"/>
          <w:sz w:val="28"/>
          <w:szCs w:val="28"/>
        </w:rPr>
        <w:t>：</w:t>
      </w:r>
    </w:p>
    <w:p w14:paraId="4E390E0B">
      <w:pPr>
        <w:adjustRightInd w:val="0"/>
        <w:snapToGrid w:val="0"/>
        <w:spacing w:line="480" w:lineRule="auto"/>
        <w:ind w:firstLine="0" w:firstLineChars="0"/>
        <w:jc w:val="center"/>
        <w:outlineLvl w:val="9"/>
        <w:rPr>
          <w:rFonts w:hint="eastAsia" w:ascii="仿宋" w:hAnsi="仿宋" w:eastAsia="仿宋" w:cs="Times New Roman"/>
          <w:b/>
          <w:sz w:val="32"/>
          <w:szCs w:val="28"/>
          <w:highlight w:val="none"/>
        </w:rPr>
      </w:pPr>
      <w:r>
        <w:rPr>
          <w:rFonts w:hint="eastAsia" w:ascii="仿宋" w:hAnsi="仿宋" w:eastAsia="仿宋" w:cs="Times New Roman"/>
          <w:b/>
          <w:sz w:val="32"/>
          <w:szCs w:val="28"/>
          <w:highlight w:val="none"/>
          <w:lang w:eastAsia="zh-CN"/>
        </w:rPr>
        <w:t>参选机构</w:t>
      </w:r>
      <w:r>
        <w:rPr>
          <w:rFonts w:hint="eastAsia" w:ascii="仿宋" w:hAnsi="仿宋" w:eastAsia="仿宋" w:cs="Times New Roman"/>
          <w:b/>
          <w:sz w:val="32"/>
          <w:szCs w:val="28"/>
          <w:highlight w:val="none"/>
        </w:rPr>
        <w:t>遵守</w:t>
      </w:r>
      <w:r>
        <w:rPr>
          <w:rFonts w:hint="eastAsia" w:ascii="仿宋" w:hAnsi="仿宋" w:eastAsia="仿宋" w:cs="Times New Roman"/>
          <w:b/>
          <w:sz w:val="32"/>
          <w:szCs w:val="28"/>
          <w:highlight w:val="none"/>
          <w:lang w:eastAsia="zh-CN"/>
        </w:rPr>
        <w:t>遴选</w:t>
      </w:r>
      <w:r>
        <w:rPr>
          <w:rFonts w:hint="eastAsia" w:ascii="仿宋" w:hAnsi="仿宋" w:eastAsia="仿宋" w:cs="Times New Roman"/>
          <w:b/>
          <w:sz w:val="32"/>
          <w:szCs w:val="28"/>
          <w:highlight w:val="none"/>
        </w:rPr>
        <w:t>纪律承诺书</w:t>
      </w:r>
    </w:p>
    <w:p w14:paraId="540EEB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14:paraId="5DD991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致四川省妇幼保健院：</w:t>
      </w:r>
    </w:p>
    <w:p w14:paraId="5D8F591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我单位作为本次</w:t>
      </w:r>
      <w:r>
        <w:rPr>
          <w:rFonts w:hint="eastAsia" w:ascii="仿宋" w:hAnsi="仿宋" w:eastAsia="仿宋" w:cs="仿宋"/>
          <w:sz w:val="28"/>
          <w:szCs w:val="28"/>
          <w:lang w:eastAsia="zh-CN"/>
        </w:rPr>
        <w:t>遴选</w:t>
      </w:r>
      <w:r>
        <w:rPr>
          <w:rFonts w:hint="eastAsia" w:ascii="仿宋" w:hAnsi="仿宋" w:eastAsia="仿宋" w:cs="仿宋"/>
          <w:sz w:val="28"/>
          <w:szCs w:val="28"/>
        </w:rPr>
        <w:t>项目的</w:t>
      </w:r>
      <w:r>
        <w:rPr>
          <w:rFonts w:hint="eastAsia" w:ascii="仿宋" w:hAnsi="仿宋" w:eastAsia="仿宋" w:cs="仿宋"/>
          <w:sz w:val="28"/>
          <w:szCs w:val="28"/>
          <w:lang w:eastAsia="zh-CN"/>
        </w:rPr>
        <w:t>参选机构</w:t>
      </w:r>
      <w:r>
        <w:rPr>
          <w:rFonts w:hint="eastAsia" w:ascii="仿宋" w:hAnsi="仿宋" w:eastAsia="仿宋" w:cs="仿宋"/>
          <w:sz w:val="28"/>
          <w:szCs w:val="28"/>
        </w:rPr>
        <w:t>，根据响应文件要求，现郑重承诺如下：</w:t>
      </w:r>
    </w:p>
    <w:p w14:paraId="4659324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活动，我单位不存在与单位负责人为同一人或者存在直接控股、管理关系的其他</w:t>
      </w:r>
      <w:r>
        <w:rPr>
          <w:rFonts w:hint="eastAsia" w:ascii="仿宋" w:hAnsi="仿宋" w:eastAsia="仿宋" w:cs="仿宋"/>
          <w:sz w:val="28"/>
          <w:szCs w:val="28"/>
          <w:lang w:eastAsia="zh-CN"/>
        </w:rPr>
        <w:t>参选机构</w:t>
      </w:r>
      <w:r>
        <w:rPr>
          <w:rFonts w:hint="eastAsia" w:ascii="仿宋" w:hAnsi="仿宋" w:eastAsia="仿宋" w:cs="仿宋"/>
          <w:sz w:val="28"/>
          <w:szCs w:val="28"/>
        </w:rPr>
        <w:t>参与同一合同项下的</w:t>
      </w:r>
      <w:r>
        <w:rPr>
          <w:rFonts w:hint="eastAsia" w:ascii="仿宋" w:hAnsi="仿宋" w:eastAsia="仿宋" w:cs="仿宋"/>
          <w:sz w:val="28"/>
          <w:szCs w:val="28"/>
          <w:lang w:eastAsia="zh-CN"/>
        </w:rPr>
        <w:t>遴选</w:t>
      </w:r>
      <w:r>
        <w:rPr>
          <w:rFonts w:hint="eastAsia" w:ascii="仿宋" w:hAnsi="仿宋" w:eastAsia="仿宋" w:cs="仿宋"/>
          <w:sz w:val="28"/>
          <w:szCs w:val="28"/>
        </w:rPr>
        <w:t>活动的行为。</w:t>
      </w:r>
    </w:p>
    <w:p w14:paraId="3EFF0EC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活动，不得直接或者间接从</w:t>
      </w:r>
      <w:r>
        <w:rPr>
          <w:rFonts w:hint="eastAsia" w:ascii="仿宋" w:hAnsi="仿宋" w:eastAsia="仿宋" w:cs="仿宋"/>
          <w:sz w:val="28"/>
          <w:szCs w:val="28"/>
          <w:lang w:eastAsia="zh-CN"/>
        </w:rPr>
        <w:t>遴选</w:t>
      </w:r>
      <w:r>
        <w:rPr>
          <w:rFonts w:hint="eastAsia" w:ascii="仿宋" w:hAnsi="仿宋" w:eastAsia="仿宋" w:cs="仿宋"/>
          <w:sz w:val="28"/>
          <w:szCs w:val="28"/>
        </w:rPr>
        <w:t>人处获得其他</w:t>
      </w:r>
      <w:r>
        <w:rPr>
          <w:rFonts w:hint="eastAsia" w:ascii="仿宋" w:hAnsi="仿宋" w:eastAsia="仿宋" w:cs="仿宋"/>
          <w:sz w:val="28"/>
          <w:szCs w:val="28"/>
          <w:lang w:eastAsia="zh-CN"/>
        </w:rPr>
        <w:t>参选机构</w:t>
      </w:r>
      <w:r>
        <w:rPr>
          <w:rFonts w:hint="eastAsia" w:ascii="仿宋" w:hAnsi="仿宋" w:eastAsia="仿宋" w:cs="仿宋"/>
          <w:sz w:val="28"/>
          <w:szCs w:val="28"/>
        </w:rPr>
        <w:t>的相关情况并修改其投标文件或者响应文件。</w:t>
      </w:r>
    </w:p>
    <w:p w14:paraId="5E413A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活动，不得按照</w:t>
      </w:r>
      <w:r>
        <w:rPr>
          <w:rFonts w:hint="eastAsia" w:ascii="仿宋" w:hAnsi="仿宋" w:eastAsia="仿宋" w:cs="仿宋"/>
          <w:sz w:val="28"/>
          <w:szCs w:val="28"/>
          <w:lang w:eastAsia="zh-CN"/>
        </w:rPr>
        <w:t>遴选</w:t>
      </w:r>
      <w:r>
        <w:rPr>
          <w:rFonts w:hint="eastAsia" w:ascii="仿宋" w:hAnsi="仿宋" w:eastAsia="仿宋" w:cs="仿宋"/>
          <w:sz w:val="28"/>
          <w:szCs w:val="28"/>
        </w:rPr>
        <w:t>人的授意撤换、修改投标文件或者响应文件。</w:t>
      </w:r>
    </w:p>
    <w:p w14:paraId="11F5106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活动，不得和本次</w:t>
      </w:r>
      <w:r>
        <w:rPr>
          <w:rFonts w:hint="eastAsia" w:ascii="仿宋" w:hAnsi="仿宋" w:eastAsia="仿宋" w:cs="仿宋"/>
          <w:sz w:val="28"/>
          <w:szCs w:val="28"/>
          <w:lang w:eastAsia="zh-CN"/>
        </w:rPr>
        <w:t>遴选参选机构</w:t>
      </w:r>
      <w:r>
        <w:rPr>
          <w:rFonts w:hint="eastAsia" w:ascii="仿宋" w:hAnsi="仿宋" w:eastAsia="仿宋" w:cs="仿宋"/>
          <w:sz w:val="28"/>
          <w:szCs w:val="28"/>
        </w:rPr>
        <w:t>之间协商报价、技术方案等投标文件或者响应文件的实质性内容。</w:t>
      </w:r>
    </w:p>
    <w:p w14:paraId="0334AC0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五、本次</w:t>
      </w:r>
      <w:r>
        <w:rPr>
          <w:rFonts w:hint="eastAsia" w:ascii="仿宋" w:hAnsi="仿宋" w:eastAsia="仿宋" w:cs="仿宋"/>
          <w:sz w:val="28"/>
          <w:szCs w:val="28"/>
          <w:lang w:eastAsia="zh-CN"/>
        </w:rPr>
        <w:t>遴选</w:t>
      </w:r>
      <w:r>
        <w:rPr>
          <w:rFonts w:hint="eastAsia" w:ascii="仿宋" w:hAnsi="仿宋" w:eastAsia="仿宋" w:cs="仿宋"/>
          <w:sz w:val="28"/>
          <w:szCs w:val="28"/>
        </w:rPr>
        <w:t>活动中，不存在属于同一集团、协会、商会等组织成员的</w:t>
      </w:r>
      <w:r>
        <w:rPr>
          <w:rFonts w:hint="eastAsia" w:ascii="仿宋" w:hAnsi="仿宋" w:eastAsia="仿宋" w:cs="仿宋"/>
          <w:sz w:val="28"/>
          <w:szCs w:val="28"/>
          <w:lang w:eastAsia="zh-CN"/>
        </w:rPr>
        <w:t>参选机构</w:t>
      </w:r>
      <w:r>
        <w:rPr>
          <w:rFonts w:hint="eastAsia" w:ascii="仿宋" w:hAnsi="仿宋" w:eastAsia="仿宋" w:cs="仿宋"/>
          <w:sz w:val="28"/>
          <w:szCs w:val="28"/>
        </w:rPr>
        <w:t>按照该组织要求协同参加本次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w:t>
      </w:r>
    </w:p>
    <w:p w14:paraId="6A9D54E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活动，不存在与其他</w:t>
      </w:r>
      <w:r>
        <w:rPr>
          <w:rFonts w:hint="eastAsia" w:ascii="仿宋" w:hAnsi="仿宋" w:eastAsia="仿宋" w:cs="仿宋"/>
          <w:sz w:val="28"/>
          <w:szCs w:val="28"/>
          <w:lang w:eastAsia="zh-CN"/>
        </w:rPr>
        <w:t>参选机构</w:t>
      </w:r>
      <w:r>
        <w:rPr>
          <w:rFonts w:hint="eastAsia" w:ascii="仿宋" w:hAnsi="仿宋" w:eastAsia="仿宋" w:cs="仿宋"/>
          <w:sz w:val="28"/>
          <w:szCs w:val="28"/>
        </w:rPr>
        <w:t>之间事先约定由某一特定</w:t>
      </w:r>
      <w:r>
        <w:rPr>
          <w:rFonts w:hint="eastAsia" w:ascii="仿宋" w:hAnsi="仿宋" w:eastAsia="仿宋" w:cs="仿宋"/>
          <w:sz w:val="28"/>
          <w:szCs w:val="28"/>
          <w:lang w:eastAsia="zh-CN"/>
        </w:rPr>
        <w:t>参选机构</w:t>
      </w:r>
      <w:r>
        <w:rPr>
          <w:rFonts w:hint="eastAsia" w:ascii="仿宋" w:hAnsi="仿宋" w:eastAsia="仿宋" w:cs="仿宋"/>
          <w:sz w:val="28"/>
          <w:szCs w:val="28"/>
        </w:rPr>
        <w:t>中标、成交。</w:t>
      </w:r>
    </w:p>
    <w:p w14:paraId="5E63B7D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活动，不存在与其他</w:t>
      </w:r>
      <w:r>
        <w:rPr>
          <w:rFonts w:hint="eastAsia" w:ascii="仿宋" w:hAnsi="仿宋" w:eastAsia="仿宋" w:cs="仿宋"/>
          <w:sz w:val="28"/>
          <w:szCs w:val="28"/>
          <w:lang w:eastAsia="zh-CN"/>
        </w:rPr>
        <w:t>参选机构</w:t>
      </w:r>
      <w:r>
        <w:rPr>
          <w:rFonts w:hint="eastAsia" w:ascii="仿宋" w:hAnsi="仿宋" w:eastAsia="仿宋" w:cs="仿宋"/>
          <w:sz w:val="28"/>
          <w:szCs w:val="28"/>
        </w:rPr>
        <w:t>商定部分</w:t>
      </w:r>
      <w:r>
        <w:rPr>
          <w:rFonts w:hint="eastAsia" w:ascii="仿宋" w:hAnsi="仿宋" w:eastAsia="仿宋" w:cs="仿宋"/>
          <w:sz w:val="28"/>
          <w:szCs w:val="28"/>
          <w:lang w:eastAsia="zh-CN"/>
        </w:rPr>
        <w:t>参选机构</w:t>
      </w:r>
      <w:r>
        <w:rPr>
          <w:rFonts w:hint="eastAsia" w:ascii="仿宋" w:hAnsi="仿宋" w:eastAsia="仿宋" w:cs="仿宋"/>
          <w:sz w:val="28"/>
          <w:szCs w:val="28"/>
        </w:rPr>
        <w:t>放弃参加</w:t>
      </w:r>
      <w:r>
        <w:rPr>
          <w:rFonts w:hint="eastAsia" w:ascii="仿宋" w:hAnsi="仿宋" w:eastAsia="仿宋" w:cs="仿宋"/>
          <w:sz w:val="28"/>
          <w:szCs w:val="28"/>
          <w:lang w:eastAsia="zh-CN"/>
        </w:rPr>
        <w:t>遴选</w:t>
      </w:r>
      <w:r>
        <w:rPr>
          <w:rFonts w:hint="eastAsia" w:ascii="仿宋" w:hAnsi="仿宋" w:eastAsia="仿宋" w:cs="仿宋"/>
          <w:sz w:val="28"/>
          <w:szCs w:val="28"/>
        </w:rPr>
        <w:t>活动或者放弃中标、成交。</w:t>
      </w:r>
    </w:p>
    <w:p w14:paraId="706BF6F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活动，不存在我单位的投标文件或者响应文件由其他参与本项目的单位或个人编制或委托办理投标事宜。</w:t>
      </w:r>
    </w:p>
    <w:p w14:paraId="3B564CD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活动，不存在我单位与</w:t>
      </w:r>
      <w:r>
        <w:rPr>
          <w:rFonts w:hint="eastAsia" w:ascii="仿宋" w:hAnsi="仿宋" w:eastAsia="仿宋" w:cs="仿宋"/>
          <w:sz w:val="28"/>
          <w:szCs w:val="28"/>
          <w:lang w:eastAsia="zh-CN"/>
        </w:rPr>
        <w:t>遴选</w:t>
      </w:r>
      <w:r>
        <w:rPr>
          <w:rFonts w:hint="eastAsia" w:ascii="仿宋" w:hAnsi="仿宋" w:eastAsia="仿宋" w:cs="仿宋"/>
          <w:sz w:val="28"/>
          <w:szCs w:val="28"/>
        </w:rPr>
        <w:t>人之间、</w:t>
      </w:r>
      <w:r>
        <w:rPr>
          <w:rFonts w:hint="eastAsia" w:ascii="仿宋" w:hAnsi="仿宋" w:eastAsia="仿宋" w:cs="仿宋"/>
          <w:sz w:val="28"/>
          <w:szCs w:val="28"/>
          <w:lang w:eastAsia="zh-CN"/>
        </w:rPr>
        <w:t>参选机构</w:t>
      </w:r>
      <w:r>
        <w:rPr>
          <w:rFonts w:hint="eastAsia" w:ascii="仿宋" w:hAnsi="仿宋" w:eastAsia="仿宋" w:cs="仿宋"/>
          <w:sz w:val="28"/>
          <w:szCs w:val="28"/>
        </w:rPr>
        <w:t>相互之间，为谋求特定</w:t>
      </w:r>
      <w:r>
        <w:rPr>
          <w:rFonts w:hint="eastAsia" w:ascii="仿宋" w:hAnsi="仿宋" w:eastAsia="仿宋" w:cs="仿宋"/>
          <w:sz w:val="28"/>
          <w:szCs w:val="28"/>
          <w:lang w:eastAsia="zh-CN"/>
        </w:rPr>
        <w:t>参选机构</w:t>
      </w:r>
      <w:r>
        <w:rPr>
          <w:rFonts w:hint="eastAsia" w:ascii="仿宋" w:hAnsi="仿宋" w:eastAsia="仿宋" w:cs="仿宋"/>
          <w:sz w:val="28"/>
          <w:szCs w:val="28"/>
        </w:rPr>
        <w:t>中标、成交或者排斥其他</w:t>
      </w:r>
      <w:r>
        <w:rPr>
          <w:rFonts w:hint="eastAsia" w:ascii="仿宋" w:hAnsi="仿宋" w:eastAsia="仿宋" w:cs="仿宋"/>
          <w:sz w:val="28"/>
          <w:szCs w:val="28"/>
          <w:lang w:eastAsia="zh-CN"/>
        </w:rPr>
        <w:t>参选机构</w:t>
      </w:r>
      <w:r>
        <w:rPr>
          <w:rFonts w:hint="eastAsia" w:ascii="仿宋" w:hAnsi="仿宋" w:eastAsia="仿宋" w:cs="仿宋"/>
          <w:sz w:val="28"/>
          <w:szCs w:val="28"/>
        </w:rPr>
        <w:t>的其他串通行为。</w:t>
      </w:r>
    </w:p>
    <w:p w14:paraId="6866D40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十、与我方存在直接控股关系的单位为：</w:t>
      </w:r>
      <w:r>
        <w:rPr>
          <w:rFonts w:hint="eastAsia" w:ascii="仿宋" w:hAnsi="仿宋" w:eastAsia="仿宋" w:cs="仿宋"/>
          <w:sz w:val="28"/>
          <w:szCs w:val="28"/>
          <w:u w:val="single"/>
        </w:rPr>
        <w:t>XXXXXX</w:t>
      </w:r>
      <w:r>
        <w:rPr>
          <w:rFonts w:hint="eastAsia" w:ascii="仿宋" w:hAnsi="仿宋" w:eastAsia="仿宋" w:cs="仿宋"/>
          <w:sz w:val="28"/>
          <w:szCs w:val="28"/>
        </w:rPr>
        <w:t>；存在管理关系单位为：</w:t>
      </w:r>
      <w:r>
        <w:rPr>
          <w:rFonts w:hint="eastAsia" w:ascii="仿宋" w:hAnsi="仿宋" w:eastAsia="仿宋" w:cs="仿宋"/>
          <w:sz w:val="28"/>
          <w:szCs w:val="28"/>
          <w:u w:val="single"/>
        </w:rPr>
        <w:t>XXXXXX</w:t>
      </w:r>
      <w:r>
        <w:rPr>
          <w:rFonts w:hint="eastAsia" w:ascii="仿宋" w:hAnsi="仿宋" w:eastAsia="仿宋" w:cs="仿宋"/>
          <w:sz w:val="28"/>
          <w:szCs w:val="28"/>
        </w:rPr>
        <w:t>。</w:t>
      </w:r>
    </w:p>
    <w:p w14:paraId="50875A7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712890E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p>
    <w:p w14:paraId="16E65F4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参选机构</w:t>
      </w:r>
      <w:r>
        <w:rPr>
          <w:rFonts w:hint="eastAsia" w:ascii="仿宋" w:hAnsi="仿宋" w:eastAsia="仿宋" w:cs="仿宋"/>
          <w:sz w:val="28"/>
          <w:szCs w:val="28"/>
        </w:rPr>
        <w:t>名称（单位公章）：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3133D95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法定代表人/单位负责人或授权代表</w:t>
      </w:r>
    </w:p>
    <w:p w14:paraId="08513F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（签字或加盖个人名章）：</w:t>
      </w:r>
    </w:p>
    <w:p w14:paraId="1FA4582F">
      <w:pPr>
        <w:ind w:firstLine="560" w:firstLineChars="200"/>
        <w:rPr>
          <w:rFonts w:hint="eastAsia" w:ascii="仿宋" w:hAnsi="仿宋" w:eastAsia="仿宋"/>
          <w:sz w:val="28"/>
          <w:szCs w:val="28"/>
        </w:rPr>
        <w:sectPr>
          <w:pgSz w:w="11906" w:h="16838"/>
          <w:pgMar w:top="1440" w:right="1800" w:bottom="1440" w:left="1800" w:header="851" w:footer="992" w:gutter="0"/>
          <w:pgNumType w:fmt="decimal"/>
          <w:cols w:space="425" w:num="1"/>
          <w:docGrid w:type="lines" w:linePitch="312" w:charSpace="0"/>
        </w:sectPr>
      </w:pPr>
    </w:p>
    <w:p w14:paraId="05538827">
      <w:pPr>
        <w:adjustRightInd w:val="0"/>
        <w:snapToGrid w:val="0"/>
        <w:spacing w:line="480" w:lineRule="auto"/>
        <w:jc w:val="both"/>
        <w:outlineLvl w:val="0"/>
        <w:rPr>
          <w:rFonts w:hint="eastAsia" w:ascii="仿宋" w:hAnsi="仿宋" w:eastAsia="仿宋"/>
          <w:b/>
          <w:sz w:val="32"/>
          <w:szCs w:val="28"/>
        </w:rPr>
      </w:pPr>
      <w:r>
        <w:rPr>
          <w:rFonts w:hint="eastAsia" w:ascii="仿宋" w:hAnsi="仿宋" w:eastAsia="仿宋"/>
          <w:sz w:val="28"/>
          <w:szCs w:val="28"/>
        </w:rPr>
        <w:t>附件</w:t>
      </w:r>
      <w:r>
        <w:rPr>
          <w:rFonts w:hint="eastAsia" w:ascii="仿宋" w:hAnsi="仿宋" w:eastAsia="仿宋"/>
          <w:sz w:val="28"/>
          <w:szCs w:val="28"/>
          <w:lang w:val="en-US" w:eastAsia="zh-CN"/>
        </w:rPr>
        <w:t>9</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b/>
          <w:sz w:val="32"/>
          <w:szCs w:val="28"/>
        </w:rPr>
        <w:t>评审办法（综合评分明细表）</w:t>
      </w:r>
    </w:p>
    <w:tbl>
      <w:tblPr>
        <w:tblStyle w:val="18"/>
        <w:tblW w:w="10425" w:type="dxa"/>
        <w:tblInd w:w="-753" w:type="dxa"/>
        <w:tblLayout w:type="autofit"/>
        <w:tblCellMar>
          <w:top w:w="0" w:type="dxa"/>
          <w:left w:w="108" w:type="dxa"/>
          <w:bottom w:w="0" w:type="dxa"/>
          <w:right w:w="108" w:type="dxa"/>
        </w:tblCellMar>
      </w:tblPr>
      <w:tblGrid>
        <w:gridCol w:w="851"/>
        <w:gridCol w:w="986"/>
        <w:gridCol w:w="766"/>
        <w:gridCol w:w="737"/>
        <w:gridCol w:w="4708"/>
        <w:gridCol w:w="654"/>
        <w:gridCol w:w="1723"/>
      </w:tblGrid>
      <w:tr w14:paraId="6F0CD7B8">
        <w:tblPrEx>
          <w:tblCellMar>
            <w:top w:w="0" w:type="dxa"/>
            <w:left w:w="108" w:type="dxa"/>
            <w:bottom w:w="0" w:type="dxa"/>
            <w:right w:w="108" w:type="dxa"/>
          </w:tblCellMar>
        </w:tblPrEx>
        <w:trPr>
          <w:trHeight w:val="345" w:hRule="atLeast"/>
        </w:trPr>
        <w:tc>
          <w:tcPr>
            <w:tcW w:w="851" w:type="dxa"/>
            <w:tcBorders>
              <w:top w:val="single" w:color="auto" w:sz="8" w:space="0"/>
              <w:left w:val="single" w:color="auto" w:sz="8" w:space="0"/>
              <w:bottom w:val="nil"/>
              <w:right w:val="single" w:color="auto" w:sz="8" w:space="0"/>
            </w:tcBorders>
            <w:shd w:val="clear" w:color="auto" w:fill="auto"/>
            <w:vAlign w:val="center"/>
          </w:tcPr>
          <w:p w14:paraId="310085D5">
            <w:pPr>
              <w:widowControl/>
              <w:jc w:val="center"/>
              <w:rPr>
                <w:rFonts w:hint="eastAsia" w:ascii="黑体" w:hAnsi="黑体" w:eastAsia="黑体" w:cs="黑体"/>
                <w:bCs/>
                <w:color w:val="000000"/>
                <w:kern w:val="0"/>
                <w:sz w:val="22"/>
                <w:szCs w:val="22"/>
              </w:rPr>
            </w:pPr>
            <w:r>
              <w:rPr>
                <w:rFonts w:hint="eastAsia" w:ascii="黑体" w:hAnsi="黑体" w:eastAsia="黑体" w:cs="黑体"/>
                <w:bCs/>
                <w:color w:val="000000"/>
                <w:kern w:val="0"/>
                <w:sz w:val="22"/>
                <w:szCs w:val="22"/>
              </w:rPr>
              <w:t>序号</w:t>
            </w:r>
          </w:p>
        </w:tc>
        <w:tc>
          <w:tcPr>
            <w:tcW w:w="1752" w:type="dxa"/>
            <w:gridSpan w:val="2"/>
            <w:tcBorders>
              <w:top w:val="single" w:color="auto" w:sz="8" w:space="0"/>
              <w:left w:val="nil"/>
              <w:bottom w:val="single" w:color="auto" w:sz="8" w:space="0"/>
              <w:right w:val="single" w:color="000000" w:sz="8" w:space="0"/>
            </w:tcBorders>
            <w:shd w:val="clear" w:color="auto" w:fill="auto"/>
            <w:vAlign w:val="center"/>
          </w:tcPr>
          <w:p w14:paraId="7C1B0342">
            <w:pPr>
              <w:widowControl/>
              <w:jc w:val="center"/>
              <w:rPr>
                <w:rFonts w:hint="eastAsia" w:ascii="黑体" w:hAnsi="黑体" w:eastAsia="黑体" w:cs="黑体"/>
                <w:bCs/>
                <w:color w:val="000000"/>
                <w:kern w:val="0"/>
                <w:sz w:val="22"/>
                <w:szCs w:val="22"/>
              </w:rPr>
            </w:pPr>
            <w:r>
              <w:rPr>
                <w:rFonts w:hint="eastAsia" w:ascii="黑体" w:hAnsi="黑体" w:eastAsia="黑体" w:cs="黑体"/>
                <w:bCs/>
                <w:color w:val="000000"/>
                <w:kern w:val="0"/>
                <w:sz w:val="22"/>
                <w:szCs w:val="22"/>
              </w:rPr>
              <w:t>评分因素及权重</w:t>
            </w:r>
          </w:p>
        </w:tc>
        <w:tc>
          <w:tcPr>
            <w:tcW w:w="737" w:type="dxa"/>
            <w:tcBorders>
              <w:top w:val="single" w:color="auto" w:sz="8" w:space="0"/>
              <w:left w:val="nil"/>
              <w:bottom w:val="single" w:color="auto" w:sz="8" w:space="0"/>
              <w:right w:val="single" w:color="auto" w:sz="8" w:space="0"/>
            </w:tcBorders>
            <w:shd w:val="clear" w:color="auto" w:fill="auto"/>
            <w:vAlign w:val="center"/>
          </w:tcPr>
          <w:p w14:paraId="3358F4BC">
            <w:pPr>
              <w:widowControl/>
              <w:jc w:val="center"/>
              <w:rPr>
                <w:rFonts w:hint="eastAsia" w:ascii="黑体" w:hAnsi="黑体" w:eastAsia="黑体" w:cs="黑体"/>
                <w:bCs/>
                <w:color w:val="000000"/>
                <w:kern w:val="0"/>
                <w:sz w:val="22"/>
                <w:szCs w:val="22"/>
              </w:rPr>
            </w:pPr>
            <w:r>
              <w:rPr>
                <w:rFonts w:hint="eastAsia" w:ascii="黑体" w:hAnsi="黑体" w:eastAsia="黑体" w:cs="黑体"/>
                <w:bCs/>
                <w:color w:val="000000"/>
                <w:kern w:val="0"/>
                <w:sz w:val="22"/>
                <w:szCs w:val="22"/>
              </w:rPr>
              <w:t>分值</w:t>
            </w:r>
          </w:p>
        </w:tc>
        <w:tc>
          <w:tcPr>
            <w:tcW w:w="4708" w:type="dxa"/>
            <w:tcBorders>
              <w:top w:val="single" w:color="auto" w:sz="8" w:space="0"/>
              <w:left w:val="nil"/>
              <w:bottom w:val="single" w:color="auto" w:sz="8" w:space="0"/>
              <w:right w:val="single" w:color="auto" w:sz="8" w:space="0"/>
            </w:tcBorders>
            <w:shd w:val="clear" w:color="auto" w:fill="auto"/>
            <w:vAlign w:val="center"/>
          </w:tcPr>
          <w:p w14:paraId="76B1B094">
            <w:pPr>
              <w:widowControl/>
              <w:jc w:val="center"/>
              <w:rPr>
                <w:rFonts w:hint="eastAsia" w:ascii="黑体" w:hAnsi="黑体" w:eastAsia="黑体" w:cs="黑体"/>
                <w:bCs/>
                <w:color w:val="000000"/>
                <w:kern w:val="0"/>
                <w:sz w:val="22"/>
                <w:szCs w:val="22"/>
              </w:rPr>
            </w:pPr>
            <w:r>
              <w:rPr>
                <w:rFonts w:hint="eastAsia" w:ascii="黑体" w:hAnsi="黑体" w:eastAsia="黑体" w:cs="黑体"/>
                <w:bCs/>
                <w:color w:val="000000"/>
                <w:kern w:val="0"/>
                <w:sz w:val="22"/>
                <w:szCs w:val="22"/>
              </w:rPr>
              <w:t>评分标准</w:t>
            </w:r>
          </w:p>
        </w:tc>
        <w:tc>
          <w:tcPr>
            <w:tcW w:w="654" w:type="dxa"/>
            <w:tcBorders>
              <w:top w:val="single" w:color="auto" w:sz="8" w:space="0"/>
              <w:left w:val="nil"/>
              <w:bottom w:val="single" w:color="auto" w:sz="8" w:space="0"/>
              <w:right w:val="single" w:color="auto" w:sz="8" w:space="0"/>
            </w:tcBorders>
            <w:shd w:val="clear" w:color="auto" w:fill="auto"/>
            <w:vAlign w:val="center"/>
          </w:tcPr>
          <w:p w14:paraId="19D00744">
            <w:pPr>
              <w:widowControl/>
              <w:jc w:val="center"/>
              <w:rPr>
                <w:rFonts w:hint="eastAsia" w:ascii="黑体" w:hAnsi="黑体" w:eastAsia="黑体" w:cs="黑体"/>
                <w:bCs/>
                <w:color w:val="000000"/>
                <w:kern w:val="0"/>
                <w:sz w:val="22"/>
                <w:szCs w:val="22"/>
              </w:rPr>
            </w:pPr>
            <w:r>
              <w:rPr>
                <w:rFonts w:hint="eastAsia" w:ascii="黑体" w:hAnsi="黑体" w:eastAsia="黑体" w:cs="黑体"/>
                <w:bCs/>
                <w:color w:val="000000"/>
                <w:kern w:val="0"/>
                <w:sz w:val="22"/>
                <w:szCs w:val="22"/>
              </w:rPr>
              <w:t>得分</w:t>
            </w:r>
          </w:p>
        </w:tc>
        <w:tc>
          <w:tcPr>
            <w:tcW w:w="1723" w:type="dxa"/>
            <w:tcBorders>
              <w:top w:val="single" w:color="auto" w:sz="8" w:space="0"/>
              <w:left w:val="nil"/>
              <w:bottom w:val="single" w:color="auto" w:sz="8" w:space="0"/>
              <w:right w:val="single" w:color="auto" w:sz="8" w:space="0"/>
            </w:tcBorders>
            <w:vAlign w:val="center"/>
          </w:tcPr>
          <w:p w14:paraId="5CB38BF3">
            <w:pPr>
              <w:widowControl/>
              <w:jc w:val="center"/>
              <w:rPr>
                <w:rFonts w:hint="eastAsia" w:ascii="黑体" w:hAnsi="黑体" w:eastAsia="黑体" w:cs="黑体"/>
                <w:bCs/>
                <w:color w:val="000000"/>
                <w:kern w:val="0"/>
                <w:sz w:val="22"/>
                <w:szCs w:val="22"/>
              </w:rPr>
            </w:pPr>
            <w:r>
              <w:rPr>
                <w:rFonts w:hint="eastAsia" w:ascii="黑体" w:hAnsi="黑体" w:eastAsia="黑体" w:cs="黑体"/>
                <w:bCs/>
                <w:color w:val="000000"/>
                <w:kern w:val="0"/>
                <w:sz w:val="22"/>
                <w:szCs w:val="22"/>
              </w:rPr>
              <w:t>备注</w:t>
            </w:r>
          </w:p>
        </w:tc>
      </w:tr>
      <w:tr w14:paraId="2D6F75A1">
        <w:tblPrEx>
          <w:tblCellMar>
            <w:top w:w="0" w:type="dxa"/>
            <w:left w:w="108" w:type="dxa"/>
            <w:bottom w:w="0" w:type="dxa"/>
            <w:right w:w="108" w:type="dxa"/>
          </w:tblCellMar>
        </w:tblPrEx>
        <w:trPr>
          <w:trHeight w:val="2134" w:hRule="atLeast"/>
        </w:trPr>
        <w:tc>
          <w:tcPr>
            <w:tcW w:w="851" w:type="dxa"/>
            <w:vMerge w:val="restart"/>
            <w:tcBorders>
              <w:top w:val="single" w:color="auto" w:sz="8" w:space="0"/>
              <w:left w:val="single" w:color="auto" w:sz="8" w:space="0"/>
              <w:right w:val="single" w:color="auto" w:sz="8" w:space="0"/>
            </w:tcBorders>
            <w:shd w:val="clear" w:color="auto" w:fill="auto"/>
            <w:vAlign w:val="center"/>
          </w:tcPr>
          <w:p w14:paraId="5ABCA401">
            <w:pPr>
              <w:widowControl/>
              <w:jc w:val="center"/>
              <w:rPr>
                <w:rFonts w:hint="eastAsia" w:ascii="仿宋" w:hAnsi="仿宋" w:eastAsia="仿宋" w:cs="宋体"/>
                <w:b/>
                <w:bCs/>
                <w:color w:val="000000"/>
                <w:kern w:val="0"/>
                <w:sz w:val="22"/>
                <w:szCs w:val="24"/>
                <w:lang w:eastAsia="zh-CN"/>
              </w:rPr>
            </w:pPr>
            <w:r>
              <w:rPr>
                <w:rFonts w:hint="eastAsia" w:ascii="仿宋" w:hAnsi="仿宋" w:eastAsia="仿宋" w:cs="宋体"/>
                <w:b w:val="0"/>
                <w:bCs w:val="0"/>
                <w:color w:val="000000"/>
                <w:kern w:val="0"/>
                <w:sz w:val="22"/>
                <w:szCs w:val="24"/>
                <w:lang w:val="en-US" w:eastAsia="zh-CN"/>
              </w:rPr>
              <w:t>1</w:t>
            </w:r>
          </w:p>
        </w:tc>
        <w:tc>
          <w:tcPr>
            <w:tcW w:w="1752" w:type="dxa"/>
            <w:gridSpan w:val="2"/>
            <w:vMerge w:val="restart"/>
            <w:tcBorders>
              <w:top w:val="nil"/>
              <w:left w:val="nil"/>
              <w:right w:val="single" w:color="000000" w:sz="8" w:space="0"/>
            </w:tcBorders>
            <w:shd w:val="clear" w:color="auto" w:fill="auto"/>
            <w:vAlign w:val="center"/>
          </w:tcPr>
          <w:p w14:paraId="347D8080">
            <w:pPr>
              <w:widowControl/>
              <w:jc w:val="center"/>
              <w:rPr>
                <w:rFonts w:hint="eastAsia" w:ascii="仿宋" w:hAnsi="仿宋" w:eastAsia="仿宋" w:cs="仿宋"/>
                <w:sz w:val="22"/>
              </w:rPr>
            </w:pPr>
            <w:r>
              <w:rPr>
                <w:rFonts w:hint="eastAsia" w:ascii="仿宋" w:hAnsi="仿宋" w:eastAsia="仿宋" w:cs="仿宋"/>
                <w:sz w:val="22"/>
              </w:rPr>
              <w:t>费用报价</w:t>
            </w:r>
          </w:p>
          <w:p w14:paraId="11ECA570">
            <w:pPr>
              <w:widowControl/>
              <w:jc w:val="center"/>
              <w:rPr>
                <w:rFonts w:hint="eastAsia" w:ascii="仿宋" w:hAnsi="仿宋" w:eastAsia="仿宋" w:cs="仿宋"/>
                <w:sz w:val="22"/>
              </w:rPr>
            </w:pPr>
            <w:r>
              <w:rPr>
                <w:rFonts w:hint="eastAsia" w:ascii="仿宋" w:hAnsi="仿宋" w:eastAsia="仿宋" w:cs="仿宋"/>
                <w:sz w:val="22"/>
              </w:rPr>
              <w:t>（</w:t>
            </w:r>
            <w:r>
              <w:rPr>
                <w:rFonts w:hint="eastAsia" w:ascii="仿宋" w:hAnsi="仿宋" w:eastAsia="仿宋" w:cs="仿宋"/>
                <w:sz w:val="22"/>
                <w:lang w:val="en-US" w:eastAsia="zh-CN"/>
              </w:rPr>
              <w:t>20分</w:t>
            </w:r>
            <w:r>
              <w:rPr>
                <w:rFonts w:hint="eastAsia" w:ascii="仿宋" w:hAnsi="仿宋" w:eastAsia="仿宋" w:cs="仿宋"/>
                <w:sz w:val="22"/>
              </w:rPr>
              <w:t>）</w:t>
            </w:r>
          </w:p>
        </w:tc>
        <w:tc>
          <w:tcPr>
            <w:tcW w:w="737" w:type="dxa"/>
            <w:tcBorders>
              <w:top w:val="nil"/>
              <w:left w:val="nil"/>
              <w:bottom w:val="single" w:color="auto" w:sz="8" w:space="0"/>
              <w:right w:val="single" w:color="auto" w:sz="8" w:space="0"/>
            </w:tcBorders>
            <w:shd w:val="clear" w:color="auto" w:fill="auto"/>
            <w:vAlign w:val="center"/>
          </w:tcPr>
          <w:p w14:paraId="3E9382D1">
            <w:pPr>
              <w:widowControl/>
              <w:jc w:val="center"/>
              <w:rPr>
                <w:rFonts w:hint="default" w:ascii="仿宋" w:hAnsi="仿宋" w:eastAsia="仿宋" w:cs="仿宋"/>
                <w:sz w:val="22"/>
                <w:lang w:val="en-US" w:eastAsia="zh-CN"/>
              </w:rPr>
            </w:pPr>
            <w:r>
              <w:rPr>
                <w:rFonts w:hint="eastAsia" w:ascii="仿宋" w:hAnsi="仿宋" w:eastAsia="仿宋" w:cs="仿宋"/>
                <w:sz w:val="22"/>
                <w:lang w:val="en-US" w:eastAsia="zh-CN"/>
              </w:rPr>
              <w:t>10</w:t>
            </w:r>
          </w:p>
        </w:tc>
        <w:tc>
          <w:tcPr>
            <w:tcW w:w="4708" w:type="dxa"/>
            <w:tcBorders>
              <w:top w:val="nil"/>
              <w:left w:val="nil"/>
              <w:bottom w:val="single" w:color="auto" w:sz="8" w:space="0"/>
              <w:right w:val="single" w:color="auto" w:sz="8" w:space="0"/>
            </w:tcBorders>
            <w:shd w:val="clear" w:color="auto" w:fill="auto"/>
            <w:vAlign w:val="center"/>
          </w:tcPr>
          <w:p w14:paraId="427B6543">
            <w:pPr>
              <w:widowControl/>
              <w:jc w:val="left"/>
              <w:rPr>
                <w:rFonts w:hint="eastAsia" w:ascii="仿宋" w:hAnsi="仿宋" w:eastAsia="仿宋" w:cs="仿宋"/>
                <w:sz w:val="22"/>
              </w:rPr>
            </w:pPr>
            <w:r>
              <w:rPr>
                <w:rFonts w:hint="eastAsia" w:ascii="仿宋" w:hAnsi="仿宋" w:eastAsia="仿宋" w:cs="仿宋"/>
                <w:color w:val="000000"/>
                <w:kern w:val="0"/>
                <w:sz w:val="22"/>
                <w:lang w:val="en-US" w:eastAsia="zh-CN"/>
              </w:rPr>
              <w:t>1.院外产诊产筛医院模式：</w:t>
            </w:r>
            <w:r>
              <w:rPr>
                <w:rFonts w:hint="eastAsia" w:ascii="仿宋" w:hAnsi="仿宋" w:eastAsia="仿宋" w:cs="仿宋"/>
                <w:sz w:val="22"/>
              </w:rPr>
              <w:t>有效</w:t>
            </w:r>
            <w:r>
              <w:rPr>
                <w:rFonts w:hint="eastAsia" w:ascii="仿宋" w:hAnsi="仿宋" w:eastAsia="仿宋" w:cs="仿宋"/>
                <w:sz w:val="22"/>
                <w:lang w:eastAsia="zh-CN"/>
              </w:rPr>
              <w:t>参选单位</w:t>
            </w:r>
            <w:r>
              <w:rPr>
                <w:rFonts w:hint="eastAsia" w:ascii="仿宋" w:hAnsi="仿宋" w:eastAsia="仿宋" w:cs="仿宋"/>
                <w:sz w:val="22"/>
              </w:rPr>
              <w:t>的</w:t>
            </w:r>
            <w:r>
              <w:rPr>
                <w:rFonts w:hint="eastAsia" w:ascii="仿宋" w:hAnsi="仿宋" w:eastAsia="仿宋" w:cs="仿宋"/>
                <w:sz w:val="22"/>
                <w:lang w:eastAsia="zh-CN"/>
              </w:rPr>
              <w:t>最高</w:t>
            </w:r>
            <w:r>
              <w:rPr>
                <w:rFonts w:hint="eastAsia" w:ascii="仿宋" w:hAnsi="仿宋" w:eastAsia="仿宋" w:cs="仿宋"/>
                <w:sz w:val="22"/>
              </w:rPr>
              <w:t>报价为评标基准价，其价格分为满分。其他投标人的价格分统一按照下列公式计算：投标报价得分=（投标报价/评标基准价）×</w:t>
            </w:r>
            <w:r>
              <w:rPr>
                <w:rFonts w:hint="eastAsia" w:ascii="仿宋" w:hAnsi="仿宋" w:eastAsia="仿宋" w:cs="仿宋"/>
                <w:sz w:val="22"/>
                <w:lang w:val="en-US" w:eastAsia="zh-CN"/>
              </w:rPr>
              <w:t>10。</w:t>
            </w:r>
          </w:p>
        </w:tc>
        <w:tc>
          <w:tcPr>
            <w:tcW w:w="654" w:type="dxa"/>
            <w:tcBorders>
              <w:top w:val="nil"/>
              <w:left w:val="nil"/>
              <w:bottom w:val="single" w:color="auto" w:sz="8" w:space="0"/>
              <w:right w:val="single" w:color="auto" w:sz="8" w:space="0"/>
            </w:tcBorders>
            <w:shd w:val="clear" w:color="auto" w:fill="auto"/>
            <w:vAlign w:val="center"/>
          </w:tcPr>
          <w:p w14:paraId="1100CF41">
            <w:pPr>
              <w:widowControl/>
              <w:rPr>
                <w:rFonts w:ascii="仿宋" w:hAnsi="仿宋" w:eastAsia="仿宋" w:cs="仿宋_GB2312"/>
                <w:sz w:val="22"/>
              </w:rPr>
            </w:pPr>
          </w:p>
        </w:tc>
        <w:tc>
          <w:tcPr>
            <w:tcW w:w="1723" w:type="dxa"/>
            <w:tcBorders>
              <w:top w:val="nil"/>
              <w:left w:val="nil"/>
              <w:bottom w:val="single" w:color="auto" w:sz="4" w:space="0"/>
              <w:right w:val="single" w:color="auto" w:sz="8" w:space="0"/>
            </w:tcBorders>
          </w:tcPr>
          <w:p w14:paraId="08777D7A">
            <w:pPr>
              <w:widowControl/>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b w:val="0"/>
                <w:bCs w:val="0"/>
                <w:sz w:val="22"/>
                <w:szCs w:val="22"/>
                <w:highlight w:val="none"/>
                <w:lang w:val="en-US" w:eastAsia="zh-CN"/>
              </w:rPr>
              <w:t>我院在本项目合作下的每一例收益分配不低于本项目在四川省各地物价收</w:t>
            </w:r>
            <w:r>
              <w:rPr>
                <w:rFonts w:hint="eastAsia" w:ascii="仿宋" w:hAnsi="仿宋" w:eastAsia="仿宋" w:cs="仿宋"/>
                <w:b w:val="0"/>
                <w:bCs w:val="0"/>
                <w:color w:val="333333"/>
                <w:sz w:val="22"/>
                <w:szCs w:val="22"/>
                <w:highlight w:val="none"/>
                <w:shd w:val="clear" w:fill="FFFFFF"/>
                <w:lang w:val="en-US" w:eastAsia="zh-CN"/>
              </w:rPr>
              <w:t>费标准的25%</w:t>
            </w:r>
            <w:r>
              <w:rPr>
                <w:rFonts w:hint="eastAsia" w:ascii="仿宋" w:hAnsi="仿宋" w:eastAsia="仿宋" w:cs="仿宋"/>
                <w:color w:val="333333"/>
                <w:sz w:val="22"/>
                <w:szCs w:val="22"/>
                <w:highlight w:val="none"/>
                <w:shd w:val="clear" w:fill="FFFFFF"/>
                <w:lang w:val="en-US" w:eastAsia="zh-CN"/>
              </w:rPr>
              <w:t>（不含25%）</w:t>
            </w:r>
            <w:r>
              <w:rPr>
                <w:rFonts w:hint="eastAsia" w:ascii="仿宋" w:hAnsi="仿宋" w:eastAsia="仿宋" w:cs="仿宋"/>
                <w:b w:val="0"/>
                <w:bCs w:val="0"/>
                <w:color w:val="333333"/>
                <w:sz w:val="22"/>
                <w:szCs w:val="22"/>
                <w:highlight w:val="none"/>
                <w:shd w:val="clear" w:fill="FFFFFF"/>
                <w:lang w:val="en-US" w:eastAsia="zh-CN"/>
              </w:rPr>
              <w:t>，</w:t>
            </w:r>
            <w:r>
              <w:rPr>
                <w:rFonts w:ascii="仿宋" w:hAnsi="仿宋" w:eastAsia="仿宋" w:cs="仿宋"/>
                <w:i w:val="0"/>
                <w:iCs w:val="0"/>
                <w:caps w:val="0"/>
                <w:color w:val="333333"/>
                <w:spacing w:val="0"/>
                <w:sz w:val="22"/>
                <w:szCs w:val="22"/>
                <w:shd w:val="clear" w:fill="FFFFFF"/>
              </w:rPr>
              <w:t>此报价</w:t>
            </w:r>
            <w:r>
              <w:rPr>
                <w:rFonts w:hint="eastAsia" w:ascii="仿宋" w:hAnsi="仿宋" w:eastAsia="仿宋" w:cs="仿宋"/>
                <w:i w:val="0"/>
                <w:iCs w:val="0"/>
                <w:caps w:val="0"/>
                <w:color w:val="333333"/>
                <w:spacing w:val="0"/>
                <w:sz w:val="22"/>
                <w:szCs w:val="22"/>
                <w:shd w:val="clear" w:fill="FFFFFF"/>
              </w:rPr>
              <w:t>要求属于实质性响应条款，若未能满足该项要求，将被判定为无效投标</w:t>
            </w:r>
            <w:r>
              <w:rPr>
                <w:rFonts w:hint="eastAsia" w:ascii="仿宋" w:hAnsi="仿宋" w:eastAsia="仿宋" w:cs="仿宋"/>
                <w:i w:val="0"/>
                <w:iCs w:val="0"/>
                <w:caps w:val="0"/>
                <w:color w:val="333333"/>
                <w:spacing w:val="0"/>
                <w:sz w:val="22"/>
                <w:szCs w:val="22"/>
                <w:shd w:val="clear" w:fill="FFFFFF"/>
                <w:lang w:eastAsia="zh-CN"/>
              </w:rPr>
              <w:t>。</w:t>
            </w:r>
            <w:r>
              <w:rPr>
                <w:rFonts w:hint="eastAsia" w:ascii="仿宋" w:hAnsi="仿宋" w:eastAsia="仿宋" w:cs="仿宋_GB2312"/>
                <w:i w:val="0"/>
                <w:iCs w:val="0"/>
                <w:color w:val="auto"/>
                <w:kern w:val="2"/>
                <w:sz w:val="22"/>
                <w:szCs w:val="22"/>
                <w:u w:val="none"/>
                <w:lang w:val="en-US" w:eastAsia="zh-CN" w:bidi="ar"/>
              </w:rPr>
              <w:t>评分的取值按四舍五入法，保留小数点后两位。</w:t>
            </w:r>
          </w:p>
          <w:p w14:paraId="5BB8D621">
            <w:pPr>
              <w:widowControl/>
              <w:rPr>
                <w:rFonts w:hint="default" w:ascii="仿宋" w:hAnsi="仿宋" w:eastAsia="仿宋" w:cs="仿宋_GB2312"/>
                <w:lang w:val="en-US" w:eastAsia="zh-CN"/>
              </w:rPr>
            </w:pPr>
          </w:p>
        </w:tc>
      </w:tr>
      <w:tr w14:paraId="03FEAB5C">
        <w:tblPrEx>
          <w:tblCellMar>
            <w:top w:w="0" w:type="dxa"/>
            <w:left w:w="108" w:type="dxa"/>
            <w:bottom w:w="0" w:type="dxa"/>
            <w:right w:w="108" w:type="dxa"/>
          </w:tblCellMar>
        </w:tblPrEx>
        <w:trPr>
          <w:trHeight w:val="1740" w:hRule="atLeast"/>
        </w:trPr>
        <w:tc>
          <w:tcPr>
            <w:tcW w:w="851" w:type="dxa"/>
            <w:vMerge w:val="continue"/>
            <w:tcBorders>
              <w:left w:val="single" w:color="auto" w:sz="8" w:space="0"/>
              <w:bottom w:val="single" w:color="auto" w:sz="8" w:space="0"/>
              <w:right w:val="single" w:color="auto" w:sz="8" w:space="0"/>
            </w:tcBorders>
            <w:shd w:val="clear" w:color="auto" w:fill="auto"/>
            <w:vAlign w:val="center"/>
          </w:tcPr>
          <w:p w14:paraId="7B3EAA1F">
            <w:pPr>
              <w:widowControl/>
              <w:jc w:val="center"/>
              <w:rPr>
                <w:rFonts w:hint="eastAsia" w:ascii="仿宋" w:hAnsi="仿宋" w:eastAsia="仿宋" w:cs="宋体"/>
                <w:b/>
                <w:bCs/>
                <w:color w:val="000000"/>
                <w:kern w:val="0"/>
                <w:sz w:val="22"/>
                <w:szCs w:val="24"/>
              </w:rPr>
            </w:pPr>
          </w:p>
        </w:tc>
        <w:tc>
          <w:tcPr>
            <w:tcW w:w="1752" w:type="dxa"/>
            <w:gridSpan w:val="2"/>
            <w:vMerge w:val="continue"/>
            <w:tcBorders>
              <w:left w:val="nil"/>
              <w:bottom w:val="single" w:color="auto" w:sz="8" w:space="0"/>
              <w:right w:val="single" w:color="000000" w:sz="8" w:space="0"/>
            </w:tcBorders>
            <w:shd w:val="clear" w:color="auto" w:fill="auto"/>
            <w:vAlign w:val="center"/>
          </w:tcPr>
          <w:p w14:paraId="038A60FB">
            <w:pPr>
              <w:widowControl/>
              <w:jc w:val="center"/>
              <w:rPr>
                <w:rFonts w:hint="eastAsia" w:ascii="仿宋" w:hAnsi="仿宋" w:eastAsia="仿宋" w:cs="仿宋"/>
                <w:sz w:val="22"/>
              </w:rPr>
            </w:pPr>
          </w:p>
        </w:tc>
        <w:tc>
          <w:tcPr>
            <w:tcW w:w="737" w:type="dxa"/>
            <w:tcBorders>
              <w:top w:val="nil"/>
              <w:left w:val="nil"/>
              <w:bottom w:val="single" w:color="auto" w:sz="8" w:space="0"/>
              <w:right w:val="single" w:color="auto" w:sz="8" w:space="0"/>
            </w:tcBorders>
            <w:shd w:val="clear" w:color="auto" w:fill="auto"/>
            <w:vAlign w:val="center"/>
          </w:tcPr>
          <w:p w14:paraId="081FA509">
            <w:pPr>
              <w:widowControl/>
              <w:jc w:val="center"/>
              <w:rPr>
                <w:rFonts w:hint="default" w:ascii="仿宋" w:hAnsi="仿宋" w:eastAsia="仿宋" w:cs="仿宋"/>
                <w:sz w:val="22"/>
                <w:lang w:val="en-US" w:eastAsia="zh-CN"/>
              </w:rPr>
            </w:pPr>
            <w:r>
              <w:rPr>
                <w:rFonts w:hint="eastAsia" w:ascii="仿宋" w:hAnsi="仿宋" w:eastAsia="仿宋" w:cs="仿宋"/>
                <w:sz w:val="22"/>
                <w:lang w:val="en-US" w:eastAsia="zh-CN"/>
              </w:rPr>
              <w:t>10</w:t>
            </w:r>
          </w:p>
        </w:tc>
        <w:tc>
          <w:tcPr>
            <w:tcW w:w="4708" w:type="dxa"/>
            <w:tcBorders>
              <w:top w:val="nil"/>
              <w:left w:val="nil"/>
              <w:bottom w:val="single" w:color="auto" w:sz="8" w:space="0"/>
              <w:right w:val="single" w:color="auto" w:sz="8" w:space="0"/>
            </w:tcBorders>
            <w:shd w:val="clear" w:color="auto" w:fill="auto"/>
            <w:vAlign w:val="center"/>
          </w:tcPr>
          <w:p w14:paraId="56C8D5FC">
            <w:pPr>
              <w:widowControl/>
              <w:jc w:val="left"/>
              <w:rPr>
                <w:rFonts w:hint="eastAsia" w:ascii="仿宋" w:hAnsi="仿宋" w:eastAsia="仿宋" w:cs="仿宋"/>
                <w:sz w:val="22"/>
              </w:rPr>
            </w:pPr>
            <w:r>
              <w:rPr>
                <w:rFonts w:hint="eastAsia" w:ascii="仿宋" w:hAnsi="仿宋" w:eastAsia="仿宋" w:cs="仿宋"/>
                <w:color w:val="000000"/>
                <w:kern w:val="0"/>
                <w:sz w:val="22"/>
                <w:lang w:val="en-US" w:eastAsia="zh-CN"/>
              </w:rPr>
              <w:t>2.院外非资质医院转诊模式：</w:t>
            </w:r>
            <w:r>
              <w:rPr>
                <w:rFonts w:hint="eastAsia" w:ascii="仿宋" w:hAnsi="仿宋" w:eastAsia="仿宋" w:cs="仿宋"/>
                <w:sz w:val="22"/>
              </w:rPr>
              <w:t>有效</w:t>
            </w:r>
            <w:r>
              <w:rPr>
                <w:rFonts w:hint="eastAsia" w:ascii="仿宋" w:hAnsi="仿宋" w:eastAsia="仿宋" w:cs="仿宋"/>
                <w:sz w:val="22"/>
                <w:lang w:eastAsia="zh-CN"/>
              </w:rPr>
              <w:t>参选单位</w:t>
            </w:r>
            <w:r>
              <w:rPr>
                <w:rFonts w:hint="eastAsia" w:ascii="仿宋" w:hAnsi="仿宋" w:eastAsia="仿宋" w:cs="仿宋"/>
                <w:sz w:val="22"/>
              </w:rPr>
              <w:t>的</w:t>
            </w:r>
            <w:r>
              <w:rPr>
                <w:rFonts w:hint="eastAsia" w:ascii="仿宋" w:hAnsi="仿宋" w:eastAsia="仿宋" w:cs="仿宋"/>
                <w:sz w:val="22"/>
                <w:lang w:eastAsia="zh-CN"/>
              </w:rPr>
              <w:t>最高</w:t>
            </w:r>
            <w:r>
              <w:rPr>
                <w:rFonts w:hint="eastAsia" w:ascii="仿宋" w:hAnsi="仿宋" w:eastAsia="仿宋" w:cs="仿宋"/>
                <w:sz w:val="22"/>
              </w:rPr>
              <w:t>报价为评标基准价，其价格分为满分。其他投标人的价格分统一按照下列公式计算：投标报价得分=（投标报价/评标基准价）×</w:t>
            </w:r>
            <w:r>
              <w:rPr>
                <w:rFonts w:hint="eastAsia" w:ascii="仿宋" w:hAnsi="仿宋" w:eastAsia="仿宋" w:cs="仿宋"/>
                <w:sz w:val="22"/>
                <w:lang w:val="en-US" w:eastAsia="zh-CN"/>
              </w:rPr>
              <w:t>10。</w:t>
            </w:r>
          </w:p>
        </w:tc>
        <w:tc>
          <w:tcPr>
            <w:tcW w:w="654" w:type="dxa"/>
            <w:tcBorders>
              <w:top w:val="nil"/>
              <w:left w:val="nil"/>
              <w:bottom w:val="single" w:color="auto" w:sz="8" w:space="0"/>
              <w:right w:val="single" w:color="auto" w:sz="8" w:space="0"/>
            </w:tcBorders>
            <w:shd w:val="clear" w:color="auto" w:fill="auto"/>
            <w:vAlign w:val="center"/>
          </w:tcPr>
          <w:p w14:paraId="606D876F">
            <w:pPr>
              <w:widowControl/>
              <w:rPr>
                <w:rFonts w:ascii="仿宋" w:hAnsi="仿宋" w:eastAsia="仿宋" w:cs="仿宋_GB2312"/>
                <w:sz w:val="22"/>
              </w:rPr>
            </w:pPr>
          </w:p>
        </w:tc>
        <w:tc>
          <w:tcPr>
            <w:tcW w:w="1723" w:type="dxa"/>
            <w:tcBorders>
              <w:top w:val="single" w:color="auto" w:sz="4" w:space="0"/>
              <w:left w:val="nil"/>
              <w:bottom w:val="single" w:color="auto" w:sz="4" w:space="0"/>
              <w:right w:val="single" w:color="auto" w:sz="8" w:space="0"/>
            </w:tcBorders>
          </w:tcPr>
          <w:p w14:paraId="3795D758">
            <w:pPr>
              <w:widowControl/>
              <w:rPr>
                <w:rFonts w:hint="eastAsia" w:ascii="仿宋" w:hAnsi="仿宋" w:eastAsia="仿宋" w:cs="仿宋_GB2312"/>
                <w:lang w:eastAsia="zh-CN"/>
              </w:rPr>
            </w:pPr>
            <w:r>
              <w:rPr>
                <w:rFonts w:hint="eastAsia" w:ascii="仿宋" w:hAnsi="仿宋" w:eastAsia="仿宋"/>
                <w:b w:val="0"/>
                <w:bCs w:val="0"/>
                <w:sz w:val="22"/>
                <w:szCs w:val="22"/>
                <w:highlight w:val="none"/>
                <w:lang w:val="en-US" w:eastAsia="zh-CN"/>
              </w:rPr>
              <w:t>我院在本项目合作下的每一例收益分配不低于四川省三甲医院物价收费标准的40%</w:t>
            </w:r>
            <w:r>
              <w:rPr>
                <w:rFonts w:hint="eastAsia" w:ascii="仿宋" w:hAnsi="仿宋" w:eastAsia="仿宋"/>
                <w:sz w:val="22"/>
                <w:szCs w:val="22"/>
                <w:highlight w:val="none"/>
                <w:lang w:val="en-US" w:eastAsia="zh-CN"/>
              </w:rPr>
              <w:t>（不含40%）</w:t>
            </w:r>
            <w:r>
              <w:rPr>
                <w:rFonts w:hint="eastAsia" w:ascii="仿宋" w:hAnsi="仿宋" w:eastAsia="仿宋"/>
                <w:b w:val="0"/>
                <w:bCs w:val="0"/>
                <w:sz w:val="22"/>
                <w:szCs w:val="22"/>
                <w:highlight w:val="none"/>
                <w:lang w:val="en-US" w:eastAsia="zh-CN"/>
              </w:rPr>
              <w:t>，</w:t>
            </w:r>
            <w:r>
              <w:rPr>
                <w:rFonts w:ascii="仿宋" w:hAnsi="仿宋" w:eastAsia="仿宋" w:cs="仿宋"/>
                <w:i w:val="0"/>
                <w:iCs w:val="0"/>
                <w:caps w:val="0"/>
                <w:color w:val="333333"/>
                <w:spacing w:val="0"/>
                <w:sz w:val="22"/>
                <w:szCs w:val="22"/>
                <w:shd w:val="clear" w:fill="FFFFFF"/>
              </w:rPr>
              <w:t>此报价</w:t>
            </w:r>
            <w:r>
              <w:rPr>
                <w:rFonts w:hint="eastAsia" w:ascii="仿宋" w:hAnsi="仿宋" w:eastAsia="仿宋" w:cs="仿宋"/>
                <w:i w:val="0"/>
                <w:iCs w:val="0"/>
                <w:caps w:val="0"/>
                <w:color w:val="333333"/>
                <w:spacing w:val="0"/>
                <w:sz w:val="22"/>
                <w:szCs w:val="22"/>
                <w:shd w:val="clear" w:fill="FFFFFF"/>
              </w:rPr>
              <w:t>要求属于实质性响应条款，若未能满足该项要求，将被判定为无效投标</w:t>
            </w:r>
            <w:r>
              <w:rPr>
                <w:rFonts w:hint="eastAsia" w:ascii="仿宋" w:hAnsi="仿宋" w:eastAsia="仿宋" w:cs="仿宋"/>
                <w:i w:val="0"/>
                <w:iCs w:val="0"/>
                <w:caps w:val="0"/>
                <w:color w:val="333333"/>
                <w:spacing w:val="0"/>
                <w:sz w:val="22"/>
                <w:szCs w:val="22"/>
                <w:shd w:val="clear" w:fill="FFFFFF"/>
                <w:lang w:eastAsia="zh-CN"/>
              </w:rPr>
              <w:t>。</w:t>
            </w:r>
            <w:r>
              <w:rPr>
                <w:rFonts w:hint="eastAsia" w:ascii="仿宋" w:hAnsi="仿宋" w:eastAsia="仿宋" w:cs="仿宋_GB2312"/>
                <w:i w:val="0"/>
                <w:iCs w:val="0"/>
                <w:color w:val="auto"/>
                <w:kern w:val="2"/>
                <w:sz w:val="22"/>
                <w:szCs w:val="22"/>
                <w:u w:val="none"/>
                <w:lang w:val="en-US" w:eastAsia="zh-CN" w:bidi="ar"/>
              </w:rPr>
              <w:t>评分的取值按四舍五入法，保留小数点后两位。</w:t>
            </w:r>
          </w:p>
        </w:tc>
      </w:tr>
      <w:tr w14:paraId="4E8A3471">
        <w:tblPrEx>
          <w:tblCellMar>
            <w:top w:w="0" w:type="dxa"/>
            <w:left w:w="108" w:type="dxa"/>
            <w:bottom w:w="0" w:type="dxa"/>
            <w:right w:w="108" w:type="dxa"/>
          </w:tblCellMar>
        </w:tblPrEx>
        <w:trPr>
          <w:trHeight w:val="1339" w:hRule="atLeast"/>
        </w:trPr>
        <w:tc>
          <w:tcPr>
            <w:tcW w:w="851" w:type="dxa"/>
            <w:vMerge w:val="restart"/>
            <w:tcBorders>
              <w:top w:val="nil"/>
              <w:left w:val="single" w:color="auto" w:sz="8" w:space="0"/>
              <w:right w:val="single" w:color="auto" w:sz="8" w:space="0"/>
            </w:tcBorders>
            <w:shd w:val="clear" w:color="auto" w:fill="auto"/>
            <w:vAlign w:val="center"/>
          </w:tcPr>
          <w:p w14:paraId="1F6FB63F">
            <w:pPr>
              <w:widowControl/>
              <w:jc w:val="center"/>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2</w:t>
            </w:r>
          </w:p>
        </w:tc>
        <w:tc>
          <w:tcPr>
            <w:tcW w:w="1752" w:type="dxa"/>
            <w:gridSpan w:val="2"/>
            <w:vMerge w:val="restart"/>
            <w:tcBorders>
              <w:top w:val="single" w:color="auto" w:sz="8" w:space="0"/>
              <w:left w:val="nil"/>
              <w:right w:val="single" w:color="000000" w:sz="8" w:space="0"/>
            </w:tcBorders>
            <w:shd w:val="clear" w:color="000000" w:fill="auto"/>
            <w:vAlign w:val="center"/>
          </w:tcPr>
          <w:p w14:paraId="1C253D09">
            <w:pPr>
              <w:widowControl/>
              <w:jc w:val="center"/>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响应程度</w:t>
            </w:r>
          </w:p>
          <w:p w14:paraId="53D89DAF">
            <w:pPr>
              <w:widowControl/>
              <w:jc w:val="center"/>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（22分）</w:t>
            </w:r>
          </w:p>
        </w:tc>
        <w:tc>
          <w:tcPr>
            <w:tcW w:w="737" w:type="dxa"/>
            <w:tcBorders>
              <w:top w:val="nil"/>
              <w:left w:val="nil"/>
              <w:bottom w:val="single" w:color="auto" w:sz="8" w:space="0"/>
              <w:right w:val="single" w:color="auto" w:sz="8" w:space="0"/>
            </w:tcBorders>
            <w:shd w:val="clear" w:color="000000" w:fill="auto"/>
            <w:vAlign w:val="center"/>
          </w:tcPr>
          <w:p w14:paraId="641D5A04">
            <w:pPr>
              <w:widowControl/>
              <w:jc w:val="center"/>
              <w:rPr>
                <w:rFonts w:hint="default"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6</w:t>
            </w:r>
          </w:p>
        </w:tc>
        <w:tc>
          <w:tcPr>
            <w:tcW w:w="4708" w:type="dxa"/>
            <w:tcBorders>
              <w:top w:val="nil"/>
              <w:left w:val="nil"/>
              <w:bottom w:val="single" w:color="auto" w:sz="8" w:space="0"/>
              <w:right w:val="single" w:color="auto" w:sz="8" w:space="0"/>
            </w:tcBorders>
            <w:shd w:val="clear" w:color="000000" w:fill="auto"/>
            <w:vAlign w:val="center"/>
          </w:tcPr>
          <w:p w14:paraId="3EFAD875">
            <w:pPr>
              <w:widowControl/>
              <w:jc w:val="left"/>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1.参选单位一般条款的响应得分规则如下：（一般条款是指：除标注“▲” 的条款以外的所有条款，一共12项）</w:t>
            </w:r>
          </w:p>
          <w:p w14:paraId="5560A34A">
            <w:pPr>
              <w:widowControl/>
              <w:jc w:val="left"/>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全部满足为满分，不满足一条扣0.5分，扣完为止。</w:t>
            </w:r>
          </w:p>
        </w:tc>
        <w:tc>
          <w:tcPr>
            <w:tcW w:w="654" w:type="dxa"/>
            <w:tcBorders>
              <w:top w:val="nil"/>
              <w:left w:val="nil"/>
              <w:bottom w:val="single" w:color="auto" w:sz="8" w:space="0"/>
              <w:right w:val="single" w:color="auto" w:sz="8" w:space="0"/>
            </w:tcBorders>
            <w:shd w:val="clear" w:color="000000" w:fill="auto"/>
            <w:vAlign w:val="center"/>
          </w:tcPr>
          <w:p w14:paraId="5EF18535">
            <w:pPr>
              <w:widowControl/>
              <w:jc w:val="left"/>
              <w:rPr>
                <w:rFonts w:hint="eastAsia" w:ascii="仿宋" w:hAnsi="仿宋" w:eastAsia="仿宋" w:cs="仿宋_GB2312"/>
                <w:i w:val="0"/>
                <w:iCs w:val="0"/>
                <w:color w:val="auto"/>
                <w:kern w:val="2"/>
                <w:sz w:val="22"/>
                <w:szCs w:val="22"/>
                <w:u w:val="none"/>
                <w:lang w:val="en-US" w:eastAsia="zh-CN" w:bidi="ar"/>
              </w:rPr>
            </w:pPr>
          </w:p>
        </w:tc>
        <w:tc>
          <w:tcPr>
            <w:tcW w:w="1723" w:type="dxa"/>
            <w:vMerge w:val="restart"/>
            <w:tcBorders>
              <w:top w:val="single" w:color="auto" w:sz="4" w:space="0"/>
              <w:left w:val="nil"/>
              <w:bottom w:val="single" w:color="auto" w:sz="4" w:space="0"/>
              <w:right w:val="single" w:color="auto" w:sz="8" w:space="0"/>
            </w:tcBorders>
            <w:shd w:val="clear" w:color="000000" w:fill="auto"/>
            <w:vAlign w:val="top"/>
          </w:tcPr>
          <w:p w14:paraId="6F78186A">
            <w:pPr>
              <w:widowControl/>
              <w:shd w:val="clear"/>
              <w:jc w:val="left"/>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①如果响应文件中的条款参数没有按照要求提供相应支持资料的，该条参数在评审中将不予认定。</w:t>
            </w:r>
          </w:p>
          <w:p w14:paraId="09D1851B">
            <w:pPr>
              <w:widowControl/>
              <w:shd w:val="clear"/>
              <w:jc w:val="left"/>
              <w:rPr>
                <w:rFonts w:hint="default"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②该条对于遴选文件附件1“四、技术服务要求”评分。</w:t>
            </w:r>
          </w:p>
          <w:p w14:paraId="79D468F9">
            <w:pPr>
              <w:widowControl/>
              <w:shd w:val="clear"/>
              <w:jc w:val="left"/>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③带▲条款为重要条款的响应。</w:t>
            </w:r>
          </w:p>
        </w:tc>
      </w:tr>
      <w:tr w14:paraId="7F1EF04B">
        <w:tblPrEx>
          <w:tblCellMar>
            <w:top w:w="0" w:type="dxa"/>
            <w:left w:w="108" w:type="dxa"/>
            <w:bottom w:w="0" w:type="dxa"/>
            <w:right w:w="108" w:type="dxa"/>
          </w:tblCellMar>
        </w:tblPrEx>
        <w:trPr>
          <w:trHeight w:val="1339" w:hRule="atLeast"/>
        </w:trPr>
        <w:tc>
          <w:tcPr>
            <w:tcW w:w="851" w:type="dxa"/>
            <w:vMerge w:val="continue"/>
            <w:tcBorders>
              <w:left w:val="single" w:color="auto" w:sz="8" w:space="0"/>
              <w:bottom w:val="single" w:color="auto" w:sz="8" w:space="0"/>
              <w:right w:val="single" w:color="auto" w:sz="8" w:space="0"/>
            </w:tcBorders>
            <w:shd w:val="clear" w:color="auto" w:fill="auto"/>
            <w:vAlign w:val="center"/>
          </w:tcPr>
          <w:p w14:paraId="170E7920">
            <w:pPr>
              <w:widowControl/>
              <w:jc w:val="center"/>
              <w:rPr>
                <w:rFonts w:hint="eastAsia" w:ascii="仿宋" w:hAnsi="仿宋" w:eastAsia="仿宋" w:cs="仿宋_GB2312"/>
                <w:i w:val="0"/>
                <w:iCs w:val="0"/>
                <w:color w:val="auto"/>
                <w:kern w:val="2"/>
                <w:sz w:val="22"/>
                <w:szCs w:val="22"/>
                <w:u w:val="none"/>
                <w:lang w:val="en-US" w:eastAsia="zh-CN" w:bidi="ar"/>
              </w:rPr>
            </w:pPr>
          </w:p>
        </w:tc>
        <w:tc>
          <w:tcPr>
            <w:tcW w:w="1752" w:type="dxa"/>
            <w:gridSpan w:val="2"/>
            <w:vMerge w:val="continue"/>
            <w:tcBorders>
              <w:left w:val="nil"/>
              <w:bottom w:val="single" w:color="auto" w:sz="8" w:space="0"/>
              <w:right w:val="single" w:color="000000" w:sz="8" w:space="0"/>
            </w:tcBorders>
            <w:shd w:val="clear" w:color="000000" w:fill="auto"/>
            <w:vAlign w:val="center"/>
          </w:tcPr>
          <w:p w14:paraId="09E85C42">
            <w:pPr>
              <w:widowControl/>
              <w:jc w:val="left"/>
              <w:rPr>
                <w:rFonts w:hint="eastAsia" w:ascii="仿宋" w:hAnsi="仿宋" w:eastAsia="仿宋" w:cs="仿宋_GB2312"/>
                <w:i w:val="0"/>
                <w:iCs w:val="0"/>
                <w:color w:val="auto"/>
                <w:kern w:val="2"/>
                <w:sz w:val="22"/>
                <w:szCs w:val="22"/>
                <w:u w:val="none"/>
                <w:lang w:val="en-US" w:eastAsia="zh-CN" w:bidi="ar"/>
              </w:rPr>
            </w:pPr>
          </w:p>
        </w:tc>
        <w:tc>
          <w:tcPr>
            <w:tcW w:w="737" w:type="dxa"/>
            <w:tcBorders>
              <w:top w:val="nil"/>
              <w:left w:val="nil"/>
              <w:bottom w:val="single" w:color="auto" w:sz="8" w:space="0"/>
              <w:right w:val="single" w:color="auto" w:sz="8" w:space="0"/>
            </w:tcBorders>
            <w:shd w:val="clear" w:color="000000" w:fill="auto"/>
            <w:vAlign w:val="center"/>
          </w:tcPr>
          <w:p w14:paraId="32B534A8">
            <w:pPr>
              <w:widowControl/>
              <w:jc w:val="center"/>
              <w:rPr>
                <w:rFonts w:hint="default"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16</w:t>
            </w:r>
          </w:p>
        </w:tc>
        <w:tc>
          <w:tcPr>
            <w:tcW w:w="4708" w:type="dxa"/>
            <w:tcBorders>
              <w:top w:val="nil"/>
              <w:left w:val="nil"/>
              <w:bottom w:val="single" w:color="auto" w:sz="8" w:space="0"/>
              <w:right w:val="single" w:color="auto" w:sz="8" w:space="0"/>
            </w:tcBorders>
            <w:shd w:val="clear" w:color="000000" w:fill="auto"/>
            <w:vAlign w:val="center"/>
          </w:tcPr>
          <w:p w14:paraId="3839BD05">
            <w:pPr>
              <w:widowControl/>
              <w:jc w:val="left"/>
              <w:rPr>
                <w:rFonts w:hint="eastAsia" w:ascii="仿宋" w:hAnsi="仿宋" w:eastAsia="仿宋" w:cs="仿宋_GB2312"/>
                <w:i w:val="0"/>
                <w:iCs w:val="0"/>
                <w:color w:val="auto"/>
                <w:kern w:val="2"/>
                <w:sz w:val="22"/>
                <w:szCs w:val="22"/>
                <w:u w:val="none"/>
                <w:lang w:val="en-US" w:eastAsia="zh-CN" w:bidi="ar"/>
              </w:rPr>
            </w:pPr>
            <w:r>
              <w:rPr>
                <w:rFonts w:hint="eastAsia" w:ascii="仿宋" w:hAnsi="仿宋" w:eastAsia="仿宋" w:cs="仿宋_GB2312"/>
                <w:i w:val="0"/>
                <w:iCs w:val="0"/>
                <w:color w:val="auto"/>
                <w:kern w:val="2"/>
                <w:sz w:val="22"/>
                <w:szCs w:val="22"/>
                <w:u w:val="none"/>
                <w:lang w:val="en-US" w:eastAsia="zh-CN" w:bidi="ar"/>
              </w:rPr>
              <w:t>2.“▲”条款技术参数有8项，带▲条款的响应得分规则如下：全部满足带▲条为满分，不满足一条扣2分，扣完为止。</w:t>
            </w:r>
          </w:p>
        </w:tc>
        <w:tc>
          <w:tcPr>
            <w:tcW w:w="654" w:type="dxa"/>
            <w:tcBorders>
              <w:top w:val="nil"/>
              <w:left w:val="nil"/>
              <w:bottom w:val="single" w:color="auto" w:sz="8" w:space="0"/>
              <w:right w:val="single" w:color="auto" w:sz="8" w:space="0"/>
            </w:tcBorders>
            <w:shd w:val="clear" w:color="000000" w:fill="auto"/>
            <w:vAlign w:val="center"/>
          </w:tcPr>
          <w:p w14:paraId="6672F4FD">
            <w:pPr>
              <w:widowControl/>
              <w:jc w:val="left"/>
              <w:rPr>
                <w:rFonts w:hint="eastAsia" w:ascii="仿宋" w:hAnsi="仿宋" w:eastAsia="仿宋" w:cs="仿宋_GB2312"/>
                <w:i w:val="0"/>
                <w:iCs w:val="0"/>
                <w:color w:val="auto"/>
                <w:kern w:val="2"/>
                <w:sz w:val="22"/>
                <w:szCs w:val="22"/>
                <w:u w:val="none"/>
                <w:lang w:val="en-US" w:eastAsia="zh-CN" w:bidi="ar"/>
              </w:rPr>
            </w:pPr>
          </w:p>
        </w:tc>
        <w:tc>
          <w:tcPr>
            <w:tcW w:w="1723" w:type="dxa"/>
            <w:vMerge w:val="continue"/>
            <w:tcBorders>
              <w:top w:val="single" w:color="auto" w:sz="4" w:space="0"/>
              <w:left w:val="nil"/>
              <w:bottom w:val="single" w:color="auto" w:sz="4" w:space="0"/>
              <w:right w:val="single" w:color="auto" w:sz="8" w:space="0"/>
            </w:tcBorders>
            <w:shd w:val="clear" w:color="000000" w:fill="auto"/>
          </w:tcPr>
          <w:p w14:paraId="518DC3F3">
            <w:pPr>
              <w:widowControl/>
              <w:jc w:val="left"/>
              <w:rPr>
                <w:rFonts w:hint="eastAsia" w:ascii="仿宋" w:hAnsi="仿宋" w:eastAsia="仿宋" w:cs="仿宋_GB2312"/>
                <w:i w:val="0"/>
                <w:iCs w:val="0"/>
                <w:color w:val="auto"/>
                <w:kern w:val="2"/>
                <w:sz w:val="22"/>
                <w:szCs w:val="22"/>
                <w:u w:val="none"/>
                <w:lang w:val="en-US" w:eastAsia="zh-CN" w:bidi="ar"/>
              </w:rPr>
            </w:pPr>
          </w:p>
        </w:tc>
      </w:tr>
      <w:tr w14:paraId="7EC74936">
        <w:tblPrEx>
          <w:tblCellMar>
            <w:top w:w="0" w:type="dxa"/>
            <w:left w:w="108" w:type="dxa"/>
            <w:bottom w:w="0" w:type="dxa"/>
            <w:right w:w="108" w:type="dxa"/>
          </w:tblCellMar>
        </w:tblPrEx>
        <w:trPr>
          <w:trHeight w:val="1580" w:hRule="atLeast"/>
        </w:trPr>
        <w:tc>
          <w:tcPr>
            <w:tcW w:w="851" w:type="dxa"/>
            <w:vMerge w:val="restart"/>
            <w:tcBorders>
              <w:top w:val="nil"/>
              <w:left w:val="single" w:color="auto" w:sz="8" w:space="0"/>
              <w:bottom w:val="nil"/>
              <w:right w:val="single" w:color="auto" w:sz="8" w:space="0"/>
            </w:tcBorders>
            <w:vAlign w:val="center"/>
          </w:tcPr>
          <w:p w14:paraId="6FAA925D">
            <w:pPr>
              <w:widowControl/>
              <w:shd w:val="clear"/>
              <w:jc w:val="center"/>
              <w:rPr>
                <w:rFonts w:ascii="仿宋" w:hAnsi="仿宋" w:eastAsia="仿宋" w:cs="宋体"/>
                <w:b/>
                <w:bCs/>
                <w:color w:val="000000"/>
                <w:kern w:val="0"/>
                <w:sz w:val="22"/>
                <w:szCs w:val="24"/>
              </w:rPr>
            </w:pPr>
            <w:r>
              <w:rPr>
                <w:rFonts w:ascii="仿宋" w:hAnsi="仿宋" w:eastAsia="仿宋" w:cs="宋体"/>
                <w:b/>
                <w:bCs/>
                <w:color w:val="000000"/>
                <w:kern w:val="0"/>
                <w:sz w:val="22"/>
                <w:szCs w:val="24"/>
              </w:rPr>
              <w:t>3</w:t>
            </w:r>
          </w:p>
        </w:tc>
        <w:tc>
          <w:tcPr>
            <w:tcW w:w="986" w:type="dxa"/>
            <w:vMerge w:val="restart"/>
            <w:tcBorders>
              <w:top w:val="single" w:color="auto" w:sz="4" w:space="0"/>
              <w:left w:val="single" w:color="auto" w:sz="8" w:space="0"/>
              <w:bottom w:val="nil"/>
              <w:right w:val="single" w:color="auto" w:sz="8" w:space="0"/>
            </w:tcBorders>
            <w:vAlign w:val="center"/>
          </w:tcPr>
          <w:p w14:paraId="3EF49EC9">
            <w:pPr>
              <w:shd w:val="clear"/>
              <w:jc w:val="center"/>
              <w:rPr>
                <w:rFonts w:hint="eastAsia" w:ascii="仿宋" w:hAnsi="仿宋" w:eastAsia="仿宋" w:cs="仿宋_GB2312"/>
                <w:sz w:val="22"/>
              </w:rPr>
            </w:pPr>
            <w:r>
              <w:rPr>
                <w:rFonts w:hint="eastAsia" w:ascii="仿宋" w:hAnsi="仿宋" w:eastAsia="仿宋" w:cs="仿宋_GB2312"/>
                <w:sz w:val="22"/>
              </w:rPr>
              <w:t>机构实力</w:t>
            </w:r>
          </w:p>
          <w:p w14:paraId="7DBDE8E6">
            <w:pPr>
              <w:shd w:val="clear"/>
              <w:jc w:val="center"/>
              <w:rPr>
                <w:rFonts w:ascii="仿宋" w:hAnsi="仿宋" w:eastAsia="仿宋" w:cs="仿宋_GB2312"/>
                <w:sz w:val="22"/>
              </w:rPr>
            </w:pPr>
            <w:r>
              <w:rPr>
                <w:rFonts w:hint="eastAsia" w:ascii="仿宋" w:hAnsi="仿宋" w:eastAsia="仿宋" w:cs="仿宋_GB2312"/>
                <w:sz w:val="22"/>
              </w:rPr>
              <w:t>（</w:t>
            </w:r>
            <w:r>
              <w:rPr>
                <w:rFonts w:hint="eastAsia" w:ascii="仿宋" w:hAnsi="仿宋" w:eastAsia="仿宋" w:cs="仿宋_GB2312"/>
                <w:sz w:val="22"/>
                <w:lang w:val="en-US" w:eastAsia="zh-CN"/>
              </w:rPr>
              <w:t>37分</w:t>
            </w:r>
            <w:r>
              <w:rPr>
                <w:rFonts w:hint="eastAsia" w:ascii="仿宋" w:hAnsi="仿宋" w:eastAsia="仿宋" w:cs="仿宋_GB2312"/>
                <w:sz w:val="22"/>
              </w:rPr>
              <w:t>）</w:t>
            </w:r>
          </w:p>
        </w:tc>
        <w:tc>
          <w:tcPr>
            <w:tcW w:w="766" w:type="dxa"/>
            <w:vMerge w:val="restart"/>
            <w:tcBorders>
              <w:top w:val="nil"/>
              <w:left w:val="single" w:color="auto" w:sz="8" w:space="0"/>
              <w:right w:val="single" w:color="auto" w:sz="8" w:space="0"/>
            </w:tcBorders>
            <w:shd w:val="clear" w:color="auto" w:fill="auto"/>
            <w:vAlign w:val="center"/>
          </w:tcPr>
          <w:p w14:paraId="799CCE24">
            <w:pPr>
              <w:widowControl/>
              <w:shd w:val="clear"/>
              <w:jc w:val="center"/>
              <w:rPr>
                <w:rFonts w:ascii="仿宋" w:hAnsi="仿宋" w:eastAsia="仿宋" w:cs="仿宋_GB2312"/>
                <w:sz w:val="22"/>
              </w:rPr>
            </w:pPr>
            <w:r>
              <w:rPr>
                <w:rFonts w:hint="eastAsia" w:ascii="仿宋" w:hAnsi="仿宋" w:eastAsia="仿宋" w:cs="仿宋_GB2312"/>
                <w:sz w:val="22"/>
              </w:rPr>
              <w:t>实验室履约保障能力</w:t>
            </w:r>
          </w:p>
        </w:tc>
        <w:tc>
          <w:tcPr>
            <w:tcW w:w="737" w:type="dxa"/>
            <w:tcBorders>
              <w:top w:val="nil"/>
              <w:left w:val="nil"/>
              <w:bottom w:val="single" w:color="auto" w:sz="4" w:space="0"/>
              <w:right w:val="single" w:color="auto" w:sz="8" w:space="0"/>
            </w:tcBorders>
            <w:shd w:val="clear" w:color="auto" w:fill="auto"/>
            <w:vAlign w:val="center"/>
          </w:tcPr>
          <w:p w14:paraId="52BE7F50">
            <w:pPr>
              <w:widowControl/>
              <w:shd w:val="clear"/>
              <w:jc w:val="center"/>
              <w:rPr>
                <w:rFonts w:ascii="仿宋" w:hAnsi="仿宋" w:eastAsia="仿宋" w:cs="仿宋_GB2312"/>
                <w:sz w:val="22"/>
              </w:rPr>
            </w:pPr>
            <w:r>
              <w:rPr>
                <w:rFonts w:hint="eastAsia" w:ascii="仿宋" w:hAnsi="仿宋" w:eastAsia="仿宋" w:cs="仿宋_GB2312"/>
                <w:sz w:val="22"/>
              </w:rPr>
              <w:t>3</w:t>
            </w:r>
          </w:p>
        </w:tc>
        <w:tc>
          <w:tcPr>
            <w:tcW w:w="4708" w:type="dxa"/>
            <w:tcBorders>
              <w:top w:val="nil"/>
              <w:left w:val="nil"/>
              <w:bottom w:val="single" w:color="auto" w:sz="4" w:space="0"/>
              <w:right w:val="single" w:color="auto" w:sz="8" w:space="0"/>
            </w:tcBorders>
            <w:shd w:val="clear" w:color="auto" w:fill="auto"/>
            <w:vAlign w:val="center"/>
          </w:tcPr>
          <w:p w14:paraId="61C953EE">
            <w:pPr>
              <w:widowControl/>
              <w:shd w:val="clear"/>
              <w:jc w:val="left"/>
              <w:rPr>
                <w:rFonts w:ascii="仿宋" w:hAnsi="仿宋" w:eastAsia="仿宋" w:cs="仿宋_GB2312"/>
                <w:sz w:val="22"/>
              </w:rPr>
            </w:pPr>
            <w:r>
              <w:rPr>
                <w:rFonts w:hint="eastAsia" w:ascii="仿宋" w:hAnsi="仿宋" w:eastAsia="仿宋" w:cs="仿宋_GB2312"/>
                <w:sz w:val="22"/>
                <w:lang w:val="en-US" w:eastAsia="zh-CN"/>
              </w:rPr>
              <w:t>1.</w:t>
            </w:r>
            <w:r>
              <w:rPr>
                <w:rFonts w:ascii="仿宋" w:hAnsi="仿宋" w:eastAsia="仿宋" w:cs="仿宋_GB2312"/>
                <w:sz w:val="22"/>
              </w:rPr>
              <w:t>参选单位</w:t>
            </w:r>
            <w:r>
              <w:rPr>
                <w:rFonts w:hint="eastAsia" w:ascii="仿宋" w:hAnsi="仿宋" w:eastAsia="仿宋" w:cs="仿宋_GB2312"/>
                <w:sz w:val="22"/>
              </w:rPr>
              <w:t>自</w:t>
            </w:r>
            <w:r>
              <w:rPr>
                <w:rFonts w:ascii="仿宋" w:hAnsi="仿宋" w:eastAsia="仿宋" w:cs="仿宋_GB2312"/>
                <w:sz w:val="22"/>
              </w:rPr>
              <w:t>2020</w:t>
            </w:r>
            <w:r>
              <w:rPr>
                <w:rFonts w:hint="eastAsia" w:ascii="仿宋" w:hAnsi="仿宋" w:eastAsia="仿宋" w:cs="仿宋_GB2312"/>
                <w:sz w:val="22"/>
              </w:rPr>
              <w:t>年1月1日（含1日）以来每有一年</w:t>
            </w:r>
            <w:r>
              <w:rPr>
                <w:rFonts w:ascii="仿宋" w:hAnsi="仿宋" w:eastAsia="仿宋" w:cs="仿宋_GB2312"/>
                <w:sz w:val="22"/>
              </w:rPr>
              <w:t>通过卫生部全国外周血胎儿染色体非整倍体高通量测序室间质评的得</w:t>
            </w:r>
            <w:r>
              <w:rPr>
                <w:rFonts w:hint="eastAsia" w:ascii="仿宋" w:hAnsi="仿宋" w:eastAsia="仿宋" w:cs="仿宋_GB2312"/>
                <w:sz w:val="22"/>
              </w:rPr>
              <w:t>1</w:t>
            </w:r>
            <w:r>
              <w:rPr>
                <w:rFonts w:ascii="仿宋" w:hAnsi="仿宋" w:eastAsia="仿宋" w:cs="仿宋_GB2312"/>
                <w:sz w:val="22"/>
              </w:rPr>
              <w:t>分，</w:t>
            </w:r>
            <w:r>
              <w:rPr>
                <w:rFonts w:hint="eastAsia" w:ascii="仿宋" w:hAnsi="仿宋" w:eastAsia="仿宋" w:cs="仿宋_GB2312"/>
                <w:sz w:val="22"/>
              </w:rPr>
              <w:t>最多得3分。</w:t>
            </w:r>
            <w:r>
              <w:rPr>
                <w:rFonts w:ascii="仿宋" w:hAnsi="仿宋" w:eastAsia="仿宋" w:cs="仿宋_GB2312"/>
                <w:sz w:val="22"/>
              </w:rPr>
              <w:t>（提供室间质评文件证明</w:t>
            </w:r>
            <w:r>
              <w:rPr>
                <w:rFonts w:hint="eastAsia" w:ascii="仿宋" w:hAnsi="仿宋" w:eastAsia="仿宋" w:cs="仿宋_GB2312"/>
                <w:sz w:val="22"/>
              </w:rPr>
              <w:t>，不提供不得分。</w:t>
            </w:r>
            <w:r>
              <w:rPr>
                <w:rFonts w:ascii="仿宋" w:hAnsi="仿宋" w:eastAsia="仿宋" w:cs="仿宋_GB2312"/>
                <w:sz w:val="22"/>
              </w:rPr>
              <w:t>）</w:t>
            </w:r>
          </w:p>
        </w:tc>
        <w:tc>
          <w:tcPr>
            <w:tcW w:w="654" w:type="dxa"/>
            <w:tcBorders>
              <w:top w:val="nil"/>
              <w:left w:val="nil"/>
              <w:bottom w:val="single" w:color="auto" w:sz="4" w:space="0"/>
              <w:right w:val="single" w:color="auto" w:sz="8" w:space="0"/>
            </w:tcBorders>
            <w:shd w:val="clear" w:color="000000" w:fill="auto"/>
            <w:vAlign w:val="center"/>
          </w:tcPr>
          <w:p w14:paraId="3877FB15">
            <w:pPr>
              <w:widowControl/>
              <w:shd w:val="clear"/>
              <w:jc w:val="center"/>
              <w:rPr>
                <w:rFonts w:ascii="仿宋" w:hAnsi="仿宋" w:eastAsia="仿宋" w:cs="仿宋_GB2312"/>
                <w:sz w:val="22"/>
              </w:rPr>
            </w:pPr>
          </w:p>
        </w:tc>
        <w:tc>
          <w:tcPr>
            <w:tcW w:w="1723" w:type="dxa"/>
            <w:tcBorders>
              <w:top w:val="single" w:color="auto" w:sz="4" w:space="0"/>
              <w:left w:val="nil"/>
              <w:bottom w:val="single" w:color="auto" w:sz="4" w:space="0"/>
              <w:right w:val="single" w:color="auto" w:sz="8" w:space="0"/>
            </w:tcBorders>
            <w:shd w:val="clear" w:color="000000" w:fill="auto"/>
          </w:tcPr>
          <w:p w14:paraId="6DE82B05">
            <w:pPr>
              <w:widowControl/>
              <w:shd w:val="clear"/>
              <w:jc w:val="center"/>
              <w:rPr>
                <w:rFonts w:ascii="仿宋" w:hAnsi="仿宋" w:eastAsia="仿宋" w:cs="仿宋_GB2312"/>
                <w:sz w:val="22"/>
              </w:rPr>
            </w:pPr>
          </w:p>
        </w:tc>
      </w:tr>
      <w:tr w14:paraId="324FA5C5">
        <w:tblPrEx>
          <w:tblCellMar>
            <w:top w:w="0" w:type="dxa"/>
            <w:left w:w="108" w:type="dxa"/>
            <w:bottom w:w="0" w:type="dxa"/>
            <w:right w:w="108" w:type="dxa"/>
          </w:tblCellMar>
        </w:tblPrEx>
        <w:trPr>
          <w:trHeight w:val="369" w:hRule="atLeast"/>
        </w:trPr>
        <w:tc>
          <w:tcPr>
            <w:tcW w:w="851" w:type="dxa"/>
            <w:vMerge w:val="continue"/>
            <w:tcBorders>
              <w:top w:val="nil"/>
              <w:left w:val="single" w:color="auto" w:sz="8" w:space="0"/>
              <w:bottom w:val="single" w:color="auto" w:sz="4" w:space="0"/>
              <w:right w:val="single" w:color="auto" w:sz="8" w:space="0"/>
            </w:tcBorders>
            <w:vAlign w:val="center"/>
          </w:tcPr>
          <w:p w14:paraId="0ED0D6B7">
            <w:pPr>
              <w:widowControl/>
              <w:shd w:val="clear"/>
              <w:jc w:val="center"/>
              <w:rPr>
                <w:rFonts w:ascii="仿宋" w:hAnsi="仿宋" w:eastAsia="仿宋" w:cs="宋体"/>
                <w:b/>
                <w:bCs/>
                <w:color w:val="000000"/>
                <w:kern w:val="0"/>
                <w:sz w:val="22"/>
                <w:szCs w:val="24"/>
              </w:rPr>
            </w:pPr>
          </w:p>
        </w:tc>
        <w:tc>
          <w:tcPr>
            <w:tcW w:w="986" w:type="dxa"/>
            <w:vMerge w:val="continue"/>
            <w:tcBorders>
              <w:top w:val="nil"/>
              <w:left w:val="single" w:color="auto" w:sz="8" w:space="0"/>
              <w:bottom w:val="single" w:color="auto" w:sz="4" w:space="0"/>
              <w:right w:val="single" w:color="auto" w:sz="8" w:space="0"/>
            </w:tcBorders>
            <w:vAlign w:val="center"/>
          </w:tcPr>
          <w:p w14:paraId="7FDE29BD">
            <w:pPr>
              <w:widowControl/>
              <w:shd w:val="clear"/>
              <w:jc w:val="left"/>
              <w:rPr>
                <w:rFonts w:ascii="仿宋" w:hAnsi="仿宋" w:eastAsia="仿宋" w:cs="仿宋_GB2312"/>
                <w:sz w:val="22"/>
              </w:rPr>
            </w:pPr>
          </w:p>
        </w:tc>
        <w:tc>
          <w:tcPr>
            <w:tcW w:w="766" w:type="dxa"/>
            <w:vMerge w:val="continue"/>
            <w:tcBorders>
              <w:left w:val="single" w:color="auto" w:sz="8" w:space="0"/>
              <w:right w:val="single" w:color="auto" w:sz="8" w:space="0"/>
            </w:tcBorders>
            <w:shd w:val="clear" w:color="auto" w:fill="auto"/>
            <w:vAlign w:val="center"/>
          </w:tcPr>
          <w:p w14:paraId="6259BCCA">
            <w:pPr>
              <w:widowControl/>
              <w:shd w:val="clear"/>
              <w:jc w:val="left"/>
              <w:rPr>
                <w:rFonts w:ascii="仿宋" w:hAnsi="仿宋" w:eastAsia="仿宋" w:cs="仿宋_GB2312"/>
                <w:sz w:val="22"/>
              </w:rPr>
            </w:pPr>
          </w:p>
        </w:tc>
        <w:tc>
          <w:tcPr>
            <w:tcW w:w="737" w:type="dxa"/>
            <w:tcBorders>
              <w:top w:val="single" w:color="auto" w:sz="4" w:space="0"/>
              <w:left w:val="nil"/>
              <w:bottom w:val="single" w:color="auto" w:sz="4" w:space="0"/>
              <w:right w:val="single" w:color="auto" w:sz="8" w:space="0"/>
            </w:tcBorders>
            <w:shd w:val="clear" w:color="auto" w:fill="auto"/>
            <w:vAlign w:val="center"/>
          </w:tcPr>
          <w:p w14:paraId="7BF95585">
            <w:pPr>
              <w:widowControl/>
              <w:shd w:val="clear"/>
              <w:jc w:val="center"/>
              <w:rPr>
                <w:rFonts w:hint="eastAsia" w:ascii="仿宋" w:hAnsi="仿宋" w:eastAsia="仿宋" w:cs="仿宋_GB2312"/>
                <w:sz w:val="22"/>
                <w:lang w:val="en-US" w:eastAsia="zh-CN"/>
              </w:rPr>
            </w:pPr>
            <w:r>
              <w:rPr>
                <w:rFonts w:hint="eastAsia" w:ascii="仿宋" w:hAnsi="仿宋" w:eastAsia="仿宋" w:cs="仿宋_GB2312"/>
                <w:sz w:val="22"/>
                <w:lang w:val="en-US" w:eastAsia="zh-CN"/>
              </w:rPr>
              <w:t>6</w:t>
            </w:r>
          </w:p>
        </w:tc>
        <w:tc>
          <w:tcPr>
            <w:tcW w:w="4708" w:type="dxa"/>
            <w:tcBorders>
              <w:top w:val="single" w:color="auto" w:sz="4" w:space="0"/>
              <w:left w:val="nil"/>
              <w:bottom w:val="single" w:color="auto" w:sz="4" w:space="0"/>
              <w:right w:val="single" w:color="auto" w:sz="8" w:space="0"/>
            </w:tcBorders>
            <w:shd w:val="clear" w:color="auto" w:fill="auto"/>
            <w:vAlign w:val="center"/>
          </w:tcPr>
          <w:p w14:paraId="6EA0AC28">
            <w:pPr>
              <w:widowControl/>
              <w:shd w:val="clear"/>
              <w:jc w:val="left"/>
              <w:rPr>
                <w:rFonts w:hint="default" w:ascii="仿宋" w:hAnsi="仿宋" w:eastAsia="仿宋" w:cs="仿宋_GB2312"/>
                <w:sz w:val="22"/>
                <w:highlight w:val="none"/>
                <w:lang w:eastAsia="zh-CN" w:bidi="ar"/>
              </w:rPr>
            </w:pPr>
            <w:r>
              <w:rPr>
                <w:rFonts w:hint="eastAsia" w:ascii="仿宋" w:hAnsi="仿宋" w:eastAsia="仿宋" w:cs="仿宋_GB2312"/>
                <w:sz w:val="22"/>
                <w:highlight w:val="none"/>
                <w:lang w:val="en-US" w:eastAsia="zh-CN"/>
              </w:rPr>
              <w:t>2.</w:t>
            </w:r>
            <w:r>
              <w:rPr>
                <w:rFonts w:ascii="仿宋" w:hAnsi="仿宋" w:eastAsia="仿宋" w:cs="仿宋_GB2312"/>
                <w:sz w:val="22"/>
                <w:highlight w:val="none"/>
              </w:rPr>
              <w:t>参选单位</w:t>
            </w:r>
            <w:r>
              <w:rPr>
                <w:rStyle w:val="20"/>
                <w:rFonts w:hint="default" w:ascii="仿宋" w:hAnsi="仿宋" w:eastAsia="仿宋" w:cs="仿宋_GB2312"/>
                <w:color w:val="auto"/>
                <w:sz w:val="22"/>
                <w:szCs w:val="22"/>
                <w:highlight w:val="none"/>
                <w:lang w:bidi="ar"/>
              </w:rPr>
              <w:t>主体实验室通过 ISO15189认证的</w:t>
            </w:r>
            <w:r>
              <w:rPr>
                <w:rStyle w:val="20"/>
                <w:rFonts w:hint="default" w:ascii="仿宋" w:hAnsi="仿宋" w:eastAsia="仿宋" w:cs="仿宋_GB2312"/>
                <w:b w:val="0"/>
                <w:bCs w:val="0"/>
                <w:color w:val="auto"/>
                <w:sz w:val="22"/>
                <w:szCs w:val="22"/>
                <w:highlight w:val="none"/>
                <w:lang w:bidi="ar"/>
              </w:rPr>
              <w:t>得1分</w:t>
            </w:r>
            <w:r>
              <w:rPr>
                <w:rStyle w:val="20"/>
                <w:rFonts w:hint="default" w:ascii="仿宋" w:hAnsi="仿宋" w:eastAsia="仿宋" w:cs="仿宋_GB2312"/>
                <w:color w:val="auto"/>
                <w:sz w:val="22"/>
                <w:szCs w:val="22"/>
                <w:highlight w:val="none"/>
                <w:lang w:bidi="ar"/>
              </w:rPr>
              <w:t>，其中通过认可的项目数量大于400项（不含）</w:t>
            </w:r>
            <w:r>
              <w:rPr>
                <w:rStyle w:val="20"/>
                <w:rFonts w:hint="default" w:ascii="仿宋" w:hAnsi="仿宋" w:eastAsia="仿宋" w:cs="仿宋_GB2312"/>
                <w:b w:val="0"/>
                <w:bCs w:val="0"/>
                <w:color w:val="auto"/>
                <w:sz w:val="22"/>
                <w:szCs w:val="22"/>
                <w:highlight w:val="none"/>
                <w:lang w:bidi="ar"/>
              </w:rPr>
              <w:t>加5分</w:t>
            </w:r>
            <w:r>
              <w:rPr>
                <w:rStyle w:val="20"/>
                <w:rFonts w:hint="default" w:ascii="仿宋" w:hAnsi="仿宋" w:eastAsia="仿宋" w:cs="仿宋_GB2312"/>
                <w:color w:val="auto"/>
                <w:sz w:val="22"/>
                <w:szCs w:val="22"/>
                <w:highlight w:val="none"/>
                <w:lang w:bidi="ar"/>
              </w:rPr>
              <w:t>，301-400项加4分，201-300项加</w:t>
            </w:r>
            <w:r>
              <w:rPr>
                <w:rStyle w:val="20"/>
                <w:rFonts w:hint="default" w:ascii="仿宋" w:hAnsi="仿宋" w:eastAsia="仿宋" w:cs="仿宋_GB2312"/>
                <w:highlight w:val="none"/>
              </w:rPr>
              <w:t>3</w:t>
            </w:r>
            <w:r>
              <w:rPr>
                <w:rStyle w:val="20"/>
                <w:rFonts w:hint="default" w:ascii="仿宋" w:hAnsi="仿宋" w:eastAsia="仿宋" w:cs="仿宋_GB2312"/>
                <w:color w:val="auto"/>
                <w:sz w:val="22"/>
                <w:szCs w:val="22"/>
                <w:highlight w:val="none"/>
                <w:lang w:bidi="ar"/>
              </w:rPr>
              <w:t>分，101-200项加</w:t>
            </w:r>
            <w:r>
              <w:rPr>
                <w:rStyle w:val="20"/>
                <w:rFonts w:hint="default" w:ascii="仿宋" w:hAnsi="仿宋" w:eastAsia="仿宋" w:cs="仿宋_GB2312"/>
                <w:highlight w:val="none"/>
              </w:rPr>
              <w:t>2</w:t>
            </w:r>
            <w:r>
              <w:rPr>
                <w:rStyle w:val="20"/>
                <w:rFonts w:hint="default" w:ascii="仿宋" w:hAnsi="仿宋" w:eastAsia="仿宋" w:cs="仿宋_GB2312"/>
                <w:color w:val="auto"/>
                <w:sz w:val="22"/>
                <w:szCs w:val="22"/>
                <w:highlight w:val="none"/>
                <w:lang w:bidi="ar"/>
              </w:rPr>
              <w:t>分，100项（包含）及以下加</w:t>
            </w:r>
            <w:r>
              <w:rPr>
                <w:rStyle w:val="20"/>
                <w:rFonts w:hint="default" w:ascii="仿宋" w:hAnsi="仿宋" w:eastAsia="仿宋" w:cs="仿宋_GB2312"/>
                <w:highlight w:val="none"/>
              </w:rPr>
              <w:t>1</w:t>
            </w:r>
            <w:r>
              <w:rPr>
                <w:rStyle w:val="20"/>
                <w:rFonts w:hint="default" w:ascii="仿宋" w:hAnsi="仿宋" w:eastAsia="仿宋" w:cs="仿宋_GB2312"/>
                <w:color w:val="auto"/>
                <w:sz w:val="22"/>
                <w:szCs w:val="22"/>
                <w:highlight w:val="none"/>
                <w:lang w:bidi="ar"/>
              </w:rPr>
              <w:t>分。本项</w:t>
            </w:r>
            <w:r>
              <w:rPr>
                <w:rStyle w:val="20"/>
                <w:rFonts w:hint="default" w:ascii="仿宋" w:hAnsi="仿宋" w:eastAsia="仿宋" w:cs="仿宋_GB2312"/>
                <w:b w:val="0"/>
                <w:bCs w:val="0"/>
                <w:color w:val="auto"/>
                <w:sz w:val="22"/>
                <w:szCs w:val="22"/>
                <w:highlight w:val="none"/>
                <w:lang w:bidi="ar"/>
              </w:rPr>
              <w:t>最高得6分</w:t>
            </w:r>
            <w:r>
              <w:rPr>
                <w:rStyle w:val="20"/>
                <w:rFonts w:hint="default" w:ascii="仿宋" w:hAnsi="仿宋" w:eastAsia="仿宋" w:cs="仿宋_GB2312"/>
                <w:color w:val="auto"/>
                <w:sz w:val="22"/>
                <w:szCs w:val="22"/>
                <w:highlight w:val="none"/>
                <w:lang w:bidi="ar"/>
              </w:rPr>
              <w:t>。（提供证书及证书附件证明材料复印件或扫描件）</w:t>
            </w:r>
          </w:p>
        </w:tc>
        <w:tc>
          <w:tcPr>
            <w:tcW w:w="654" w:type="dxa"/>
            <w:tcBorders>
              <w:top w:val="single" w:color="auto" w:sz="4" w:space="0"/>
              <w:left w:val="nil"/>
              <w:bottom w:val="single" w:color="auto" w:sz="4" w:space="0"/>
              <w:right w:val="single" w:color="auto" w:sz="8" w:space="0"/>
            </w:tcBorders>
            <w:shd w:val="clear" w:color="000000" w:fill="auto"/>
            <w:vAlign w:val="center"/>
          </w:tcPr>
          <w:p w14:paraId="2BEF1AF1">
            <w:pPr>
              <w:widowControl/>
              <w:shd w:val="clear"/>
              <w:jc w:val="center"/>
              <w:rPr>
                <w:rFonts w:ascii="仿宋" w:hAnsi="仿宋" w:eastAsia="仿宋" w:cs="仿宋_GB2312"/>
                <w:sz w:val="22"/>
              </w:rPr>
            </w:pPr>
          </w:p>
        </w:tc>
        <w:tc>
          <w:tcPr>
            <w:tcW w:w="1723" w:type="dxa"/>
            <w:tcBorders>
              <w:top w:val="nil"/>
              <w:left w:val="nil"/>
              <w:bottom w:val="single" w:color="auto" w:sz="4" w:space="0"/>
              <w:right w:val="single" w:color="auto" w:sz="8" w:space="0"/>
            </w:tcBorders>
            <w:shd w:val="clear" w:color="000000" w:fill="auto"/>
          </w:tcPr>
          <w:p w14:paraId="7C5EDC81">
            <w:pPr>
              <w:widowControl/>
              <w:shd w:val="clear"/>
              <w:jc w:val="center"/>
              <w:rPr>
                <w:rFonts w:ascii="仿宋" w:hAnsi="仿宋" w:eastAsia="仿宋" w:cs="仿宋_GB2312"/>
                <w:sz w:val="22"/>
              </w:rPr>
            </w:pPr>
          </w:p>
        </w:tc>
      </w:tr>
      <w:tr w14:paraId="7F7ACC2D">
        <w:tblPrEx>
          <w:tblCellMar>
            <w:top w:w="0" w:type="dxa"/>
            <w:left w:w="108" w:type="dxa"/>
            <w:bottom w:w="0" w:type="dxa"/>
            <w:right w:w="108" w:type="dxa"/>
          </w:tblCellMar>
        </w:tblPrEx>
        <w:trPr>
          <w:trHeight w:val="369" w:hRule="atLeast"/>
        </w:trPr>
        <w:tc>
          <w:tcPr>
            <w:tcW w:w="851" w:type="dxa"/>
            <w:vMerge w:val="continue"/>
            <w:tcBorders>
              <w:top w:val="nil"/>
              <w:left w:val="single" w:color="auto" w:sz="8" w:space="0"/>
              <w:bottom w:val="single" w:color="auto" w:sz="4" w:space="0"/>
              <w:right w:val="single" w:color="auto" w:sz="8" w:space="0"/>
            </w:tcBorders>
            <w:vAlign w:val="center"/>
          </w:tcPr>
          <w:p w14:paraId="52A29654">
            <w:pPr>
              <w:widowControl/>
              <w:shd w:val="clear"/>
              <w:jc w:val="center"/>
              <w:rPr>
                <w:rFonts w:ascii="仿宋" w:hAnsi="仿宋" w:eastAsia="仿宋" w:cs="宋体"/>
                <w:b/>
                <w:bCs/>
                <w:color w:val="000000"/>
                <w:kern w:val="0"/>
                <w:sz w:val="22"/>
                <w:szCs w:val="24"/>
              </w:rPr>
            </w:pPr>
          </w:p>
        </w:tc>
        <w:tc>
          <w:tcPr>
            <w:tcW w:w="986" w:type="dxa"/>
            <w:vMerge w:val="continue"/>
            <w:tcBorders>
              <w:top w:val="nil"/>
              <w:left w:val="single" w:color="auto" w:sz="8" w:space="0"/>
              <w:bottom w:val="single" w:color="auto" w:sz="4" w:space="0"/>
              <w:right w:val="single" w:color="auto" w:sz="8" w:space="0"/>
            </w:tcBorders>
            <w:vAlign w:val="center"/>
          </w:tcPr>
          <w:p w14:paraId="4B209AF4">
            <w:pPr>
              <w:widowControl/>
              <w:shd w:val="clear"/>
              <w:jc w:val="left"/>
              <w:rPr>
                <w:rFonts w:ascii="仿宋" w:hAnsi="仿宋" w:eastAsia="仿宋" w:cs="仿宋_GB2312"/>
                <w:sz w:val="22"/>
              </w:rPr>
            </w:pPr>
          </w:p>
        </w:tc>
        <w:tc>
          <w:tcPr>
            <w:tcW w:w="766" w:type="dxa"/>
            <w:vMerge w:val="continue"/>
            <w:tcBorders>
              <w:left w:val="single" w:color="auto" w:sz="8" w:space="0"/>
              <w:bottom w:val="single" w:color="auto" w:sz="4" w:space="0"/>
              <w:right w:val="single" w:color="auto" w:sz="8" w:space="0"/>
            </w:tcBorders>
            <w:shd w:val="clear" w:color="auto" w:fill="auto"/>
            <w:vAlign w:val="center"/>
          </w:tcPr>
          <w:p w14:paraId="6097E043">
            <w:pPr>
              <w:widowControl/>
              <w:shd w:val="clear"/>
              <w:jc w:val="left"/>
              <w:rPr>
                <w:rFonts w:ascii="仿宋" w:hAnsi="仿宋" w:eastAsia="仿宋" w:cs="仿宋_GB2312"/>
                <w:sz w:val="22"/>
              </w:rPr>
            </w:pPr>
          </w:p>
        </w:tc>
        <w:tc>
          <w:tcPr>
            <w:tcW w:w="737" w:type="dxa"/>
            <w:tcBorders>
              <w:left w:val="nil"/>
              <w:bottom w:val="single" w:color="auto" w:sz="4" w:space="0"/>
              <w:right w:val="single" w:color="auto" w:sz="8" w:space="0"/>
            </w:tcBorders>
            <w:shd w:val="clear" w:color="auto" w:fill="auto"/>
            <w:vAlign w:val="center"/>
          </w:tcPr>
          <w:p w14:paraId="4DF03317">
            <w:pPr>
              <w:widowControl/>
              <w:shd w:val="clear"/>
              <w:jc w:val="center"/>
              <w:rPr>
                <w:rFonts w:hint="eastAsia" w:ascii="仿宋" w:hAnsi="仿宋" w:eastAsia="仿宋" w:cs="仿宋_GB2312"/>
                <w:sz w:val="22"/>
                <w:lang w:val="en-US" w:eastAsia="zh-CN"/>
              </w:rPr>
            </w:pPr>
            <w:r>
              <w:rPr>
                <w:rFonts w:hint="eastAsia" w:ascii="仿宋" w:hAnsi="仿宋" w:eastAsia="仿宋" w:cs="仿宋_GB2312"/>
                <w:sz w:val="22"/>
                <w:lang w:val="en-US" w:eastAsia="zh-CN"/>
              </w:rPr>
              <w:t>4</w:t>
            </w:r>
          </w:p>
        </w:tc>
        <w:tc>
          <w:tcPr>
            <w:tcW w:w="4708" w:type="dxa"/>
            <w:tcBorders>
              <w:left w:val="nil"/>
              <w:bottom w:val="single" w:color="auto" w:sz="4" w:space="0"/>
              <w:right w:val="single" w:color="auto" w:sz="8" w:space="0"/>
            </w:tcBorders>
            <w:shd w:val="clear" w:color="auto" w:fill="auto"/>
            <w:vAlign w:val="center"/>
          </w:tcPr>
          <w:p w14:paraId="62C943A4">
            <w:pPr>
              <w:widowControl/>
              <w:shd w:val="clear"/>
              <w:jc w:val="left"/>
              <w:rPr>
                <w:rFonts w:ascii="仿宋" w:hAnsi="仿宋" w:eastAsia="仿宋" w:cs="仿宋_GB2312"/>
                <w:sz w:val="22"/>
                <w:highlight w:val="none"/>
              </w:rPr>
            </w:pPr>
            <w:r>
              <w:rPr>
                <w:rFonts w:hint="eastAsia" w:ascii="仿宋" w:hAnsi="仿宋" w:eastAsia="仿宋" w:cs="仿宋_GB2312"/>
                <w:sz w:val="22"/>
                <w:highlight w:val="none"/>
                <w:lang w:val="en-US" w:eastAsia="zh-CN"/>
              </w:rPr>
              <w:t>3.</w:t>
            </w:r>
            <w:r>
              <w:rPr>
                <w:rFonts w:ascii="仿宋" w:hAnsi="仿宋" w:eastAsia="仿宋" w:cs="仿宋_GB2312"/>
                <w:sz w:val="22"/>
                <w:highlight w:val="none"/>
              </w:rPr>
              <w:t>参选单位</w:t>
            </w:r>
            <w:r>
              <w:rPr>
                <w:rStyle w:val="20"/>
                <w:rFonts w:hint="default" w:ascii="仿宋" w:hAnsi="仿宋" w:eastAsia="仿宋" w:cs="仿宋_GB2312"/>
                <w:b w:val="0"/>
                <w:bCs w:val="0"/>
                <w:color w:val="auto"/>
                <w:sz w:val="22"/>
                <w:szCs w:val="22"/>
                <w:highlight w:val="none"/>
                <w:lang w:bidi="ar"/>
              </w:rPr>
              <w:t>主体</w:t>
            </w:r>
            <w:r>
              <w:rPr>
                <w:rStyle w:val="20"/>
                <w:rFonts w:hint="default" w:ascii="仿宋" w:hAnsi="仿宋" w:eastAsia="仿宋" w:cs="仿宋_GB2312"/>
                <w:color w:val="auto"/>
                <w:sz w:val="22"/>
                <w:szCs w:val="22"/>
                <w:highlight w:val="none"/>
                <w:lang w:bidi="ar"/>
              </w:rPr>
              <w:t>具备三级信息系统安全等级保护备案的</w:t>
            </w:r>
            <w:r>
              <w:rPr>
                <w:rStyle w:val="20"/>
                <w:rFonts w:hint="default" w:ascii="仿宋" w:hAnsi="仿宋" w:eastAsia="仿宋" w:cs="仿宋_GB2312"/>
                <w:b w:val="0"/>
                <w:bCs w:val="0"/>
                <w:color w:val="auto"/>
                <w:sz w:val="22"/>
                <w:szCs w:val="22"/>
                <w:highlight w:val="none"/>
                <w:lang w:bidi="ar"/>
              </w:rPr>
              <w:t>得4分</w:t>
            </w:r>
            <w:r>
              <w:rPr>
                <w:rStyle w:val="20"/>
                <w:rFonts w:hint="default" w:ascii="仿宋" w:hAnsi="仿宋" w:eastAsia="仿宋" w:cs="仿宋_GB2312"/>
                <w:color w:val="auto"/>
                <w:sz w:val="22"/>
                <w:szCs w:val="22"/>
                <w:highlight w:val="none"/>
                <w:lang w:bidi="ar"/>
              </w:rPr>
              <w:t>，具备二级信息系统安全等级保护备案的</w:t>
            </w:r>
            <w:r>
              <w:rPr>
                <w:rStyle w:val="20"/>
                <w:rFonts w:hint="default" w:ascii="仿宋" w:hAnsi="仿宋" w:eastAsia="仿宋" w:cs="仿宋_GB2312"/>
                <w:b w:val="0"/>
                <w:bCs w:val="0"/>
                <w:color w:val="auto"/>
                <w:sz w:val="22"/>
                <w:szCs w:val="22"/>
                <w:highlight w:val="none"/>
                <w:lang w:bidi="ar"/>
              </w:rPr>
              <w:t>得2分，</w:t>
            </w:r>
            <w:r>
              <w:rPr>
                <w:rStyle w:val="20"/>
                <w:rFonts w:hint="default" w:ascii="仿宋" w:hAnsi="仿宋" w:eastAsia="仿宋" w:cs="仿宋_GB2312"/>
                <w:color w:val="auto"/>
                <w:sz w:val="22"/>
                <w:szCs w:val="22"/>
                <w:highlight w:val="none"/>
                <w:lang w:bidi="ar"/>
              </w:rPr>
              <w:t>没有则不得分。本项最高得4分。（提供与</w:t>
            </w:r>
            <w:r>
              <w:rPr>
                <w:rFonts w:ascii="仿宋" w:hAnsi="仿宋" w:eastAsia="仿宋" w:cs="仿宋_GB2312"/>
                <w:sz w:val="22"/>
                <w:highlight w:val="none"/>
              </w:rPr>
              <w:t>参选单位</w:t>
            </w:r>
            <w:r>
              <w:rPr>
                <w:rStyle w:val="20"/>
                <w:rFonts w:hint="default" w:ascii="仿宋" w:hAnsi="仿宋" w:eastAsia="仿宋" w:cs="仿宋_GB2312"/>
                <w:color w:val="auto"/>
                <w:sz w:val="22"/>
                <w:szCs w:val="22"/>
                <w:highlight w:val="none"/>
                <w:lang w:bidi="ar"/>
              </w:rPr>
              <w:t>营业执照名称一致的证书复印件或扫描件并加盖</w:t>
            </w:r>
            <w:r>
              <w:rPr>
                <w:rFonts w:ascii="仿宋" w:hAnsi="仿宋" w:eastAsia="仿宋" w:cs="仿宋_GB2312"/>
                <w:sz w:val="22"/>
                <w:highlight w:val="none"/>
              </w:rPr>
              <w:t>参选单位</w:t>
            </w:r>
            <w:r>
              <w:rPr>
                <w:rStyle w:val="20"/>
                <w:rFonts w:hint="default" w:ascii="仿宋" w:hAnsi="仿宋" w:eastAsia="仿宋" w:cs="仿宋_GB2312"/>
                <w:color w:val="auto"/>
                <w:sz w:val="22"/>
                <w:szCs w:val="22"/>
                <w:highlight w:val="none"/>
                <w:lang w:bidi="ar"/>
              </w:rPr>
              <w:t>公章，未提供不得分）</w:t>
            </w:r>
          </w:p>
        </w:tc>
        <w:tc>
          <w:tcPr>
            <w:tcW w:w="654" w:type="dxa"/>
            <w:tcBorders>
              <w:top w:val="nil"/>
              <w:left w:val="nil"/>
              <w:bottom w:val="single" w:color="auto" w:sz="4" w:space="0"/>
              <w:right w:val="single" w:color="auto" w:sz="8" w:space="0"/>
            </w:tcBorders>
            <w:shd w:val="clear" w:color="000000" w:fill="auto"/>
            <w:vAlign w:val="center"/>
          </w:tcPr>
          <w:p w14:paraId="6698203B">
            <w:pPr>
              <w:widowControl/>
              <w:shd w:val="clear"/>
              <w:jc w:val="center"/>
              <w:rPr>
                <w:rFonts w:ascii="仿宋" w:hAnsi="仿宋" w:eastAsia="仿宋" w:cs="仿宋_GB2312"/>
                <w:sz w:val="22"/>
              </w:rPr>
            </w:pPr>
          </w:p>
        </w:tc>
        <w:tc>
          <w:tcPr>
            <w:tcW w:w="1723" w:type="dxa"/>
            <w:tcBorders>
              <w:top w:val="nil"/>
              <w:left w:val="nil"/>
              <w:bottom w:val="single" w:color="auto" w:sz="4" w:space="0"/>
              <w:right w:val="single" w:color="auto" w:sz="8" w:space="0"/>
            </w:tcBorders>
            <w:shd w:val="clear" w:color="000000" w:fill="auto"/>
          </w:tcPr>
          <w:p w14:paraId="7D072BAF">
            <w:pPr>
              <w:widowControl/>
              <w:shd w:val="clear"/>
              <w:jc w:val="center"/>
              <w:rPr>
                <w:rFonts w:ascii="仿宋" w:hAnsi="仿宋" w:eastAsia="仿宋" w:cs="仿宋_GB2312"/>
                <w:sz w:val="22"/>
              </w:rPr>
            </w:pPr>
          </w:p>
        </w:tc>
      </w:tr>
      <w:tr w14:paraId="0BDA5B52">
        <w:tblPrEx>
          <w:tblCellMar>
            <w:top w:w="0" w:type="dxa"/>
            <w:left w:w="108" w:type="dxa"/>
            <w:bottom w:w="0" w:type="dxa"/>
            <w:right w:w="108" w:type="dxa"/>
          </w:tblCellMar>
        </w:tblPrEx>
        <w:trPr>
          <w:trHeight w:val="539" w:hRule="atLeast"/>
        </w:trPr>
        <w:tc>
          <w:tcPr>
            <w:tcW w:w="851" w:type="dxa"/>
            <w:vMerge w:val="continue"/>
            <w:tcBorders>
              <w:top w:val="single" w:color="auto" w:sz="4" w:space="0"/>
              <w:left w:val="single" w:color="auto" w:sz="8" w:space="0"/>
              <w:bottom w:val="single" w:color="auto" w:sz="4" w:space="0"/>
              <w:right w:val="single" w:color="auto" w:sz="8" w:space="0"/>
            </w:tcBorders>
            <w:vAlign w:val="center"/>
          </w:tcPr>
          <w:p w14:paraId="397C2D82">
            <w:pPr>
              <w:widowControl/>
              <w:shd w:val="clear"/>
              <w:jc w:val="center"/>
              <w:rPr>
                <w:rFonts w:ascii="仿宋" w:hAnsi="仿宋" w:eastAsia="仿宋" w:cs="宋体"/>
                <w:b/>
                <w:bCs/>
                <w:color w:val="000000"/>
                <w:kern w:val="0"/>
                <w:sz w:val="22"/>
                <w:szCs w:val="24"/>
              </w:rPr>
            </w:pPr>
          </w:p>
        </w:tc>
        <w:tc>
          <w:tcPr>
            <w:tcW w:w="986" w:type="dxa"/>
            <w:vMerge w:val="continue"/>
            <w:tcBorders>
              <w:top w:val="single" w:color="auto" w:sz="4" w:space="0"/>
              <w:left w:val="single" w:color="auto" w:sz="8" w:space="0"/>
              <w:bottom w:val="single" w:color="auto" w:sz="4" w:space="0"/>
              <w:right w:val="single" w:color="auto" w:sz="8" w:space="0"/>
            </w:tcBorders>
            <w:vAlign w:val="center"/>
          </w:tcPr>
          <w:p w14:paraId="5388CADF">
            <w:pPr>
              <w:widowControl/>
              <w:shd w:val="clear"/>
              <w:jc w:val="left"/>
              <w:rPr>
                <w:rFonts w:ascii="仿宋" w:hAnsi="仿宋" w:eastAsia="仿宋" w:cs="仿宋_GB2312"/>
                <w:sz w:val="22"/>
                <w:highlight w:val="none"/>
              </w:rPr>
            </w:pPr>
          </w:p>
        </w:tc>
        <w:tc>
          <w:tcPr>
            <w:tcW w:w="766" w:type="dxa"/>
            <w:vMerge w:val="restart"/>
            <w:tcBorders>
              <w:top w:val="single" w:color="auto" w:sz="4" w:space="0"/>
              <w:left w:val="nil"/>
              <w:right w:val="single" w:color="auto" w:sz="8" w:space="0"/>
            </w:tcBorders>
            <w:shd w:val="clear" w:color="000000" w:fill="auto"/>
            <w:vAlign w:val="center"/>
          </w:tcPr>
          <w:p w14:paraId="4AE54F19">
            <w:pPr>
              <w:pStyle w:val="7"/>
              <w:rPr>
                <w:highlight w:val="none"/>
              </w:rPr>
            </w:pPr>
            <w:r>
              <w:rPr>
                <w:rStyle w:val="20"/>
                <w:rFonts w:hint="default" w:ascii="仿宋" w:hAnsi="仿宋" w:eastAsia="仿宋" w:cs="仿宋_GB2312"/>
                <w:color w:val="auto"/>
                <w:sz w:val="22"/>
                <w:szCs w:val="22"/>
                <w:highlight w:val="none"/>
                <w:lang w:bidi="ar"/>
              </w:rPr>
              <w:t>冷链运输服务能力</w:t>
            </w:r>
          </w:p>
        </w:tc>
        <w:tc>
          <w:tcPr>
            <w:tcW w:w="737" w:type="dxa"/>
            <w:tcBorders>
              <w:top w:val="single" w:color="auto" w:sz="4" w:space="0"/>
              <w:left w:val="nil"/>
              <w:bottom w:val="single" w:color="auto" w:sz="4" w:space="0"/>
              <w:right w:val="single" w:color="auto" w:sz="8" w:space="0"/>
            </w:tcBorders>
            <w:shd w:val="clear" w:color="000000" w:fill="auto"/>
            <w:vAlign w:val="center"/>
          </w:tcPr>
          <w:p w14:paraId="25E9E4D9">
            <w:pPr>
              <w:widowControl/>
              <w:shd w:val="clear"/>
              <w:jc w:val="center"/>
              <w:rPr>
                <w:rFonts w:hint="eastAsia" w:ascii="仿宋" w:hAnsi="仿宋" w:eastAsia="仿宋" w:cs="仿宋_GB2312"/>
                <w:color w:val="000000" w:themeColor="text1"/>
                <w:sz w:val="22"/>
                <w:lang w:eastAsia="zh-CN"/>
                <w14:textFill>
                  <w14:solidFill>
                    <w14:schemeClr w14:val="tx1"/>
                  </w14:solidFill>
                </w14:textFill>
              </w:rPr>
            </w:pPr>
            <w:r>
              <w:rPr>
                <w:rFonts w:hint="eastAsia" w:ascii="仿宋" w:hAnsi="仿宋" w:eastAsia="仿宋" w:cs="仿宋_GB2312"/>
                <w:color w:val="000000" w:themeColor="text1"/>
                <w:sz w:val="22"/>
                <w:lang w:val="en-US" w:eastAsia="zh-CN"/>
                <w14:textFill>
                  <w14:solidFill>
                    <w14:schemeClr w14:val="tx1"/>
                  </w14:solidFill>
                </w14:textFill>
              </w:rPr>
              <w:t>6</w:t>
            </w:r>
          </w:p>
        </w:tc>
        <w:tc>
          <w:tcPr>
            <w:tcW w:w="4708" w:type="dxa"/>
            <w:tcBorders>
              <w:top w:val="single" w:color="auto" w:sz="4" w:space="0"/>
              <w:left w:val="nil"/>
              <w:bottom w:val="single" w:color="auto" w:sz="8" w:space="0"/>
              <w:right w:val="single" w:color="auto" w:sz="8" w:space="0"/>
            </w:tcBorders>
            <w:shd w:val="clear" w:color="000000" w:fill="auto"/>
            <w:vAlign w:val="center"/>
          </w:tcPr>
          <w:p w14:paraId="36F5A131">
            <w:pPr>
              <w:widowControl/>
              <w:jc w:val="left"/>
              <w:textAlignment w:val="auto"/>
              <w:rPr>
                <w:rStyle w:val="20"/>
                <w:rFonts w:hint="default" w:ascii="仿宋" w:hAnsi="仿宋" w:eastAsia="仿宋" w:cs="仿宋_GB2312"/>
                <w:color w:val="auto"/>
                <w:sz w:val="22"/>
                <w:szCs w:val="22"/>
                <w:highlight w:val="none"/>
                <w:lang w:bidi="ar"/>
              </w:rPr>
            </w:pPr>
            <w:r>
              <w:rPr>
                <w:rFonts w:hint="eastAsia" w:ascii="仿宋" w:hAnsi="仿宋" w:eastAsia="仿宋" w:cs="仿宋_GB2312"/>
                <w:sz w:val="22"/>
                <w:highlight w:val="none"/>
                <w:lang w:val="en-US" w:eastAsia="zh-CN"/>
              </w:rPr>
              <w:t>1.</w:t>
            </w:r>
            <w:r>
              <w:rPr>
                <w:rFonts w:ascii="仿宋" w:hAnsi="仿宋" w:eastAsia="仿宋" w:cs="仿宋_GB2312"/>
                <w:sz w:val="22"/>
                <w:highlight w:val="none"/>
              </w:rPr>
              <w:t>参选单位</w:t>
            </w:r>
            <w:r>
              <w:rPr>
                <w:rStyle w:val="20"/>
                <w:rFonts w:hint="default" w:ascii="仿宋" w:hAnsi="仿宋" w:eastAsia="仿宋" w:cs="仿宋_GB2312"/>
                <w:color w:val="auto"/>
                <w:sz w:val="22"/>
                <w:szCs w:val="22"/>
                <w:highlight w:val="none"/>
                <w:lang w:bidi="ar"/>
              </w:rPr>
              <w:t>需满足本项目冷链运输要求提供</w:t>
            </w:r>
            <w:r>
              <w:rPr>
                <w:rStyle w:val="20"/>
                <w:rFonts w:hint="default" w:ascii="仿宋" w:hAnsi="仿宋" w:eastAsia="仿宋" w:cs="仿宋_GB2312"/>
                <w:b w:val="0"/>
                <w:bCs w:val="0"/>
                <w:color w:val="auto"/>
                <w:sz w:val="22"/>
                <w:szCs w:val="22"/>
                <w:highlight w:val="none"/>
                <w:lang w:bidi="ar"/>
              </w:rPr>
              <w:t>厢式冷链运输车</w:t>
            </w:r>
            <w:r>
              <w:rPr>
                <w:rStyle w:val="20"/>
                <w:rFonts w:hint="default" w:ascii="仿宋" w:hAnsi="仿宋" w:eastAsia="仿宋" w:cs="仿宋_GB2312"/>
                <w:color w:val="auto"/>
                <w:sz w:val="22"/>
                <w:szCs w:val="22"/>
                <w:highlight w:val="none"/>
                <w:lang w:bidi="ar"/>
              </w:rPr>
              <w:t>；每提供1辆冷链物流运输车的得1分，本条最多</w:t>
            </w:r>
            <w:r>
              <w:rPr>
                <w:rStyle w:val="20"/>
                <w:rFonts w:hint="default" w:ascii="仿宋" w:hAnsi="仿宋" w:eastAsia="仿宋" w:cs="仿宋_GB2312"/>
                <w:b w:val="0"/>
                <w:bCs w:val="0"/>
                <w:color w:val="auto"/>
                <w:sz w:val="22"/>
                <w:szCs w:val="22"/>
                <w:highlight w:val="none"/>
                <w:lang w:bidi="ar"/>
              </w:rPr>
              <w:t>得6分</w:t>
            </w:r>
            <w:r>
              <w:rPr>
                <w:rStyle w:val="20"/>
                <w:rFonts w:hint="default" w:ascii="仿宋" w:hAnsi="仿宋" w:eastAsia="仿宋" w:cs="仿宋_GB2312"/>
                <w:color w:val="auto"/>
                <w:sz w:val="22"/>
                <w:szCs w:val="22"/>
                <w:highlight w:val="none"/>
                <w:lang w:bidi="ar"/>
              </w:rPr>
              <w:t>；</w:t>
            </w:r>
          </w:p>
          <w:p w14:paraId="18FD1BE5">
            <w:pPr>
              <w:widowControl/>
              <w:shd w:val="clear"/>
              <w:jc w:val="left"/>
              <w:rPr>
                <w:rFonts w:hint="default" w:ascii="仿宋" w:hAnsi="仿宋" w:eastAsia="仿宋" w:cs="仿宋_GB2312"/>
                <w:color w:val="auto"/>
                <w:sz w:val="22"/>
                <w:highlight w:val="none"/>
                <w:lang w:eastAsia="zh-CN" w:bidi="ar"/>
              </w:rPr>
            </w:pPr>
            <w:r>
              <w:rPr>
                <w:rStyle w:val="20"/>
                <w:rFonts w:hint="default" w:ascii="仿宋" w:hAnsi="仿宋" w:eastAsia="仿宋" w:cs="仿宋_GB2312"/>
                <w:color w:val="auto"/>
                <w:sz w:val="22"/>
                <w:szCs w:val="22"/>
                <w:highlight w:val="none"/>
                <w:lang w:bidi="ar"/>
              </w:rPr>
              <w:t>注：①提供车辆清单、车辆照片（包含车牌、冷链设备）及行驶证复印件并加盖</w:t>
            </w:r>
            <w:r>
              <w:rPr>
                <w:rFonts w:ascii="仿宋" w:hAnsi="仿宋" w:eastAsia="仿宋" w:cs="仿宋_GB2312"/>
                <w:sz w:val="22"/>
                <w:highlight w:val="none"/>
              </w:rPr>
              <w:t>参选单位</w:t>
            </w:r>
            <w:r>
              <w:rPr>
                <w:rStyle w:val="20"/>
                <w:rFonts w:hint="default" w:ascii="仿宋" w:hAnsi="仿宋" w:eastAsia="仿宋" w:cs="仿宋_GB2312"/>
                <w:color w:val="auto"/>
                <w:sz w:val="22"/>
                <w:szCs w:val="22"/>
                <w:highlight w:val="none"/>
                <w:lang w:bidi="ar"/>
              </w:rPr>
              <w:t>公章；②如运输车为租赁车，则提供相应有效期租赁期内的租赁合同复印件并加盖</w:t>
            </w:r>
            <w:r>
              <w:rPr>
                <w:rFonts w:ascii="仿宋" w:hAnsi="仿宋" w:eastAsia="仿宋" w:cs="仿宋_GB2312"/>
                <w:sz w:val="22"/>
                <w:highlight w:val="none"/>
              </w:rPr>
              <w:t>参选单位</w:t>
            </w:r>
            <w:r>
              <w:rPr>
                <w:rStyle w:val="20"/>
                <w:rFonts w:hint="default" w:ascii="仿宋" w:hAnsi="仿宋" w:eastAsia="仿宋" w:cs="仿宋_GB2312"/>
                <w:color w:val="auto"/>
                <w:sz w:val="22"/>
                <w:szCs w:val="22"/>
                <w:highlight w:val="none"/>
                <w:lang w:bidi="ar"/>
              </w:rPr>
              <w:t>公章）。</w:t>
            </w:r>
          </w:p>
        </w:tc>
        <w:tc>
          <w:tcPr>
            <w:tcW w:w="654" w:type="dxa"/>
            <w:tcBorders>
              <w:top w:val="single" w:color="auto" w:sz="4" w:space="0"/>
              <w:left w:val="nil"/>
              <w:bottom w:val="single" w:color="auto" w:sz="8" w:space="0"/>
              <w:right w:val="single" w:color="auto" w:sz="8" w:space="0"/>
            </w:tcBorders>
            <w:shd w:val="clear" w:color="000000" w:fill="auto"/>
            <w:vAlign w:val="center"/>
          </w:tcPr>
          <w:p w14:paraId="4123E979">
            <w:pPr>
              <w:widowControl/>
              <w:shd w:val="clear"/>
              <w:jc w:val="center"/>
              <w:rPr>
                <w:rFonts w:ascii="仿宋" w:hAnsi="仿宋" w:eastAsia="仿宋" w:cs="仿宋_GB2312"/>
                <w:sz w:val="22"/>
              </w:rPr>
            </w:pPr>
          </w:p>
        </w:tc>
        <w:tc>
          <w:tcPr>
            <w:tcW w:w="1723" w:type="dxa"/>
            <w:tcBorders>
              <w:top w:val="single" w:color="auto" w:sz="4" w:space="0"/>
              <w:left w:val="nil"/>
              <w:bottom w:val="single" w:color="auto" w:sz="8" w:space="0"/>
              <w:right w:val="single" w:color="auto" w:sz="8" w:space="0"/>
            </w:tcBorders>
            <w:shd w:val="clear" w:color="000000" w:fill="auto"/>
          </w:tcPr>
          <w:p w14:paraId="19C09329">
            <w:pPr>
              <w:widowControl/>
              <w:shd w:val="clear"/>
              <w:jc w:val="center"/>
              <w:rPr>
                <w:rFonts w:ascii="仿宋" w:hAnsi="仿宋" w:eastAsia="仿宋" w:cs="仿宋_GB2312"/>
                <w:sz w:val="22"/>
              </w:rPr>
            </w:pPr>
          </w:p>
        </w:tc>
      </w:tr>
      <w:tr w14:paraId="4712A54D">
        <w:tblPrEx>
          <w:tblCellMar>
            <w:top w:w="0" w:type="dxa"/>
            <w:left w:w="108" w:type="dxa"/>
            <w:bottom w:w="0" w:type="dxa"/>
            <w:right w:w="108" w:type="dxa"/>
          </w:tblCellMar>
        </w:tblPrEx>
        <w:trPr>
          <w:trHeight w:val="539" w:hRule="atLeast"/>
        </w:trPr>
        <w:tc>
          <w:tcPr>
            <w:tcW w:w="851" w:type="dxa"/>
            <w:vMerge w:val="continue"/>
            <w:tcBorders>
              <w:top w:val="single" w:color="auto" w:sz="4" w:space="0"/>
              <w:left w:val="single" w:color="auto" w:sz="8" w:space="0"/>
              <w:bottom w:val="single" w:color="auto" w:sz="4" w:space="0"/>
              <w:right w:val="single" w:color="auto" w:sz="8" w:space="0"/>
            </w:tcBorders>
            <w:vAlign w:val="center"/>
          </w:tcPr>
          <w:p w14:paraId="4F8D8480">
            <w:pPr>
              <w:widowControl/>
              <w:shd w:val="clear"/>
              <w:jc w:val="center"/>
              <w:rPr>
                <w:rFonts w:ascii="仿宋" w:hAnsi="仿宋" w:eastAsia="仿宋" w:cs="宋体"/>
                <w:b/>
                <w:bCs/>
                <w:color w:val="000000"/>
                <w:kern w:val="0"/>
                <w:sz w:val="22"/>
                <w:szCs w:val="24"/>
              </w:rPr>
            </w:pPr>
          </w:p>
        </w:tc>
        <w:tc>
          <w:tcPr>
            <w:tcW w:w="986" w:type="dxa"/>
            <w:vMerge w:val="continue"/>
            <w:tcBorders>
              <w:top w:val="single" w:color="auto" w:sz="4" w:space="0"/>
              <w:left w:val="single" w:color="auto" w:sz="8" w:space="0"/>
              <w:bottom w:val="single" w:color="auto" w:sz="4" w:space="0"/>
              <w:right w:val="single" w:color="auto" w:sz="8" w:space="0"/>
            </w:tcBorders>
            <w:vAlign w:val="center"/>
          </w:tcPr>
          <w:p w14:paraId="1D220A52">
            <w:pPr>
              <w:widowControl/>
              <w:shd w:val="clear"/>
              <w:jc w:val="left"/>
              <w:rPr>
                <w:rFonts w:ascii="仿宋" w:hAnsi="仿宋" w:eastAsia="仿宋" w:cs="仿宋_GB2312"/>
                <w:sz w:val="22"/>
              </w:rPr>
            </w:pPr>
          </w:p>
        </w:tc>
        <w:tc>
          <w:tcPr>
            <w:tcW w:w="766" w:type="dxa"/>
            <w:vMerge w:val="continue"/>
            <w:tcBorders>
              <w:left w:val="nil"/>
              <w:right w:val="single" w:color="auto" w:sz="8" w:space="0"/>
            </w:tcBorders>
            <w:shd w:val="clear" w:color="000000" w:fill="auto"/>
            <w:vAlign w:val="center"/>
          </w:tcPr>
          <w:p w14:paraId="77B3F1FD">
            <w:pPr>
              <w:pStyle w:val="7"/>
            </w:pPr>
          </w:p>
        </w:tc>
        <w:tc>
          <w:tcPr>
            <w:tcW w:w="737" w:type="dxa"/>
            <w:tcBorders>
              <w:top w:val="single" w:color="auto" w:sz="4" w:space="0"/>
              <w:left w:val="nil"/>
              <w:bottom w:val="single" w:color="auto" w:sz="4" w:space="0"/>
              <w:right w:val="single" w:color="auto" w:sz="8" w:space="0"/>
            </w:tcBorders>
            <w:shd w:val="clear" w:color="000000" w:fill="auto"/>
            <w:vAlign w:val="center"/>
          </w:tcPr>
          <w:p w14:paraId="2CD2F488">
            <w:pPr>
              <w:widowControl/>
              <w:shd w:val="clear"/>
              <w:jc w:val="center"/>
              <w:rPr>
                <w:rFonts w:hint="eastAsia" w:ascii="仿宋" w:hAnsi="仿宋" w:eastAsia="仿宋" w:cs="仿宋_GB2312"/>
                <w:color w:val="000000" w:themeColor="text1"/>
                <w:sz w:val="22"/>
                <w:lang w:val="en-US" w:eastAsia="zh-CN"/>
                <w14:textFill>
                  <w14:solidFill>
                    <w14:schemeClr w14:val="tx1"/>
                  </w14:solidFill>
                </w14:textFill>
              </w:rPr>
            </w:pPr>
            <w:r>
              <w:rPr>
                <w:rFonts w:hint="eastAsia" w:ascii="仿宋" w:hAnsi="仿宋" w:eastAsia="仿宋" w:cs="仿宋_GB2312"/>
                <w:color w:val="000000" w:themeColor="text1"/>
                <w:sz w:val="22"/>
                <w:lang w:val="en-US" w:eastAsia="zh-CN"/>
                <w14:textFill>
                  <w14:solidFill>
                    <w14:schemeClr w14:val="tx1"/>
                  </w14:solidFill>
                </w14:textFill>
              </w:rPr>
              <w:t>3</w:t>
            </w:r>
          </w:p>
        </w:tc>
        <w:tc>
          <w:tcPr>
            <w:tcW w:w="4708" w:type="dxa"/>
            <w:tcBorders>
              <w:top w:val="single" w:color="auto" w:sz="4" w:space="0"/>
              <w:left w:val="nil"/>
              <w:bottom w:val="single" w:color="auto" w:sz="8" w:space="0"/>
              <w:right w:val="single" w:color="auto" w:sz="8" w:space="0"/>
            </w:tcBorders>
            <w:shd w:val="clear" w:color="000000" w:fill="auto"/>
            <w:vAlign w:val="center"/>
          </w:tcPr>
          <w:p w14:paraId="2E15D73B">
            <w:pPr>
              <w:widowControl/>
              <w:shd w:val="clear"/>
              <w:jc w:val="left"/>
              <w:rPr>
                <w:rFonts w:ascii="仿宋" w:hAnsi="仿宋" w:eastAsia="仿宋" w:cs="仿宋_GB2312"/>
                <w:b w:val="0"/>
                <w:bCs w:val="0"/>
                <w:color w:val="auto"/>
                <w:sz w:val="22"/>
                <w:highlight w:val="none"/>
                <w:lang w:bidi="ar"/>
              </w:rPr>
            </w:pPr>
            <w:r>
              <w:rPr>
                <w:rFonts w:hint="eastAsia" w:ascii="仿宋" w:hAnsi="仿宋" w:eastAsia="仿宋" w:cs="仿宋_GB2312"/>
                <w:sz w:val="22"/>
                <w:highlight w:val="none"/>
                <w:lang w:val="en-US" w:eastAsia="zh-CN"/>
              </w:rPr>
              <w:t>2.</w:t>
            </w:r>
            <w:r>
              <w:rPr>
                <w:rFonts w:ascii="仿宋" w:hAnsi="仿宋" w:eastAsia="仿宋" w:cs="仿宋_GB2312"/>
                <w:sz w:val="22"/>
                <w:highlight w:val="none"/>
              </w:rPr>
              <w:t>参选单位</w:t>
            </w:r>
            <w:r>
              <w:rPr>
                <w:rStyle w:val="20"/>
                <w:rFonts w:hint="default" w:ascii="仿宋" w:hAnsi="仿宋" w:eastAsia="仿宋" w:cs="仿宋_GB2312"/>
                <w:color w:val="auto"/>
                <w:sz w:val="22"/>
                <w:szCs w:val="22"/>
                <w:highlight w:val="none"/>
                <w:lang w:bidi="ar"/>
              </w:rPr>
              <w:t>自身具有《道路运输经营许可证》且经营范围包含货物专用运输（冷藏保鲜设备），</w:t>
            </w:r>
            <w:r>
              <w:rPr>
                <w:rStyle w:val="20"/>
                <w:rFonts w:hint="default" w:ascii="仿宋" w:hAnsi="仿宋" w:eastAsia="仿宋" w:cs="仿宋_GB2312"/>
                <w:b w:val="0"/>
                <w:bCs w:val="0"/>
                <w:color w:val="auto"/>
                <w:sz w:val="22"/>
                <w:szCs w:val="22"/>
                <w:highlight w:val="none"/>
                <w:lang w:bidi="ar"/>
              </w:rPr>
              <w:t>得3分</w:t>
            </w:r>
            <w:r>
              <w:rPr>
                <w:rStyle w:val="20"/>
                <w:rFonts w:hint="default" w:ascii="仿宋" w:hAnsi="仿宋" w:eastAsia="仿宋" w:cs="仿宋_GB2312"/>
                <w:color w:val="auto"/>
                <w:sz w:val="22"/>
                <w:szCs w:val="22"/>
                <w:highlight w:val="none"/>
                <w:lang w:bidi="ar"/>
              </w:rPr>
              <w:t>。（提供《道路运输经营许可证》复印件或扫描件）</w:t>
            </w:r>
          </w:p>
        </w:tc>
        <w:tc>
          <w:tcPr>
            <w:tcW w:w="654" w:type="dxa"/>
            <w:tcBorders>
              <w:top w:val="single" w:color="auto" w:sz="4" w:space="0"/>
              <w:left w:val="nil"/>
              <w:bottom w:val="single" w:color="auto" w:sz="8" w:space="0"/>
              <w:right w:val="single" w:color="auto" w:sz="8" w:space="0"/>
            </w:tcBorders>
            <w:shd w:val="clear" w:color="000000" w:fill="auto"/>
            <w:vAlign w:val="center"/>
          </w:tcPr>
          <w:p w14:paraId="2D0DCF7A">
            <w:pPr>
              <w:widowControl/>
              <w:shd w:val="clear"/>
              <w:jc w:val="center"/>
              <w:rPr>
                <w:rFonts w:ascii="仿宋" w:hAnsi="仿宋" w:eastAsia="仿宋" w:cs="仿宋_GB2312"/>
                <w:sz w:val="22"/>
              </w:rPr>
            </w:pPr>
          </w:p>
        </w:tc>
        <w:tc>
          <w:tcPr>
            <w:tcW w:w="1723" w:type="dxa"/>
            <w:tcBorders>
              <w:top w:val="single" w:color="auto" w:sz="4" w:space="0"/>
              <w:left w:val="nil"/>
              <w:bottom w:val="single" w:color="auto" w:sz="8" w:space="0"/>
              <w:right w:val="single" w:color="auto" w:sz="8" w:space="0"/>
            </w:tcBorders>
            <w:shd w:val="clear" w:color="000000" w:fill="auto"/>
          </w:tcPr>
          <w:p w14:paraId="00D4EBCA">
            <w:pPr>
              <w:widowControl/>
              <w:shd w:val="clear"/>
              <w:jc w:val="center"/>
              <w:rPr>
                <w:rFonts w:ascii="仿宋" w:hAnsi="仿宋" w:eastAsia="仿宋" w:cs="仿宋_GB2312"/>
                <w:sz w:val="22"/>
              </w:rPr>
            </w:pPr>
          </w:p>
        </w:tc>
      </w:tr>
      <w:tr w14:paraId="27E43B1A">
        <w:tblPrEx>
          <w:tblCellMar>
            <w:top w:w="0" w:type="dxa"/>
            <w:left w:w="108" w:type="dxa"/>
            <w:bottom w:w="0" w:type="dxa"/>
            <w:right w:w="108" w:type="dxa"/>
          </w:tblCellMar>
        </w:tblPrEx>
        <w:trPr>
          <w:trHeight w:val="1118" w:hRule="atLeast"/>
        </w:trPr>
        <w:tc>
          <w:tcPr>
            <w:tcW w:w="851" w:type="dxa"/>
            <w:vMerge w:val="continue"/>
            <w:tcBorders>
              <w:top w:val="single" w:color="auto" w:sz="4" w:space="0"/>
              <w:left w:val="single" w:color="auto" w:sz="8" w:space="0"/>
              <w:bottom w:val="single" w:color="auto" w:sz="4" w:space="0"/>
              <w:right w:val="single" w:color="auto" w:sz="8" w:space="0"/>
            </w:tcBorders>
            <w:vAlign w:val="center"/>
          </w:tcPr>
          <w:p w14:paraId="57DE1C89">
            <w:pPr>
              <w:widowControl/>
              <w:shd w:val="clear"/>
              <w:jc w:val="center"/>
              <w:rPr>
                <w:rFonts w:ascii="仿宋" w:hAnsi="仿宋" w:eastAsia="仿宋" w:cs="宋体"/>
                <w:b/>
                <w:bCs/>
                <w:color w:val="000000"/>
                <w:kern w:val="0"/>
                <w:sz w:val="22"/>
                <w:szCs w:val="24"/>
              </w:rPr>
            </w:pPr>
          </w:p>
        </w:tc>
        <w:tc>
          <w:tcPr>
            <w:tcW w:w="986" w:type="dxa"/>
            <w:vMerge w:val="continue"/>
            <w:tcBorders>
              <w:top w:val="single" w:color="auto" w:sz="4" w:space="0"/>
              <w:left w:val="single" w:color="auto" w:sz="8" w:space="0"/>
              <w:bottom w:val="single" w:color="auto" w:sz="4" w:space="0"/>
              <w:right w:val="single" w:color="auto" w:sz="8" w:space="0"/>
            </w:tcBorders>
            <w:vAlign w:val="center"/>
          </w:tcPr>
          <w:p w14:paraId="2F713BCA">
            <w:pPr>
              <w:widowControl/>
              <w:shd w:val="clear"/>
              <w:jc w:val="left"/>
              <w:rPr>
                <w:rFonts w:ascii="仿宋" w:hAnsi="仿宋" w:eastAsia="仿宋" w:cs="仿宋_GB2312"/>
                <w:sz w:val="22"/>
              </w:rPr>
            </w:pPr>
          </w:p>
        </w:tc>
        <w:tc>
          <w:tcPr>
            <w:tcW w:w="766" w:type="dxa"/>
            <w:vMerge w:val="continue"/>
            <w:tcBorders>
              <w:left w:val="nil"/>
              <w:bottom w:val="single" w:color="auto" w:sz="4" w:space="0"/>
              <w:right w:val="single" w:color="auto" w:sz="8" w:space="0"/>
            </w:tcBorders>
            <w:shd w:val="clear" w:color="000000" w:fill="auto"/>
            <w:vAlign w:val="center"/>
          </w:tcPr>
          <w:p w14:paraId="23A19DE8">
            <w:pPr>
              <w:pStyle w:val="7"/>
            </w:pPr>
          </w:p>
        </w:tc>
        <w:tc>
          <w:tcPr>
            <w:tcW w:w="737" w:type="dxa"/>
            <w:tcBorders>
              <w:top w:val="single" w:color="auto" w:sz="4" w:space="0"/>
              <w:left w:val="nil"/>
              <w:bottom w:val="single" w:color="auto" w:sz="4" w:space="0"/>
              <w:right w:val="single" w:color="auto" w:sz="8" w:space="0"/>
            </w:tcBorders>
            <w:shd w:val="clear" w:color="000000" w:fill="auto"/>
            <w:vAlign w:val="center"/>
          </w:tcPr>
          <w:p w14:paraId="39DDF030">
            <w:pPr>
              <w:widowControl/>
              <w:shd w:val="clear"/>
              <w:jc w:val="center"/>
              <w:rPr>
                <w:rFonts w:ascii="仿宋" w:hAnsi="仿宋" w:eastAsia="仿宋" w:cs="仿宋_GB2312"/>
                <w:color w:val="000000" w:themeColor="text1"/>
                <w:sz w:val="22"/>
                <w14:textFill>
                  <w14:solidFill>
                    <w14:schemeClr w14:val="tx1"/>
                  </w14:solidFill>
                </w14:textFill>
              </w:rPr>
            </w:pPr>
            <w:r>
              <w:rPr>
                <w:rFonts w:hint="eastAsia" w:ascii="仿宋" w:hAnsi="仿宋" w:eastAsia="仿宋" w:cs="仿宋_GB2312"/>
                <w:color w:val="000000" w:themeColor="text1"/>
                <w:sz w:val="22"/>
                <w:lang w:val="en-US" w:eastAsia="zh-CN"/>
                <w14:textFill>
                  <w14:solidFill>
                    <w14:schemeClr w14:val="tx1"/>
                  </w14:solidFill>
                </w14:textFill>
              </w:rPr>
              <w:t>3</w:t>
            </w:r>
          </w:p>
        </w:tc>
        <w:tc>
          <w:tcPr>
            <w:tcW w:w="4708" w:type="dxa"/>
            <w:tcBorders>
              <w:top w:val="single" w:color="auto" w:sz="4" w:space="0"/>
              <w:left w:val="nil"/>
              <w:bottom w:val="single" w:color="auto" w:sz="4" w:space="0"/>
              <w:right w:val="single" w:color="auto" w:sz="8" w:space="0"/>
            </w:tcBorders>
            <w:shd w:val="clear" w:color="000000" w:fill="auto"/>
            <w:vAlign w:val="center"/>
          </w:tcPr>
          <w:p w14:paraId="2A72C44B">
            <w:pPr>
              <w:widowControl/>
              <w:numPr>
                <w:ilvl w:val="-1"/>
                <w:numId w:val="0"/>
              </w:numPr>
              <w:shd w:val="clear"/>
              <w:jc w:val="left"/>
              <w:rPr>
                <w:rFonts w:ascii="仿宋" w:hAnsi="仿宋" w:eastAsia="仿宋" w:cs="仿宋_GB2312"/>
                <w:color w:val="auto"/>
                <w:sz w:val="22"/>
                <w:highlight w:val="none"/>
                <w:lang w:bidi="ar"/>
              </w:rPr>
            </w:pPr>
            <w:r>
              <w:rPr>
                <w:rFonts w:hint="eastAsia" w:ascii="仿宋" w:hAnsi="仿宋" w:eastAsia="仿宋" w:cs="仿宋_GB2312"/>
                <w:sz w:val="22"/>
                <w:highlight w:val="none"/>
                <w:lang w:val="en-US" w:eastAsia="zh-CN"/>
              </w:rPr>
              <w:t>3.</w:t>
            </w:r>
            <w:r>
              <w:rPr>
                <w:rFonts w:ascii="仿宋" w:hAnsi="仿宋" w:eastAsia="仿宋" w:cs="仿宋_GB2312"/>
                <w:sz w:val="22"/>
                <w:highlight w:val="none"/>
              </w:rPr>
              <w:t>参选单位</w:t>
            </w:r>
            <w:r>
              <w:rPr>
                <w:rStyle w:val="20"/>
                <w:rFonts w:hint="default" w:ascii="仿宋" w:hAnsi="仿宋" w:eastAsia="仿宋" w:cs="仿宋_GB2312"/>
                <w:color w:val="auto"/>
                <w:sz w:val="22"/>
                <w:szCs w:val="22"/>
                <w:highlight w:val="none"/>
                <w:lang w:bidi="ar"/>
              </w:rPr>
              <w:t>为《医学检验生物样本冷链物流运作规范》国家标准达标企业的</w:t>
            </w:r>
            <w:r>
              <w:rPr>
                <w:rStyle w:val="20"/>
                <w:rFonts w:hint="default" w:ascii="仿宋" w:hAnsi="仿宋" w:eastAsia="仿宋" w:cs="仿宋_GB2312"/>
                <w:b w:val="0"/>
                <w:bCs w:val="0"/>
                <w:color w:val="auto"/>
                <w:sz w:val="22"/>
                <w:szCs w:val="22"/>
                <w:highlight w:val="none"/>
                <w:lang w:bidi="ar"/>
              </w:rPr>
              <w:t>得3分</w:t>
            </w:r>
            <w:r>
              <w:rPr>
                <w:rStyle w:val="20"/>
                <w:rFonts w:hint="default" w:ascii="仿宋" w:hAnsi="仿宋" w:eastAsia="仿宋" w:cs="仿宋_GB2312"/>
                <w:color w:val="auto"/>
                <w:sz w:val="22"/>
                <w:szCs w:val="22"/>
                <w:highlight w:val="none"/>
                <w:lang w:bidi="ar"/>
              </w:rPr>
              <w:t>。（提供证明材料复印件或扫描件，不提供不得分）</w:t>
            </w:r>
          </w:p>
        </w:tc>
        <w:tc>
          <w:tcPr>
            <w:tcW w:w="654" w:type="dxa"/>
            <w:tcBorders>
              <w:top w:val="single" w:color="auto" w:sz="4" w:space="0"/>
              <w:left w:val="nil"/>
              <w:bottom w:val="single" w:color="auto" w:sz="4" w:space="0"/>
              <w:right w:val="single" w:color="auto" w:sz="8" w:space="0"/>
            </w:tcBorders>
            <w:shd w:val="clear" w:color="000000" w:fill="auto"/>
            <w:vAlign w:val="center"/>
          </w:tcPr>
          <w:p w14:paraId="21208C23">
            <w:pPr>
              <w:widowControl/>
              <w:shd w:val="clear"/>
              <w:jc w:val="center"/>
              <w:rPr>
                <w:rFonts w:ascii="仿宋" w:hAnsi="仿宋" w:eastAsia="仿宋" w:cs="仿宋_GB2312"/>
                <w:sz w:val="22"/>
              </w:rPr>
            </w:pPr>
          </w:p>
        </w:tc>
        <w:tc>
          <w:tcPr>
            <w:tcW w:w="1723" w:type="dxa"/>
            <w:tcBorders>
              <w:top w:val="single" w:color="auto" w:sz="4" w:space="0"/>
              <w:left w:val="nil"/>
              <w:bottom w:val="single" w:color="auto" w:sz="8" w:space="0"/>
              <w:right w:val="single" w:color="auto" w:sz="8" w:space="0"/>
            </w:tcBorders>
            <w:shd w:val="clear" w:color="000000" w:fill="auto"/>
          </w:tcPr>
          <w:p w14:paraId="64E1EC0B">
            <w:pPr>
              <w:widowControl/>
              <w:shd w:val="clear"/>
              <w:jc w:val="center"/>
              <w:rPr>
                <w:rFonts w:ascii="仿宋" w:hAnsi="仿宋" w:eastAsia="仿宋" w:cs="仿宋_GB2312"/>
                <w:sz w:val="22"/>
              </w:rPr>
            </w:pPr>
          </w:p>
        </w:tc>
      </w:tr>
      <w:tr w14:paraId="3AA6B414">
        <w:tblPrEx>
          <w:tblCellMar>
            <w:top w:w="0" w:type="dxa"/>
            <w:left w:w="108" w:type="dxa"/>
            <w:bottom w:w="0" w:type="dxa"/>
            <w:right w:w="108" w:type="dxa"/>
          </w:tblCellMar>
        </w:tblPrEx>
        <w:trPr>
          <w:trHeight w:val="1118" w:hRule="atLeast"/>
        </w:trPr>
        <w:tc>
          <w:tcPr>
            <w:tcW w:w="851" w:type="dxa"/>
            <w:vMerge w:val="continue"/>
            <w:tcBorders>
              <w:top w:val="single" w:color="auto" w:sz="4" w:space="0"/>
              <w:left w:val="single" w:color="auto" w:sz="8" w:space="0"/>
              <w:bottom w:val="single" w:color="auto" w:sz="4" w:space="0"/>
              <w:right w:val="single" w:color="auto" w:sz="8" w:space="0"/>
            </w:tcBorders>
            <w:vAlign w:val="center"/>
          </w:tcPr>
          <w:p w14:paraId="4E610863">
            <w:pPr>
              <w:widowControl/>
              <w:shd w:val="clear"/>
              <w:jc w:val="center"/>
              <w:rPr>
                <w:rFonts w:ascii="仿宋" w:hAnsi="仿宋" w:eastAsia="仿宋" w:cs="宋体"/>
                <w:b/>
                <w:bCs/>
                <w:color w:val="000000"/>
                <w:kern w:val="0"/>
                <w:sz w:val="22"/>
                <w:szCs w:val="24"/>
              </w:rPr>
            </w:pPr>
          </w:p>
        </w:tc>
        <w:tc>
          <w:tcPr>
            <w:tcW w:w="986" w:type="dxa"/>
            <w:vMerge w:val="continue"/>
            <w:tcBorders>
              <w:top w:val="single" w:color="auto" w:sz="4" w:space="0"/>
              <w:left w:val="single" w:color="auto" w:sz="8" w:space="0"/>
              <w:bottom w:val="single" w:color="auto" w:sz="4" w:space="0"/>
              <w:right w:val="single" w:color="auto" w:sz="8" w:space="0"/>
            </w:tcBorders>
            <w:vAlign w:val="center"/>
          </w:tcPr>
          <w:p w14:paraId="1A7CDF90">
            <w:pPr>
              <w:widowControl/>
              <w:shd w:val="clear"/>
              <w:jc w:val="left"/>
              <w:rPr>
                <w:rFonts w:ascii="仿宋" w:hAnsi="仿宋" w:eastAsia="仿宋" w:cs="仿宋_GB2312"/>
                <w:sz w:val="22"/>
              </w:rPr>
            </w:pPr>
          </w:p>
        </w:tc>
        <w:tc>
          <w:tcPr>
            <w:tcW w:w="766" w:type="dxa"/>
            <w:tcBorders>
              <w:top w:val="single" w:color="auto" w:sz="4" w:space="0"/>
              <w:left w:val="nil"/>
              <w:right w:val="single" w:color="auto" w:sz="8" w:space="0"/>
            </w:tcBorders>
            <w:shd w:val="clear" w:color="000000" w:fill="auto"/>
            <w:vAlign w:val="center"/>
          </w:tcPr>
          <w:p w14:paraId="3529A0E5">
            <w:pPr>
              <w:widowControl/>
              <w:jc w:val="left"/>
              <w:rPr>
                <w:rFonts w:ascii="仿宋" w:hAnsi="仿宋" w:eastAsia="仿宋" w:cs="仿宋_GB2312"/>
                <w:sz w:val="22"/>
                <w:lang w:bidi="ar"/>
              </w:rPr>
            </w:pPr>
            <w:r>
              <w:rPr>
                <w:rStyle w:val="20"/>
                <w:rFonts w:hint="default" w:ascii="仿宋" w:hAnsi="仿宋" w:eastAsia="仿宋" w:cs="仿宋_GB2312"/>
                <w:color w:val="000000" w:themeColor="text1"/>
                <w:sz w:val="22"/>
                <w:szCs w:val="22"/>
                <w:highlight w:val="none"/>
                <w:lang w:bidi="ar"/>
                <w14:textFill>
                  <w14:solidFill>
                    <w14:schemeClr w14:val="tx1"/>
                  </w14:solidFill>
                </w14:textFill>
              </w:rPr>
              <w:t>信息化服务能力</w:t>
            </w:r>
          </w:p>
        </w:tc>
        <w:tc>
          <w:tcPr>
            <w:tcW w:w="737" w:type="dxa"/>
            <w:tcBorders>
              <w:top w:val="single" w:color="auto" w:sz="4" w:space="0"/>
              <w:left w:val="nil"/>
              <w:bottom w:val="single" w:color="auto" w:sz="4" w:space="0"/>
              <w:right w:val="single" w:color="auto" w:sz="8" w:space="0"/>
            </w:tcBorders>
            <w:shd w:val="clear" w:color="000000" w:fill="auto"/>
            <w:vAlign w:val="center"/>
          </w:tcPr>
          <w:p w14:paraId="20DA3154">
            <w:pPr>
              <w:widowControl/>
              <w:shd w:val="clear"/>
              <w:jc w:val="center"/>
              <w:rPr>
                <w:rFonts w:hint="default" w:ascii="仿宋" w:hAnsi="仿宋" w:eastAsia="仿宋" w:cs="仿宋_GB2312"/>
                <w:color w:val="auto"/>
                <w:sz w:val="22"/>
                <w:lang w:val="en-US" w:eastAsia="zh-CN" w:bidi="ar"/>
              </w:rPr>
            </w:pPr>
            <w:r>
              <w:rPr>
                <w:rFonts w:hint="eastAsia" w:ascii="仿宋" w:hAnsi="仿宋" w:eastAsia="仿宋" w:cs="仿宋_GB2312"/>
                <w:sz w:val="22"/>
                <w:lang w:val="en-US" w:eastAsia="zh-CN" w:bidi="ar"/>
              </w:rPr>
              <w:t>8</w:t>
            </w:r>
          </w:p>
        </w:tc>
        <w:tc>
          <w:tcPr>
            <w:tcW w:w="4708" w:type="dxa"/>
            <w:tcBorders>
              <w:top w:val="single" w:color="auto" w:sz="4" w:space="0"/>
              <w:left w:val="nil"/>
              <w:bottom w:val="single" w:color="auto" w:sz="4" w:space="0"/>
              <w:right w:val="single" w:color="auto" w:sz="8" w:space="0"/>
            </w:tcBorders>
            <w:shd w:val="clear" w:color="000000" w:fill="auto"/>
            <w:vAlign w:val="center"/>
          </w:tcPr>
          <w:p w14:paraId="323455EA">
            <w:pPr>
              <w:widowControl/>
              <w:shd w:val="clear"/>
              <w:jc w:val="left"/>
              <w:rPr>
                <w:rFonts w:hint="eastAsia" w:ascii="仿宋" w:hAnsi="仿宋" w:eastAsia="仿宋" w:cs="仿宋_GB2312"/>
                <w:sz w:val="22"/>
                <w:highlight w:val="none"/>
                <w:lang w:eastAsia="zh-CN" w:bidi="ar"/>
              </w:rPr>
            </w:pPr>
            <w:r>
              <w:rPr>
                <w:rFonts w:ascii="仿宋" w:hAnsi="仿宋" w:eastAsia="仿宋" w:cs="仿宋_GB2312"/>
                <w:sz w:val="22"/>
                <w:highlight w:val="none"/>
              </w:rPr>
              <w:t>参选单位</w:t>
            </w:r>
            <w:r>
              <w:rPr>
                <w:rStyle w:val="20"/>
                <w:rFonts w:hint="default" w:ascii="仿宋" w:hAnsi="仿宋" w:eastAsia="仿宋" w:cs="仿宋_GB2312"/>
                <w:color w:val="000000" w:themeColor="text1"/>
                <w:sz w:val="22"/>
                <w:szCs w:val="22"/>
                <w:highlight w:val="none"/>
                <w:lang w:bidi="ar"/>
                <w14:textFill>
                  <w14:solidFill>
                    <w14:schemeClr w14:val="tx1"/>
                  </w14:solidFill>
                </w14:textFill>
              </w:rPr>
              <w:t>现场展示可提供区域信息化系统平台，且具备录单、报告查询、温度监控、定位监控、运输轨迹追溯、物流排班、数据统计、智慧大屏监控等功能的得8分，每缺少一个功能扣1分，扣完为止</w:t>
            </w:r>
            <w:r>
              <w:rPr>
                <w:rStyle w:val="20"/>
                <w:rFonts w:hint="eastAsia" w:ascii="仿宋" w:hAnsi="仿宋" w:eastAsia="仿宋" w:cs="仿宋_GB2312"/>
                <w:color w:val="000000" w:themeColor="text1"/>
                <w:sz w:val="22"/>
                <w:szCs w:val="22"/>
                <w:highlight w:val="none"/>
                <w:lang w:eastAsia="zh-CN" w:bidi="ar"/>
                <w14:textFill>
                  <w14:solidFill>
                    <w14:schemeClr w14:val="tx1"/>
                  </w14:solidFill>
                </w14:textFill>
              </w:rPr>
              <w:t>。</w:t>
            </w:r>
          </w:p>
        </w:tc>
        <w:tc>
          <w:tcPr>
            <w:tcW w:w="654" w:type="dxa"/>
            <w:tcBorders>
              <w:top w:val="single" w:color="auto" w:sz="4" w:space="0"/>
              <w:left w:val="nil"/>
              <w:bottom w:val="single" w:color="auto" w:sz="4" w:space="0"/>
              <w:right w:val="single" w:color="auto" w:sz="8" w:space="0"/>
            </w:tcBorders>
            <w:shd w:val="clear" w:color="000000" w:fill="auto"/>
            <w:vAlign w:val="center"/>
          </w:tcPr>
          <w:p w14:paraId="5F591DE2">
            <w:pPr>
              <w:widowControl/>
              <w:shd w:val="clear"/>
              <w:jc w:val="center"/>
              <w:rPr>
                <w:rFonts w:ascii="仿宋" w:hAnsi="仿宋" w:eastAsia="仿宋" w:cs="仿宋_GB2312"/>
                <w:sz w:val="22"/>
              </w:rPr>
            </w:pPr>
          </w:p>
        </w:tc>
        <w:tc>
          <w:tcPr>
            <w:tcW w:w="1723" w:type="dxa"/>
            <w:tcBorders>
              <w:top w:val="single" w:color="auto" w:sz="4" w:space="0"/>
              <w:left w:val="nil"/>
              <w:bottom w:val="single" w:color="auto" w:sz="8" w:space="0"/>
              <w:right w:val="single" w:color="auto" w:sz="8" w:space="0"/>
            </w:tcBorders>
            <w:shd w:val="clear" w:color="000000" w:fill="auto"/>
          </w:tcPr>
          <w:p w14:paraId="5626B183">
            <w:pPr>
              <w:widowControl/>
              <w:shd w:val="clear"/>
              <w:jc w:val="center"/>
              <w:rPr>
                <w:rFonts w:ascii="仿宋" w:hAnsi="仿宋" w:eastAsia="仿宋" w:cs="仿宋_GB2312"/>
                <w:sz w:val="22"/>
              </w:rPr>
            </w:pPr>
          </w:p>
        </w:tc>
      </w:tr>
      <w:tr w14:paraId="09DDB9EF">
        <w:tblPrEx>
          <w:tblCellMar>
            <w:top w:w="0" w:type="dxa"/>
            <w:left w:w="108" w:type="dxa"/>
            <w:bottom w:w="0" w:type="dxa"/>
            <w:right w:w="108" w:type="dxa"/>
          </w:tblCellMar>
        </w:tblPrEx>
        <w:trPr>
          <w:trHeight w:val="1580" w:hRule="atLeast"/>
        </w:trPr>
        <w:tc>
          <w:tcPr>
            <w:tcW w:w="851" w:type="dxa"/>
            <w:vMerge w:val="continue"/>
            <w:tcBorders>
              <w:top w:val="nil"/>
              <w:left w:val="single" w:color="auto" w:sz="8" w:space="0"/>
              <w:bottom w:val="nil"/>
              <w:right w:val="single" w:color="auto" w:sz="8" w:space="0"/>
            </w:tcBorders>
            <w:vAlign w:val="center"/>
          </w:tcPr>
          <w:p w14:paraId="292F2DD7">
            <w:pPr>
              <w:widowControl/>
              <w:shd w:val="clear"/>
              <w:jc w:val="center"/>
              <w:rPr>
                <w:rFonts w:ascii="仿宋" w:hAnsi="仿宋" w:eastAsia="仿宋" w:cs="宋体"/>
                <w:b/>
                <w:bCs/>
                <w:color w:val="000000"/>
                <w:kern w:val="0"/>
                <w:sz w:val="22"/>
                <w:szCs w:val="24"/>
              </w:rPr>
            </w:pPr>
          </w:p>
        </w:tc>
        <w:tc>
          <w:tcPr>
            <w:tcW w:w="986" w:type="dxa"/>
            <w:vMerge w:val="continue"/>
            <w:tcBorders>
              <w:top w:val="nil"/>
              <w:left w:val="single" w:color="auto" w:sz="8" w:space="0"/>
              <w:bottom w:val="nil"/>
              <w:right w:val="single" w:color="auto" w:sz="8" w:space="0"/>
            </w:tcBorders>
            <w:vAlign w:val="center"/>
          </w:tcPr>
          <w:p w14:paraId="4198AEE8">
            <w:pPr>
              <w:widowControl/>
              <w:shd w:val="clear"/>
              <w:jc w:val="left"/>
              <w:rPr>
                <w:rFonts w:ascii="仿宋" w:hAnsi="仿宋" w:eastAsia="仿宋" w:cs="仿宋_GB2312"/>
                <w:sz w:val="22"/>
              </w:rPr>
            </w:pPr>
          </w:p>
        </w:tc>
        <w:tc>
          <w:tcPr>
            <w:tcW w:w="766" w:type="dxa"/>
            <w:vMerge w:val="restart"/>
            <w:tcBorders>
              <w:top w:val="single" w:color="auto" w:sz="8" w:space="0"/>
              <w:left w:val="single" w:color="auto" w:sz="8" w:space="0"/>
              <w:right w:val="single" w:color="auto" w:sz="8" w:space="0"/>
            </w:tcBorders>
            <w:shd w:val="clear" w:color="000000" w:fill="auto"/>
            <w:vAlign w:val="center"/>
          </w:tcPr>
          <w:p w14:paraId="197AD94B">
            <w:pPr>
              <w:widowControl/>
              <w:shd w:val="clear"/>
              <w:jc w:val="center"/>
              <w:rPr>
                <w:rFonts w:ascii="仿宋" w:hAnsi="仿宋" w:eastAsia="仿宋" w:cs="仿宋_GB2312"/>
                <w:sz w:val="22"/>
              </w:rPr>
            </w:pPr>
            <w:r>
              <w:rPr>
                <w:rFonts w:hint="eastAsia" w:ascii="仿宋" w:hAnsi="仿宋" w:eastAsia="仿宋" w:cs="仿宋_GB2312"/>
                <w:sz w:val="22"/>
              </w:rPr>
              <w:t>研究实力</w:t>
            </w:r>
          </w:p>
        </w:tc>
        <w:tc>
          <w:tcPr>
            <w:tcW w:w="737" w:type="dxa"/>
            <w:tcBorders>
              <w:top w:val="single" w:color="auto" w:sz="4" w:space="0"/>
              <w:left w:val="nil"/>
              <w:bottom w:val="single" w:color="auto" w:sz="4" w:space="0"/>
              <w:right w:val="single" w:color="auto" w:sz="8" w:space="0"/>
            </w:tcBorders>
            <w:shd w:val="clear" w:color="000000" w:fill="auto"/>
            <w:vAlign w:val="center"/>
          </w:tcPr>
          <w:p w14:paraId="18EED203">
            <w:pPr>
              <w:widowControl/>
              <w:shd w:val="clear"/>
              <w:jc w:val="center"/>
              <w:rPr>
                <w:rFonts w:hint="default" w:ascii="仿宋" w:hAnsi="仿宋" w:eastAsia="仿宋" w:cs="仿宋_GB2312"/>
                <w:sz w:val="22"/>
                <w:lang w:val="en-US"/>
              </w:rPr>
            </w:pPr>
            <w:r>
              <w:rPr>
                <w:rFonts w:hint="eastAsia" w:ascii="仿宋" w:hAnsi="仿宋" w:eastAsia="仿宋" w:cs="仿宋_GB2312"/>
                <w:sz w:val="22"/>
                <w:lang w:val="en-US" w:eastAsia="zh-CN"/>
              </w:rPr>
              <w:t>2</w:t>
            </w:r>
          </w:p>
          <w:p w14:paraId="4B6D2B3C">
            <w:pPr>
              <w:widowControl/>
              <w:shd w:val="clear"/>
              <w:jc w:val="center"/>
              <w:rPr>
                <w:rFonts w:ascii="仿宋" w:hAnsi="仿宋" w:eastAsia="仿宋" w:cs="仿宋_GB2312"/>
                <w:sz w:val="22"/>
              </w:rPr>
            </w:pPr>
          </w:p>
        </w:tc>
        <w:tc>
          <w:tcPr>
            <w:tcW w:w="4708" w:type="dxa"/>
            <w:tcBorders>
              <w:top w:val="single" w:color="auto" w:sz="4" w:space="0"/>
              <w:left w:val="nil"/>
              <w:bottom w:val="single" w:color="auto" w:sz="4" w:space="0"/>
              <w:right w:val="single" w:color="auto" w:sz="8" w:space="0"/>
            </w:tcBorders>
            <w:shd w:val="clear" w:color="000000" w:fill="auto"/>
            <w:vAlign w:val="center"/>
          </w:tcPr>
          <w:p w14:paraId="3798FFD8">
            <w:pPr>
              <w:shd w:val="clear"/>
              <w:rPr>
                <w:rFonts w:ascii="仿宋" w:hAnsi="仿宋" w:eastAsia="仿宋" w:cs="仿宋_GB2312"/>
                <w:color w:val="000000" w:themeColor="text1"/>
                <w:sz w:val="22"/>
                <w14:textFill>
                  <w14:solidFill>
                    <w14:schemeClr w14:val="tx1"/>
                  </w14:solidFill>
                </w14:textFill>
              </w:rPr>
            </w:pPr>
            <w:r>
              <w:rPr>
                <w:rFonts w:hint="eastAsia" w:ascii="仿宋" w:hAnsi="仿宋" w:eastAsia="仿宋" w:cs="仿宋_GB2312"/>
                <w:color w:val="000000" w:themeColor="text1"/>
                <w:sz w:val="22"/>
                <w14:textFill>
                  <w14:solidFill>
                    <w14:schemeClr w14:val="tx1"/>
                  </w14:solidFill>
                </w14:textFill>
              </w:rPr>
              <w:t>参选单位具备较强的研究能力。参选单位（包括全资母公司及全资子公司）</w:t>
            </w:r>
            <w:r>
              <w:rPr>
                <w:rFonts w:ascii="仿宋" w:hAnsi="仿宋" w:eastAsia="仿宋" w:cs="仿宋_GB2312"/>
                <w:color w:val="000000" w:themeColor="text1"/>
                <w:sz w:val="22"/>
                <w14:textFill>
                  <w14:solidFill>
                    <w14:schemeClr w14:val="tx1"/>
                  </w14:solidFill>
                </w14:textFill>
              </w:rPr>
              <w:t>在</w:t>
            </w:r>
            <w:r>
              <w:rPr>
                <w:rFonts w:hint="eastAsia" w:ascii="仿宋" w:hAnsi="仿宋" w:eastAsia="仿宋" w:cs="仿宋_GB2312"/>
                <w:color w:val="000000" w:themeColor="text1"/>
                <w:sz w:val="22"/>
                <w14:textFill>
                  <w14:solidFill>
                    <w14:schemeClr w14:val="tx1"/>
                  </w14:solidFill>
                </w14:textFill>
              </w:rPr>
              <w:t>“十四五”期间，有参加生育</w:t>
            </w:r>
            <w:r>
              <w:rPr>
                <w:rFonts w:ascii="仿宋" w:hAnsi="仿宋" w:eastAsia="仿宋" w:cs="仿宋_GB2312"/>
                <w:color w:val="000000" w:themeColor="text1"/>
                <w:sz w:val="22"/>
                <w14:textFill>
                  <w14:solidFill>
                    <w14:schemeClr w14:val="tx1"/>
                  </w14:solidFill>
                </w14:textFill>
              </w:rPr>
              <w:t>健康/</w:t>
            </w:r>
            <w:r>
              <w:rPr>
                <w:rFonts w:hint="eastAsia" w:ascii="仿宋" w:hAnsi="仿宋" w:eastAsia="仿宋" w:cs="仿宋_GB2312"/>
                <w:color w:val="000000" w:themeColor="text1"/>
                <w:sz w:val="22"/>
                <w14:textFill>
                  <w14:solidFill>
                    <w14:schemeClr w14:val="tx1"/>
                  </w14:solidFill>
                </w14:textFill>
              </w:rPr>
              <w:t>生殖</w:t>
            </w:r>
            <w:r>
              <w:rPr>
                <w:rFonts w:ascii="仿宋" w:hAnsi="仿宋" w:eastAsia="仿宋" w:cs="仿宋_GB2312"/>
                <w:color w:val="000000" w:themeColor="text1"/>
                <w:sz w:val="22"/>
                <w14:textFill>
                  <w14:solidFill>
                    <w14:schemeClr w14:val="tx1"/>
                  </w14:solidFill>
                </w14:textFill>
              </w:rPr>
              <w:t>健康类</w:t>
            </w:r>
            <w:r>
              <w:rPr>
                <w:rFonts w:hint="eastAsia" w:ascii="仿宋" w:hAnsi="仿宋" w:eastAsia="仿宋" w:cs="仿宋_GB2312"/>
                <w:color w:val="000000" w:themeColor="text1"/>
                <w:sz w:val="22"/>
                <w14:textFill>
                  <w14:solidFill>
                    <w14:schemeClr w14:val="tx1"/>
                  </w14:solidFill>
                </w14:textFill>
              </w:rPr>
              <w:t>国家重点研发计划项目经验的，每有一项得1分，共</w:t>
            </w:r>
            <w:r>
              <w:rPr>
                <w:rFonts w:hint="eastAsia" w:ascii="仿宋" w:hAnsi="仿宋" w:eastAsia="仿宋" w:cs="仿宋_GB2312"/>
                <w:color w:val="000000" w:themeColor="text1"/>
                <w:sz w:val="22"/>
                <w:lang w:val="en-US" w:eastAsia="zh-CN"/>
                <w14:textFill>
                  <w14:solidFill>
                    <w14:schemeClr w14:val="tx1"/>
                  </w14:solidFill>
                </w14:textFill>
              </w:rPr>
              <w:t>2</w:t>
            </w:r>
            <w:r>
              <w:rPr>
                <w:rFonts w:hint="eastAsia" w:ascii="仿宋" w:hAnsi="仿宋" w:eastAsia="仿宋" w:cs="仿宋_GB2312"/>
                <w:color w:val="000000" w:themeColor="text1"/>
                <w:sz w:val="22"/>
                <w14:textFill>
                  <w14:solidFill>
                    <w14:schemeClr w14:val="tx1"/>
                  </w14:solidFill>
                </w14:textFill>
              </w:rPr>
              <w:t>分（提供相关协议证明资料）</w:t>
            </w:r>
            <w:r>
              <w:rPr>
                <w:rFonts w:hint="eastAsia" w:ascii="仿宋" w:hAnsi="仿宋" w:eastAsia="仿宋" w:cs="仿宋_GB2312"/>
                <w:color w:val="000000" w:themeColor="text1"/>
                <w:sz w:val="22"/>
                <w:lang w:eastAsia="zh-CN"/>
                <w14:textFill>
                  <w14:solidFill>
                    <w14:schemeClr w14:val="tx1"/>
                  </w14:solidFill>
                </w14:textFill>
              </w:rPr>
              <w:t>。</w:t>
            </w:r>
          </w:p>
        </w:tc>
        <w:tc>
          <w:tcPr>
            <w:tcW w:w="654" w:type="dxa"/>
            <w:tcBorders>
              <w:top w:val="single" w:color="auto" w:sz="4" w:space="0"/>
              <w:left w:val="nil"/>
              <w:bottom w:val="single" w:color="auto" w:sz="4" w:space="0"/>
              <w:right w:val="single" w:color="auto" w:sz="8" w:space="0"/>
            </w:tcBorders>
            <w:shd w:val="clear" w:color="000000" w:fill="auto"/>
            <w:vAlign w:val="center"/>
          </w:tcPr>
          <w:p w14:paraId="1DAE0178">
            <w:pPr>
              <w:widowControl/>
              <w:shd w:val="clear"/>
              <w:jc w:val="center"/>
              <w:rPr>
                <w:rFonts w:ascii="仿宋" w:hAnsi="仿宋" w:eastAsia="仿宋" w:cs="仿宋_GB2312"/>
                <w:sz w:val="22"/>
              </w:rPr>
            </w:pPr>
          </w:p>
        </w:tc>
        <w:tc>
          <w:tcPr>
            <w:tcW w:w="1723" w:type="dxa"/>
            <w:tcBorders>
              <w:top w:val="nil"/>
              <w:left w:val="nil"/>
              <w:bottom w:val="single" w:color="auto" w:sz="8" w:space="0"/>
              <w:right w:val="single" w:color="auto" w:sz="8" w:space="0"/>
            </w:tcBorders>
            <w:shd w:val="clear" w:color="000000" w:fill="auto"/>
          </w:tcPr>
          <w:p w14:paraId="377B2240">
            <w:pPr>
              <w:widowControl/>
              <w:shd w:val="clear"/>
              <w:jc w:val="center"/>
              <w:rPr>
                <w:rFonts w:ascii="仿宋" w:hAnsi="仿宋" w:eastAsia="仿宋" w:cs="仿宋_GB2312"/>
                <w:sz w:val="22"/>
              </w:rPr>
            </w:pPr>
          </w:p>
        </w:tc>
      </w:tr>
      <w:tr w14:paraId="5EC8562F">
        <w:tblPrEx>
          <w:tblCellMar>
            <w:top w:w="0" w:type="dxa"/>
            <w:left w:w="108" w:type="dxa"/>
            <w:bottom w:w="0" w:type="dxa"/>
            <w:right w:w="108" w:type="dxa"/>
          </w:tblCellMar>
        </w:tblPrEx>
        <w:trPr>
          <w:trHeight w:val="1579" w:hRule="atLeast"/>
        </w:trPr>
        <w:tc>
          <w:tcPr>
            <w:tcW w:w="851" w:type="dxa"/>
            <w:vMerge w:val="continue"/>
            <w:tcBorders>
              <w:top w:val="nil"/>
              <w:left w:val="single" w:color="auto" w:sz="8" w:space="0"/>
              <w:bottom w:val="single" w:color="auto" w:sz="4" w:space="0"/>
              <w:right w:val="single" w:color="auto" w:sz="8" w:space="0"/>
            </w:tcBorders>
            <w:vAlign w:val="center"/>
          </w:tcPr>
          <w:p w14:paraId="1A32C0A5">
            <w:pPr>
              <w:widowControl/>
              <w:shd w:val="clear"/>
              <w:jc w:val="center"/>
              <w:rPr>
                <w:rFonts w:ascii="仿宋" w:hAnsi="仿宋" w:eastAsia="仿宋" w:cs="宋体"/>
                <w:b/>
                <w:bCs/>
                <w:color w:val="000000"/>
                <w:kern w:val="0"/>
                <w:sz w:val="22"/>
                <w:szCs w:val="24"/>
              </w:rPr>
            </w:pPr>
          </w:p>
        </w:tc>
        <w:tc>
          <w:tcPr>
            <w:tcW w:w="986" w:type="dxa"/>
            <w:vMerge w:val="continue"/>
            <w:tcBorders>
              <w:top w:val="nil"/>
              <w:left w:val="single" w:color="auto" w:sz="8" w:space="0"/>
              <w:bottom w:val="single" w:color="auto" w:sz="4" w:space="0"/>
              <w:right w:val="single" w:color="auto" w:sz="8" w:space="0"/>
            </w:tcBorders>
            <w:vAlign w:val="center"/>
          </w:tcPr>
          <w:p w14:paraId="281543F9">
            <w:pPr>
              <w:widowControl/>
              <w:shd w:val="clear"/>
              <w:jc w:val="left"/>
              <w:rPr>
                <w:rFonts w:ascii="仿宋" w:hAnsi="仿宋" w:eastAsia="仿宋" w:cs="仿宋_GB2312"/>
                <w:sz w:val="22"/>
              </w:rPr>
            </w:pPr>
          </w:p>
        </w:tc>
        <w:tc>
          <w:tcPr>
            <w:tcW w:w="766" w:type="dxa"/>
            <w:vMerge w:val="continue"/>
            <w:tcBorders>
              <w:left w:val="single" w:color="auto" w:sz="8" w:space="0"/>
              <w:bottom w:val="single" w:color="auto" w:sz="4" w:space="0"/>
              <w:right w:val="single" w:color="auto" w:sz="8" w:space="0"/>
            </w:tcBorders>
            <w:shd w:val="clear" w:color="000000" w:fill="auto"/>
            <w:vAlign w:val="center"/>
          </w:tcPr>
          <w:p w14:paraId="52DD6C9D">
            <w:pPr>
              <w:widowControl/>
              <w:shd w:val="clear"/>
              <w:jc w:val="center"/>
              <w:rPr>
                <w:rFonts w:ascii="仿宋" w:hAnsi="仿宋" w:eastAsia="仿宋" w:cs="仿宋_GB2312"/>
                <w:sz w:val="22"/>
              </w:rPr>
            </w:pPr>
          </w:p>
        </w:tc>
        <w:tc>
          <w:tcPr>
            <w:tcW w:w="737" w:type="dxa"/>
            <w:tcBorders>
              <w:top w:val="single" w:color="auto" w:sz="4" w:space="0"/>
              <w:left w:val="nil"/>
              <w:bottom w:val="single" w:color="auto" w:sz="4" w:space="0"/>
              <w:right w:val="single" w:color="auto" w:sz="8" w:space="0"/>
            </w:tcBorders>
            <w:shd w:val="clear" w:color="000000" w:fill="auto"/>
            <w:vAlign w:val="center"/>
          </w:tcPr>
          <w:p w14:paraId="139CB5FA">
            <w:pPr>
              <w:widowControl/>
              <w:shd w:val="clear"/>
              <w:jc w:val="center"/>
              <w:rPr>
                <w:rFonts w:ascii="仿宋" w:hAnsi="仿宋" w:eastAsia="仿宋" w:cs="仿宋_GB2312"/>
                <w:sz w:val="22"/>
              </w:rPr>
            </w:pPr>
            <w:r>
              <w:rPr>
                <w:rFonts w:ascii="仿宋" w:hAnsi="仿宋" w:eastAsia="仿宋" w:cs="仿宋_GB2312"/>
                <w:sz w:val="22"/>
              </w:rPr>
              <w:t>2</w:t>
            </w:r>
          </w:p>
        </w:tc>
        <w:tc>
          <w:tcPr>
            <w:tcW w:w="4708" w:type="dxa"/>
            <w:tcBorders>
              <w:top w:val="single" w:color="auto" w:sz="4" w:space="0"/>
              <w:left w:val="nil"/>
              <w:bottom w:val="single" w:color="auto" w:sz="4" w:space="0"/>
              <w:right w:val="single" w:color="auto" w:sz="8" w:space="0"/>
            </w:tcBorders>
            <w:shd w:val="clear" w:color="000000" w:fill="auto"/>
            <w:vAlign w:val="center"/>
          </w:tcPr>
          <w:p w14:paraId="7DFE03B8">
            <w:pPr>
              <w:widowControl/>
              <w:shd w:val="clear"/>
              <w:rPr>
                <w:rFonts w:ascii="仿宋" w:hAnsi="仿宋" w:eastAsia="仿宋" w:cs="仿宋_GB2312"/>
                <w:color w:val="000000" w:themeColor="text1"/>
                <w:sz w:val="22"/>
                <w14:textFill>
                  <w14:solidFill>
                    <w14:schemeClr w14:val="tx1"/>
                  </w14:solidFill>
                </w14:textFill>
              </w:rPr>
            </w:pPr>
            <w:r>
              <w:rPr>
                <w:rFonts w:ascii="仿宋" w:hAnsi="仿宋" w:eastAsia="仿宋" w:cs="仿宋_GB2312"/>
                <w:color w:val="000000" w:themeColor="text1"/>
                <w:sz w:val="22"/>
                <w14:textFill>
                  <w14:solidFill>
                    <w14:schemeClr w14:val="tx1"/>
                  </w14:solidFill>
                </w14:textFill>
              </w:rPr>
              <w:t>参选单位</w:t>
            </w:r>
            <w:r>
              <w:rPr>
                <w:rFonts w:hint="eastAsia" w:ascii="仿宋" w:hAnsi="仿宋" w:eastAsia="仿宋" w:cs="仿宋_GB2312"/>
                <w:color w:val="000000" w:themeColor="text1"/>
                <w:sz w:val="22"/>
                <w14:textFill>
                  <w14:solidFill>
                    <w14:schemeClr w14:val="tx1"/>
                  </w14:solidFill>
                </w14:textFill>
              </w:rPr>
              <w:t>有</w:t>
            </w:r>
            <w:r>
              <w:rPr>
                <w:rFonts w:ascii="仿宋" w:hAnsi="仿宋" w:eastAsia="仿宋" w:cs="仿宋_GB2312"/>
                <w:color w:val="000000" w:themeColor="text1"/>
                <w:sz w:val="22"/>
                <w14:textFill>
                  <w14:solidFill>
                    <w14:schemeClr w14:val="tx1"/>
                  </w14:solidFill>
                </w14:textFill>
              </w:rPr>
              <w:t>国际权威机构认证的</w:t>
            </w:r>
            <w:r>
              <w:rPr>
                <w:rFonts w:hint="eastAsia" w:ascii="仿宋" w:hAnsi="仿宋" w:eastAsia="仿宋" w:cs="仿宋_GB2312"/>
                <w:color w:val="000000" w:themeColor="text1"/>
                <w:sz w:val="22"/>
                <w14:textFill>
                  <w14:solidFill>
                    <w14:schemeClr w14:val="tx1"/>
                  </w14:solidFill>
                </w14:textFill>
              </w:rPr>
              <w:t>遗传咨询专家</w:t>
            </w:r>
            <w:r>
              <w:rPr>
                <w:rFonts w:ascii="仿宋" w:hAnsi="仿宋" w:eastAsia="仿宋" w:cs="仿宋_GB2312"/>
                <w:color w:val="000000" w:themeColor="text1"/>
                <w:sz w:val="22"/>
                <w14:textFill>
                  <w14:solidFill>
                    <w14:schemeClr w14:val="tx1"/>
                  </w14:solidFill>
                </w14:textFill>
              </w:rPr>
              <w:t>（专家拥有如ABMGG认证</w:t>
            </w:r>
            <w:r>
              <w:rPr>
                <w:rFonts w:hint="eastAsia" w:ascii="仿宋" w:hAnsi="仿宋" w:eastAsia="仿宋" w:cs="仿宋_GB2312"/>
                <w:color w:val="000000" w:themeColor="text1"/>
                <w:sz w:val="22"/>
                <w14:textFill>
                  <w14:solidFill>
                    <w14:schemeClr w14:val="tx1"/>
                  </w14:solidFill>
                </w14:textFill>
              </w:rPr>
              <w:t>或</w:t>
            </w:r>
            <w:r>
              <w:rPr>
                <w:rFonts w:ascii="仿宋" w:hAnsi="仿宋" w:eastAsia="仿宋" w:cs="仿宋_GB2312"/>
                <w:color w:val="000000" w:themeColor="text1"/>
                <w:sz w:val="22"/>
                <w14:textFill>
                  <w14:solidFill>
                    <w14:schemeClr w14:val="tx1"/>
                  </w14:solidFill>
                </w14:textFill>
              </w:rPr>
              <w:t>FACMG等资质）</w:t>
            </w:r>
            <w:r>
              <w:rPr>
                <w:rFonts w:hint="eastAsia" w:ascii="仿宋" w:hAnsi="仿宋" w:eastAsia="仿宋" w:cs="仿宋_GB2312"/>
                <w:color w:val="000000" w:themeColor="text1"/>
                <w:sz w:val="22"/>
                <w14:textFill>
                  <w14:solidFill>
                    <w14:schemeClr w14:val="tx1"/>
                  </w14:solidFill>
                </w14:textFill>
              </w:rPr>
              <w:t>对检测数据进行审核判读、对检测结果进行分析，以及给出专业的治疗指导意见或下一步的检查建议（</w:t>
            </w:r>
            <w:r>
              <w:rPr>
                <w:rFonts w:ascii="仿宋" w:hAnsi="仿宋" w:eastAsia="仿宋" w:cs="仿宋_GB2312"/>
                <w:color w:val="000000" w:themeColor="text1"/>
                <w:sz w:val="22"/>
                <w14:textFill>
                  <w14:solidFill>
                    <w14:schemeClr w14:val="tx1"/>
                  </w14:solidFill>
                </w14:textFill>
              </w:rPr>
              <w:t>参选单位</w:t>
            </w:r>
            <w:r>
              <w:rPr>
                <w:rFonts w:hint="eastAsia" w:ascii="仿宋" w:hAnsi="仿宋" w:eastAsia="仿宋" w:cs="仿宋_GB2312"/>
                <w:color w:val="000000" w:themeColor="text1"/>
                <w:sz w:val="22"/>
                <w14:textFill>
                  <w14:solidFill>
                    <w14:schemeClr w14:val="tx1"/>
                  </w14:solidFill>
                </w14:textFill>
              </w:rPr>
              <w:t>需提供盖有单位公章的证书复印件和聘用合同或聘用证书复印件，提供相关人员资质证明），满足</w:t>
            </w:r>
            <w:r>
              <w:rPr>
                <w:rFonts w:ascii="仿宋" w:hAnsi="仿宋" w:eastAsia="仿宋" w:cs="仿宋_GB2312"/>
                <w:color w:val="000000" w:themeColor="text1"/>
                <w:sz w:val="22"/>
                <w14:textFill>
                  <w14:solidFill>
                    <w14:schemeClr w14:val="tx1"/>
                  </w14:solidFill>
                </w14:textFill>
              </w:rPr>
              <w:t>的</w:t>
            </w:r>
            <w:r>
              <w:rPr>
                <w:rFonts w:hint="eastAsia" w:ascii="仿宋" w:hAnsi="仿宋" w:eastAsia="仿宋" w:cs="仿宋_GB2312"/>
                <w:color w:val="000000" w:themeColor="text1"/>
                <w:sz w:val="22"/>
                <w14:textFill>
                  <w14:solidFill>
                    <w14:schemeClr w14:val="tx1"/>
                  </w14:solidFill>
                </w14:textFill>
              </w:rPr>
              <w:t>得2分，不满足不得分。</w:t>
            </w:r>
          </w:p>
        </w:tc>
        <w:tc>
          <w:tcPr>
            <w:tcW w:w="654" w:type="dxa"/>
            <w:tcBorders>
              <w:top w:val="single" w:color="auto" w:sz="4" w:space="0"/>
              <w:left w:val="nil"/>
              <w:bottom w:val="single" w:color="auto" w:sz="4" w:space="0"/>
              <w:right w:val="single" w:color="auto" w:sz="8" w:space="0"/>
            </w:tcBorders>
            <w:shd w:val="clear" w:color="000000" w:fill="auto"/>
            <w:vAlign w:val="center"/>
          </w:tcPr>
          <w:p w14:paraId="14E1AA20">
            <w:pPr>
              <w:widowControl/>
              <w:shd w:val="clear"/>
              <w:jc w:val="center"/>
              <w:rPr>
                <w:rFonts w:ascii="仿宋" w:hAnsi="仿宋" w:eastAsia="仿宋" w:cs="仿宋_GB2312"/>
                <w:sz w:val="22"/>
              </w:rPr>
            </w:pPr>
          </w:p>
        </w:tc>
        <w:tc>
          <w:tcPr>
            <w:tcW w:w="1723" w:type="dxa"/>
            <w:tcBorders>
              <w:top w:val="nil"/>
              <w:left w:val="nil"/>
              <w:bottom w:val="single" w:color="auto" w:sz="4" w:space="0"/>
              <w:right w:val="single" w:color="auto" w:sz="8" w:space="0"/>
            </w:tcBorders>
            <w:shd w:val="clear" w:color="000000" w:fill="auto"/>
          </w:tcPr>
          <w:p w14:paraId="30483FE7">
            <w:pPr>
              <w:widowControl/>
              <w:shd w:val="clear"/>
              <w:jc w:val="center"/>
              <w:rPr>
                <w:rFonts w:ascii="仿宋" w:hAnsi="仿宋" w:eastAsia="仿宋" w:cs="仿宋_GB2312"/>
                <w:sz w:val="22"/>
              </w:rPr>
            </w:pPr>
          </w:p>
        </w:tc>
      </w:tr>
      <w:tr w14:paraId="07668DB0">
        <w:tblPrEx>
          <w:tblCellMar>
            <w:top w:w="0" w:type="dxa"/>
            <w:left w:w="108" w:type="dxa"/>
            <w:bottom w:w="0" w:type="dxa"/>
            <w:right w:w="108" w:type="dxa"/>
          </w:tblCellMar>
        </w:tblPrEx>
        <w:trPr>
          <w:trHeight w:val="845" w:hRule="atLeast"/>
        </w:trPr>
        <w:tc>
          <w:tcPr>
            <w:tcW w:w="851" w:type="dxa"/>
            <w:vMerge w:val="restart"/>
            <w:tcBorders>
              <w:top w:val="single" w:color="auto" w:sz="4" w:space="0"/>
              <w:left w:val="single" w:color="auto" w:sz="8" w:space="0"/>
              <w:right w:val="single" w:color="auto" w:sz="8" w:space="0"/>
            </w:tcBorders>
            <w:vAlign w:val="center"/>
          </w:tcPr>
          <w:p w14:paraId="2ED79C9B">
            <w:pPr>
              <w:widowControl/>
              <w:shd w:val="clear"/>
              <w:jc w:val="center"/>
              <w:rPr>
                <w:rFonts w:hint="eastAsia" w:ascii="仿宋" w:hAnsi="仿宋" w:eastAsia="仿宋" w:cs="宋体"/>
                <w:b/>
                <w:bCs/>
                <w:color w:val="000000"/>
                <w:kern w:val="0"/>
                <w:sz w:val="22"/>
                <w:szCs w:val="24"/>
                <w:lang w:val="en-US" w:eastAsia="zh-CN"/>
              </w:rPr>
            </w:pPr>
            <w:r>
              <w:rPr>
                <w:rFonts w:hint="eastAsia" w:ascii="仿宋" w:hAnsi="仿宋" w:eastAsia="仿宋" w:cs="宋体"/>
                <w:b/>
                <w:bCs/>
                <w:color w:val="000000"/>
                <w:kern w:val="0"/>
                <w:sz w:val="22"/>
                <w:szCs w:val="24"/>
                <w:lang w:val="en-US" w:eastAsia="zh-CN"/>
              </w:rPr>
              <w:t>4</w:t>
            </w:r>
          </w:p>
        </w:tc>
        <w:tc>
          <w:tcPr>
            <w:tcW w:w="986" w:type="dxa"/>
            <w:vMerge w:val="restart"/>
            <w:tcBorders>
              <w:top w:val="single" w:color="auto" w:sz="4" w:space="0"/>
              <w:left w:val="single" w:color="auto" w:sz="8" w:space="0"/>
              <w:right w:val="single" w:color="auto" w:sz="8" w:space="0"/>
            </w:tcBorders>
            <w:vAlign w:val="center"/>
          </w:tcPr>
          <w:p w14:paraId="491F35C7">
            <w:pPr>
              <w:widowControl/>
              <w:shd w:val="clear"/>
              <w:jc w:val="center"/>
              <w:rPr>
                <w:rFonts w:ascii="仿宋" w:hAnsi="仿宋" w:eastAsia="仿宋" w:cs="仿宋_GB2312"/>
                <w:sz w:val="22"/>
              </w:rPr>
            </w:pPr>
            <w:r>
              <w:rPr>
                <w:rFonts w:ascii="仿宋" w:hAnsi="仿宋" w:eastAsia="仿宋" w:cs="仿宋_GB2312"/>
                <w:sz w:val="22"/>
              </w:rPr>
              <w:t>服务能力</w:t>
            </w:r>
          </w:p>
          <w:p w14:paraId="209FB177">
            <w:pPr>
              <w:widowControl/>
              <w:shd w:val="clear"/>
              <w:jc w:val="center"/>
              <w:rPr>
                <w:rFonts w:ascii="仿宋" w:hAnsi="仿宋" w:eastAsia="仿宋" w:cs="仿宋_GB2312"/>
                <w:sz w:val="22"/>
              </w:rPr>
            </w:pPr>
            <w:r>
              <w:rPr>
                <w:rFonts w:ascii="仿宋" w:hAnsi="仿宋" w:eastAsia="仿宋" w:cs="仿宋_GB2312"/>
                <w:sz w:val="22"/>
              </w:rPr>
              <w:t>（2</w:t>
            </w:r>
            <w:r>
              <w:rPr>
                <w:rFonts w:hint="eastAsia" w:ascii="仿宋" w:hAnsi="仿宋" w:eastAsia="仿宋" w:cs="仿宋_GB2312"/>
                <w:sz w:val="22"/>
                <w:lang w:val="en-US" w:eastAsia="zh-CN"/>
              </w:rPr>
              <w:t>1分</w:t>
            </w:r>
            <w:r>
              <w:rPr>
                <w:rFonts w:ascii="仿宋" w:hAnsi="仿宋" w:eastAsia="仿宋" w:cs="仿宋_GB2312"/>
                <w:sz w:val="22"/>
              </w:rPr>
              <w:t>）</w:t>
            </w:r>
          </w:p>
        </w:tc>
        <w:tc>
          <w:tcPr>
            <w:tcW w:w="766" w:type="dxa"/>
            <w:tcBorders>
              <w:top w:val="single" w:color="auto" w:sz="4" w:space="0"/>
              <w:left w:val="nil"/>
              <w:right w:val="single" w:color="auto" w:sz="8" w:space="0"/>
            </w:tcBorders>
            <w:shd w:val="clear" w:color="000000" w:fill="auto"/>
            <w:vAlign w:val="center"/>
          </w:tcPr>
          <w:p w14:paraId="2967DCD3">
            <w:pPr>
              <w:widowControl/>
              <w:shd w:val="clear"/>
              <w:jc w:val="center"/>
              <w:rPr>
                <w:rFonts w:ascii="仿宋" w:hAnsi="仿宋" w:eastAsia="仿宋" w:cs="仿宋_GB2312"/>
                <w:sz w:val="22"/>
              </w:rPr>
            </w:pPr>
            <w:r>
              <w:rPr>
                <w:rFonts w:ascii="仿宋" w:hAnsi="仿宋" w:eastAsia="仿宋" w:cs="仿宋_GB2312"/>
                <w:sz w:val="22"/>
              </w:rPr>
              <w:t>业绩</w:t>
            </w:r>
          </w:p>
        </w:tc>
        <w:tc>
          <w:tcPr>
            <w:tcW w:w="737" w:type="dxa"/>
            <w:tcBorders>
              <w:top w:val="single" w:color="auto" w:sz="4" w:space="0"/>
              <w:left w:val="nil"/>
              <w:bottom w:val="single" w:color="auto" w:sz="8" w:space="0"/>
              <w:right w:val="single" w:color="auto" w:sz="8" w:space="0"/>
            </w:tcBorders>
            <w:shd w:val="clear" w:color="000000" w:fill="auto"/>
            <w:vAlign w:val="center"/>
          </w:tcPr>
          <w:p w14:paraId="108F6625">
            <w:pPr>
              <w:widowControl/>
              <w:shd w:val="clear"/>
              <w:jc w:val="center"/>
              <w:rPr>
                <w:rFonts w:ascii="仿宋" w:hAnsi="仿宋" w:eastAsia="仿宋" w:cs="仿宋_GB2312"/>
                <w:sz w:val="22"/>
              </w:rPr>
            </w:pPr>
            <w:r>
              <w:rPr>
                <w:rFonts w:hint="eastAsia" w:ascii="仿宋" w:hAnsi="仿宋" w:eastAsia="仿宋" w:cs="仿宋_GB2312"/>
                <w:sz w:val="22"/>
              </w:rPr>
              <w:t>10</w:t>
            </w:r>
          </w:p>
        </w:tc>
        <w:tc>
          <w:tcPr>
            <w:tcW w:w="4708" w:type="dxa"/>
            <w:tcBorders>
              <w:top w:val="single" w:color="auto" w:sz="4" w:space="0"/>
              <w:left w:val="nil"/>
              <w:bottom w:val="single" w:color="auto" w:sz="8" w:space="0"/>
              <w:right w:val="single" w:color="auto" w:sz="8" w:space="0"/>
            </w:tcBorders>
            <w:shd w:val="clear" w:color="000000" w:fill="auto"/>
            <w:vAlign w:val="center"/>
          </w:tcPr>
          <w:p w14:paraId="684E4499">
            <w:pPr>
              <w:widowControl/>
              <w:shd w:val="clear"/>
              <w:jc w:val="left"/>
              <w:rPr>
                <w:rFonts w:ascii="仿宋" w:hAnsi="仿宋" w:eastAsia="仿宋" w:cs="仿宋_GB2312"/>
                <w:sz w:val="22"/>
              </w:rPr>
            </w:pPr>
            <w:r>
              <w:rPr>
                <w:rFonts w:hint="eastAsia" w:ascii="仿宋" w:hAnsi="仿宋" w:eastAsia="仿宋" w:cs="仿宋_GB2312"/>
                <w:color w:val="000000" w:themeColor="text1"/>
                <w:sz w:val="22"/>
                <w14:textFill>
                  <w14:solidFill>
                    <w14:schemeClr w14:val="tx1"/>
                  </w14:solidFill>
                </w14:textFill>
              </w:rPr>
              <w:t>在孕妇外周血血浆游离DNA全基因组染色体高通量测序分析项目规范化开展方面，参选单位处在合作期内的向四川省内具备产前筛查、产前诊断资质的医疗机构提供本项目检测服务的机构数量，每提供1家得1分，满分10分。未提供相关证明文件的不得分（需提供参选单位从事孕妇外周血血浆游离DNA全基因组染色体高通量测序分析项目检测服务的处在合作期内的与产筛机构、产诊机构合作协议复印件作为相关证明并加盖公章）。</w:t>
            </w:r>
          </w:p>
        </w:tc>
        <w:tc>
          <w:tcPr>
            <w:tcW w:w="654" w:type="dxa"/>
            <w:tcBorders>
              <w:top w:val="single" w:color="auto" w:sz="4" w:space="0"/>
              <w:left w:val="nil"/>
              <w:bottom w:val="single" w:color="auto" w:sz="8" w:space="0"/>
              <w:right w:val="single" w:color="auto" w:sz="8" w:space="0"/>
            </w:tcBorders>
            <w:shd w:val="clear" w:color="000000" w:fill="auto"/>
            <w:vAlign w:val="center"/>
          </w:tcPr>
          <w:p w14:paraId="1DAA9367">
            <w:pPr>
              <w:widowControl/>
              <w:shd w:val="clear"/>
              <w:jc w:val="left"/>
              <w:rPr>
                <w:rFonts w:ascii="仿宋" w:hAnsi="仿宋" w:eastAsia="仿宋" w:cs="仿宋_GB2312"/>
                <w:sz w:val="22"/>
              </w:rPr>
            </w:pPr>
          </w:p>
        </w:tc>
        <w:tc>
          <w:tcPr>
            <w:tcW w:w="1723" w:type="dxa"/>
            <w:tcBorders>
              <w:top w:val="single" w:color="auto" w:sz="4" w:space="0"/>
              <w:left w:val="nil"/>
              <w:bottom w:val="single" w:color="auto" w:sz="8" w:space="0"/>
              <w:right w:val="single" w:color="auto" w:sz="8" w:space="0"/>
            </w:tcBorders>
            <w:shd w:val="clear" w:color="000000" w:fill="auto"/>
          </w:tcPr>
          <w:p w14:paraId="33E58686">
            <w:pPr>
              <w:widowControl/>
              <w:shd w:val="clear"/>
              <w:jc w:val="left"/>
              <w:rPr>
                <w:rFonts w:ascii="仿宋" w:hAnsi="仿宋" w:eastAsia="仿宋" w:cs="仿宋_GB2312"/>
                <w:color w:val="FF0000"/>
                <w:sz w:val="22"/>
              </w:rPr>
            </w:pPr>
          </w:p>
        </w:tc>
      </w:tr>
      <w:tr w14:paraId="2B6CA766">
        <w:tblPrEx>
          <w:tblCellMar>
            <w:top w:w="0" w:type="dxa"/>
            <w:left w:w="108" w:type="dxa"/>
            <w:bottom w:w="0" w:type="dxa"/>
            <w:right w:w="108" w:type="dxa"/>
          </w:tblCellMar>
        </w:tblPrEx>
        <w:trPr>
          <w:trHeight w:val="260" w:hRule="atLeast"/>
        </w:trPr>
        <w:tc>
          <w:tcPr>
            <w:tcW w:w="851" w:type="dxa"/>
            <w:vMerge w:val="continue"/>
            <w:tcBorders>
              <w:left w:val="single" w:color="auto" w:sz="8" w:space="0"/>
              <w:right w:val="single" w:color="auto" w:sz="8" w:space="0"/>
            </w:tcBorders>
            <w:vAlign w:val="center"/>
          </w:tcPr>
          <w:p w14:paraId="476B194C">
            <w:pPr>
              <w:shd w:val="clear"/>
              <w:jc w:val="center"/>
              <w:rPr>
                <w:rFonts w:ascii="仿宋" w:hAnsi="仿宋" w:eastAsia="仿宋" w:cs="宋体"/>
                <w:b/>
                <w:bCs/>
                <w:color w:val="000000"/>
                <w:kern w:val="0"/>
                <w:sz w:val="22"/>
                <w:szCs w:val="24"/>
              </w:rPr>
            </w:pPr>
          </w:p>
        </w:tc>
        <w:tc>
          <w:tcPr>
            <w:tcW w:w="986" w:type="dxa"/>
            <w:vMerge w:val="continue"/>
            <w:tcBorders>
              <w:left w:val="single" w:color="auto" w:sz="8" w:space="0"/>
              <w:right w:val="single" w:color="auto" w:sz="8" w:space="0"/>
            </w:tcBorders>
            <w:vAlign w:val="center"/>
          </w:tcPr>
          <w:p w14:paraId="72B6657A">
            <w:pPr>
              <w:shd w:val="clear"/>
              <w:jc w:val="left"/>
              <w:rPr>
                <w:rFonts w:ascii="仿宋" w:hAnsi="仿宋" w:eastAsia="仿宋" w:cs="仿宋_GB2312"/>
                <w:sz w:val="22"/>
              </w:rPr>
            </w:pPr>
          </w:p>
        </w:tc>
        <w:tc>
          <w:tcPr>
            <w:tcW w:w="766" w:type="dxa"/>
            <w:tcBorders>
              <w:top w:val="single" w:color="auto" w:sz="4" w:space="0"/>
              <w:left w:val="nil"/>
              <w:bottom w:val="single" w:color="auto" w:sz="8" w:space="0"/>
              <w:right w:val="single" w:color="auto" w:sz="8" w:space="0"/>
            </w:tcBorders>
            <w:shd w:val="clear" w:color="000000" w:fill="auto"/>
            <w:vAlign w:val="center"/>
          </w:tcPr>
          <w:p w14:paraId="5A5FF699">
            <w:pPr>
              <w:widowControl/>
              <w:shd w:val="clear"/>
              <w:jc w:val="center"/>
              <w:rPr>
                <w:rFonts w:ascii="仿宋" w:hAnsi="仿宋" w:eastAsia="仿宋" w:cs="仿宋_GB2312"/>
                <w:sz w:val="22"/>
              </w:rPr>
            </w:pPr>
            <w:r>
              <w:rPr>
                <w:rFonts w:hint="eastAsia" w:ascii="仿宋" w:hAnsi="仿宋" w:eastAsia="仿宋" w:cs="仿宋_GB2312"/>
                <w:sz w:val="22"/>
              </w:rPr>
              <w:t>合作方案</w:t>
            </w:r>
          </w:p>
        </w:tc>
        <w:tc>
          <w:tcPr>
            <w:tcW w:w="737" w:type="dxa"/>
            <w:tcBorders>
              <w:top w:val="nil"/>
              <w:left w:val="nil"/>
              <w:bottom w:val="single" w:color="auto" w:sz="8" w:space="0"/>
              <w:right w:val="single" w:color="auto" w:sz="8" w:space="0"/>
            </w:tcBorders>
            <w:shd w:val="clear" w:color="000000" w:fill="auto"/>
            <w:vAlign w:val="center"/>
          </w:tcPr>
          <w:p w14:paraId="2E844066">
            <w:pPr>
              <w:widowControl/>
              <w:shd w:val="clear"/>
              <w:jc w:val="center"/>
              <w:rPr>
                <w:rFonts w:hint="eastAsia" w:ascii="仿宋" w:hAnsi="仿宋" w:eastAsia="仿宋" w:cs="仿宋_GB2312"/>
                <w:sz w:val="22"/>
                <w:lang w:eastAsia="zh-CN"/>
              </w:rPr>
            </w:pPr>
            <w:r>
              <w:rPr>
                <w:rFonts w:hint="eastAsia" w:ascii="仿宋" w:hAnsi="仿宋" w:eastAsia="仿宋" w:cs="仿宋_GB2312"/>
                <w:sz w:val="22"/>
                <w:lang w:val="en-US" w:eastAsia="zh-CN"/>
              </w:rPr>
              <w:t>8</w:t>
            </w:r>
          </w:p>
        </w:tc>
        <w:tc>
          <w:tcPr>
            <w:tcW w:w="4708" w:type="dxa"/>
            <w:tcBorders>
              <w:top w:val="nil"/>
              <w:left w:val="nil"/>
              <w:bottom w:val="single" w:color="auto" w:sz="8" w:space="0"/>
              <w:right w:val="single" w:color="auto" w:sz="8" w:space="0"/>
            </w:tcBorders>
            <w:shd w:val="clear" w:color="000000" w:fill="auto"/>
            <w:vAlign w:val="center"/>
          </w:tcPr>
          <w:p w14:paraId="22A7435A">
            <w:pPr>
              <w:shd w:val="clear"/>
              <w:adjustRightInd w:val="0"/>
              <w:snapToGrid w:val="0"/>
              <w:rPr>
                <w:rFonts w:ascii="仿宋" w:hAnsi="仿宋" w:eastAsia="仿宋" w:cs="仿宋_GB2312"/>
                <w:sz w:val="22"/>
              </w:rPr>
            </w:pPr>
            <w:r>
              <w:rPr>
                <w:rFonts w:hint="eastAsia" w:ascii="仿宋" w:hAnsi="仿宋" w:eastAsia="仿宋" w:cs="仿宋_GB2312"/>
                <w:sz w:val="22"/>
              </w:rPr>
              <w:t>根据</w:t>
            </w:r>
            <w:r>
              <w:rPr>
                <w:rFonts w:ascii="仿宋" w:hAnsi="仿宋" w:eastAsia="仿宋" w:cs="仿宋_GB2312"/>
                <w:sz w:val="22"/>
              </w:rPr>
              <w:t>参选单位</w:t>
            </w:r>
            <w:r>
              <w:rPr>
                <w:rFonts w:hint="eastAsia" w:ascii="仿宋" w:hAnsi="仿宋" w:eastAsia="仿宋" w:cs="仿宋_GB2312"/>
                <w:sz w:val="22"/>
              </w:rPr>
              <w:t>针对本项目提供的服务方案作为评审依据，包括以下内容：</w:t>
            </w:r>
          </w:p>
          <w:p w14:paraId="05CF9350">
            <w:pPr>
              <w:shd w:val="clear"/>
              <w:wordWrap w:val="0"/>
              <w:adjustRightInd w:val="0"/>
              <w:snapToGrid w:val="0"/>
              <w:rPr>
                <w:rFonts w:ascii="仿宋" w:hAnsi="仿宋" w:eastAsia="仿宋" w:cs="仿宋_GB2312"/>
                <w:sz w:val="22"/>
              </w:rPr>
            </w:pPr>
            <w:r>
              <w:rPr>
                <w:rFonts w:ascii="仿宋" w:hAnsi="仿宋" w:eastAsia="仿宋" w:cs="仿宋_GB2312"/>
                <w:sz w:val="22"/>
              </w:rPr>
              <w:fldChar w:fldCharType="begin"/>
            </w:r>
            <w:r>
              <w:rPr>
                <w:rFonts w:ascii="仿宋" w:hAnsi="仿宋" w:eastAsia="仿宋" w:cs="仿宋_GB2312"/>
                <w:sz w:val="22"/>
              </w:rPr>
              <w:instrText xml:space="preserve"> </w:instrText>
            </w:r>
            <w:r>
              <w:rPr>
                <w:rFonts w:hint="eastAsia" w:ascii="仿宋" w:hAnsi="仿宋" w:eastAsia="仿宋" w:cs="仿宋_GB2312"/>
                <w:sz w:val="22"/>
              </w:rPr>
              <w:instrText xml:space="preserve">eq \o\ac(○,</w:instrText>
            </w:r>
            <w:r>
              <w:rPr>
                <w:rFonts w:hint="eastAsia" w:ascii="仿宋" w:hAnsi="仿宋" w:eastAsia="仿宋" w:cs="仿宋_GB2312"/>
                <w:position w:val="3"/>
                <w:sz w:val="15"/>
              </w:rPr>
              <w:instrText xml:space="preserve">1</w:instrText>
            </w:r>
            <w:r>
              <w:rPr>
                <w:rFonts w:hint="eastAsia" w:ascii="仿宋" w:hAnsi="仿宋" w:eastAsia="仿宋" w:cs="仿宋_GB2312"/>
                <w:sz w:val="22"/>
              </w:rPr>
              <w:instrText xml:space="preserve">)</w:instrText>
            </w:r>
            <w:r>
              <w:rPr>
                <w:rFonts w:ascii="仿宋" w:hAnsi="仿宋" w:eastAsia="仿宋" w:cs="仿宋_GB2312"/>
                <w:sz w:val="22"/>
              </w:rPr>
              <w:fldChar w:fldCharType="end"/>
            </w:r>
            <w:r>
              <w:rPr>
                <w:rFonts w:hint="eastAsia" w:ascii="仿宋" w:hAnsi="仿宋" w:eastAsia="仿宋" w:cs="仿宋_GB2312"/>
                <w:sz w:val="22"/>
              </w:rPr>
              <w:t>整体服务流程；②标本接收方案（包括样本采集、标本收取、标本运输）；③检测工作流程</w:t>
            </w:r>
            <w:r>
              <w:rPr>
                <w:rFonts w:ascii="仿宋" w:hAnsi="仿宋" w:eastAsia="仿宋" w:cs="仿宋_GB2312"/>
                <w:sz w:val="22"/>
              </w:rPr>
              <w:t>及</w:t>
            </w:r>
            <w:r>
              <w:rPr>
                <w:rFonts w:hint="eastAsia" w:ascii="仿宋" w:hAnsi="仿宋" w:eastAsia="仿宋" w:cs="仿宋_GB2312"/>
                <w:sz w:val="22"/>
              </w:rPr>
              <w:t>检测结果报告方法；④技术支持方案（至少包含孕妇追踪随访服务流程及承诺函）；⑤技术培训方案；⑥服务质量保障措施；⑦应急方案（结果异议、报告丢失、标本丢失、医院急诊项目服务、提供特急标本优先加急特事特办服务）；⑧院外拓展方案</w:t>
            </w:r>
            <w:r>
              <w:rPr>
                <w:rFonts w:ascii="仿宋" w:hAnsi="仿宋" w:eastAsia="仿宋" w:cs="仿宋_GB2312"/>
                <w:sz w:val="22"/>
              </w:rPr>
              <w:t>及在四川的合作医院资源。</w:t>
            </w:r>
          </w:p>
          <w:p w14:paraId="07531FB6">
            <w:pPr>
              <w:widowControl/>
              <w:shd w:val="clear"/>
              <w:rPr>
                <w:rFonts w:ascii="仿宋" w:hAnsi="仿宋" w:eastAsia="仿宋" w:cs="仿宋_GB2312"/>
                <w:sz w:val="22"/>
              </w:rPr>
            </w:pPr>
            <w:r>
              <w:rPr>
                <w:rFonts w:hint="eastAsia" w:ascii="仿宋" w:hAnsi="仿宋" w:eastAsia="仿宋" w:cs="仿宋_GB2312"/>
                <w:sz w:val="22"/>
              </w:rPr>
              <w:t>以上内容完全满足项目实际需求的得</w:t>
            </w:r>
            <w:r>
              <w:rPr>
                <w:rFonts w:hint="eastAsia" w:ascii="仿宋" w:hAnsi="仿宋" w:eastAsia="仿宋" w:cs="仿宋_GB2312"/>
                <w:sz w:val="22"/>
                <w:lang w:val="en-US" w:eastAsia="zh-CN"/>
              </w:rPr>
              <w:t>8</w:t>
            </w:r>
            <w:r>
              <w:rPr>
                <w:rFonts w:hint="eastAsia" w:ascii="仿宋" w:hAnsi="仿宋" w:eastAsia="仿宋" w:cs="仿宋_GB2312"/>
                <w:sz w:val="22"/>
              </w:rPr>
              <w:t>分，每有一项内容缺失扣</w:t>
            </w:r>
            <w:r>
              <w:rPr>
                <w:rFonts w:hint="eastAsia" w:ascii="仿宋" w:hAnsi="仿宋" w:eastAsia="仿宋" w:cs="仿宋_GB2312"/>
                <w:sz w:val="22"/>
                <w:lang w:val="en-US" w:eastAsia="zh-CN"/>
              </w:rPr>
              <w:t>1</w:t>
            </w:r>
            <w:r>
              <w:rPr>
                <w:rFonts w:hint="eastAsia" w:ascii="仿宋" w:hAnsi="仿宋" w:eastAsia="仿宋" w:cs="仿宋_GB2312"/>
                <w:sz w:val="22"/>
              </w:rPr>
              <w:t>分，</w:t>
            </w:r>
            <w:r>
              <w:rPr>
                <w:rFonts w:hint="eastAsia" w:ascii="仿宋" w:hAnsi="仿宋" w:eastAsia="仿宋" w:cs="仿宋_GB2312"/>
                <w:sz w:val="22"/>
                <w:lang w:val="en-US" w:eastAsia="zh-CN"/>
              </w:rPr>
              <w:t>8</w:t>
            </w:r>
            <w:r>
              <w:rPr>
                <w:rFonts w:hint="eastAsia" w:ascii="仿宋" w:hAnsi="仿宋" w:eastAsia="仿宋" w:cs="仿宋_GB2312"/>
                <w:sz w:val="22"/>
              </w:rPr>
              <w:t>分扣完为止。以上8项，每一项中每有1处存在内容缺陷扣</w:t>
            </w:r>
            <w:r>
              <w:rPr>
                <w:rFonts w:ascii="仿宋" w:hAnsi="仿宋" w:eastAsia="仿宋" w:cs="仿宋_GB2312"/>
                <w:sz w:val="22"/>
              </w:rPr>
              <w:t>0.5</w:t>
            </w:r>
            <w:r>
              <w:rPr>
                <w:rFonts w:hint="eastAsia" w:ascii="仿宋" w:hAnsi="仿宋" w:eastAsia="仿宋" w:cs="仿宋_GB2312"/>
                <w:sz w:val="22"/>
              </w:rPr>
              <w:t>分，每项关于内容缺陷最多扣</w:t>
            </w:r>
            <w:r>
              <w:rPr>
                <w:rFonts w:hint="eastAsia" w:ascii="仿宋" w:hAnsi="仿宋" w:eastAsia="仿宋" w:cs="仿宋_GB2312"/>
                <w:sz w:val="22"/>
                <w:lang w:val="en-US" w:eastAsia="zh-CN"/>
              </w:rPr>
              <w:t>1</w:t>
            </w:r>
            <w:r>
              <w:rPr>
                <w:rFonts w:hint="eastAsia" w:ascii="仿宋" w:hAnsi="仿宋" w:eastAsia="仿宋" w:cs="仿宋_GB2312"/>
                <w:sz w:val="22"/>
              </w:rPr>
              <w:t>分。扣完为止。【内容缺陷是指：与本项目无关（无关指描述中存在使用其他项目、其他采购人或与本项目无关的内容）、内容描述有歧义、有错别字、前后矛盾、存在不适用项目实际情况的情形（与项目实际不匹配、不符合项目特点）、凭空编造、逻辑漏洞、科学原理错误以及不可能实现的夸大情形】</w:t>
            </w:r>
          </w:p>
        </w:tc>
        <w:tc>
          <w:tcPr>
            <w:tcW w:w="654" w:type="dxa"/>
            <w:tcBorders>
              <w:top w:val="nil"/>
              <w:left w:val="nil"/>
              <w:bottom w:val="single" w:color="auto" w:sz="8" w:space="0"/>
              <w:right w:val="single" w:color="auto" w:sz="8" w:space="0"/>
            </w:tcBorders>
            <w:shd w:val="clear" w:color="000000" w:fill="auto"/>
            <w:vAlign w:val="center"/>
          </w:tcPr>
          <w:p w14:paraId="1AF42CB6">
            <w:pPr>
              <w:widowControl/>
              <w:shd w:val="clear"/>
              <w:jc w:val="left"/>
              <w:rPr>
                <w:rFonts w:ascii="仿宋" w:hAnsi="仿宋" w:eastAsia="仿宋" w:cs="仿宋_GB2312"/>
                <w:sz w:val="22"/>
              </w:rPr>
            </w:pPr>
          </w:p>
        </w:tc>
        <w:tc>
          <w:tcPr>
            <w:tcW w:w="1723" w:type="dxa"/>
            <w:tcBorders>
              <w:top w:val="nil"/>
              <w:left w:val="nil"/>
              <w:bottom w:val="single" w:color="auto" w:sz="8" w:space="0"/>
              <w:right w:val="single" w:color="auto" w:sz="8" w:space="0"/>
            </w:tcBorders>
            <w:shd w:val="clear" w:color="000000" w:fill="auto"/>
          </w:tcPr>
          <w:p w14:paraId="2464004F">
            <w:pPr>
              <w:widowControl/>
              <w:shd w:val="clear"/>
              <w:jc w:val="left"/>
              <w:rPr>
                <w:rFonts w:ascii="仿宋" w:hAnsi="仿宋" w:eastAsia="仿宋" w:cs="仿宋_GB2312"/>
                <w:sz w:val="22"/>
              </w:rPr>
            </w:pPr>
          </w:p>
        </w:tc>
      </w:tr>
      <w:tr w14:paraId="3AEA81EE">
        <w:tblPrEx>
          <w:tblCellMar>
            <w:top w:w="0" w:type="dxa"/>
            <w:left w:w="108" w:type="dxa"/>
            <w:bottom w:w="0" w:type="dxa"/>
            <w:right w:w="108" w:type="dxa"/>
          </w:tblCellMar>
        </w:tblPrEx>
        <w:trPr>
          <w:trHeight w:val="80" w:hRule="atLeast"/>
        </w:trPr>
        <w:tc>
          <w:tcPr>
            <w:tcW w:w="851" w:type="dxa"/>
            <w:vMerge w:val="continue"/>
            <w:tcBorders>
              <w:left w:val="single" w:color="auto" w:sz="8" w:space="0"/>
              <w:bottom w:val="single" w:color="auto" w:sz="4" w:space="0"/>
              <w:right w:val="single" w:color="auto" w:sz="8" w:space="0"/>
            </w:tcBorders>
            <w:vAlign w:val="center"/>
          </w:tcPr>
          <w:p w14:paraId="025EBF96">
            <w:pPr>
              <w:shd w:val="clear"/>
              <w:jc w:val="center"/>
              <w:rPr>
                <w:rFonts w:ascii="仿宋" w:hAnsi="仿宋" w:eastAsia="仿宋" w:cs="宋体"/>
                <w:b/>
                <w:bCs/>
                <w:color w:val="000000"/>
                <w:kern w:val="0"/>
                <w:sz w:val="22"/>
                <w:szCs w:val="24"/>
              </w:rPr>
            </w:pPr>
          </w:p>
        </w:tc>
        <w:tc>
          <w:tcPr>
            <w:tcW w:w="986" w:type="dxa"/>
            <w:vMerge w:val="continue"/>
            <w:tcBorders>
              <w:left w:val="single" w:color="auto" w:sz="8" w:space="0"/>
              <w:bottom w:val="single" w:color="000000" w:sz="8" w:space="0"/>
              <w:right w:val="single" w:color="auto" w:sz="8" w:space="0"/>
            </w:tcBorders>
            <w:vAlign w:val="center"/>
          </w:tcPr>
          <w:p w14:paraId="07E89491">
            <w:pPr>
              <w:shd w:val="clear"/>
              <w:jc w:val="left"/>
              <w:rPr>
                <w:rFonts w:ascii="仿宋" w:hAnsi="仿宋" w:eastAsia="仿宋" w:cs="仿宋_GB2312"/>
                <w:sz w:val="22"/>
              </w:rPr>
            </w:pPr>
          </w:p>
        </w:tc>
        <w:tc>
          <w:tcPr>
            <w:tcW w:w="766" w:type="dxa"/>
            <w:tcBorders>
              <w:top w:val="single" w:color="auto" w:sz="4" w:space="0"/>
              <w:left w:val="nil"/>
              <w:bottom w:val="single" w:color="auto" w:sz="8" w:space="0"/>
              <w:right w:val="single" w:color="auto" w:sz="8" w:space="0"/>
            </w:tcBorders>
            <w:shd w:val="clear" w:color="000000" w:fill="auto"/>
            <w:vAlign w:val="center"/>
          </w:tcPr>
          <w:p w14:paraId="00984591">
            <w:pPr>
              <w:widowControl/>
              <w:shd w:val="clear"/>
              <w:jc w:val="center"/>
              <w:rPr>
                <w:rFonts w:ascii="仿宋" w:hAnsi="仿宋" w:eastAsia="仿宋" w:cs="仿宋_GB2312"/>
                <w:color w:val="000000" w:themeColor="text1"/>
                <w:sz w:val="22"/>
                <w14:textFill>
                  <w14:solidFill>
                    <w14:schemeClr w14:val="tx1"/>
                  </w14:solidFill>
                </w14:textFill>
              </w:rPr>
            </w:pPr>
            <w:r>
              <w:rPr>
                <w:rFonts w:ascii="仿宋" w:hAnsi="仿宋" w:eastAsia="仿宋" w:cs="仿宋_GB2312"/>
                <w:color w:val="000000" w:themeColor="text1"/>
                <w:sz w:val="22"/>
                <w14:textFill>
                  <w14:solidFill>
                    <w14:schemeClr w14:val="tx1"/>
                  </w14:solidFill>
                </w14:textFill>
              </w:rPr>
              <w:t>科研方案</w:t>
            </w:r>
          </w:p>
        </w:tc>
        <w:tc>
          <w:tcPr>
            <w:tcW w:w="737" w:type="dxa"/>
            <w:tcBorders>
              <w:top w:val="nil"/>
              <w:left w:val="nil"/>
              <w:bottom w:val="single" w:color="auto" w:sz="8" w:space="0"/>
              <w:right w:val="single" w:color="auto" w:sz="8" w:space="0"/>
            </w:tcBorders>
            <w:shd w:val="clear" w:color="000000" w:fill="auto"/>
            <w:vAlign w:val="center"/>
          </w:tcPr>
          <w:p w14:paraId="6D22F67D">
            <w:pPr>
              <w:widowControl/>
              <w:shd w:val="clear"/>
              <w:jc w:val="center"/>
              <w:rPr>
                <w:rFonts w:ascii="仿宋" w:hAnsi="仿宋" w:eastAsia="仿宋" w:cs="仿宋_GB2312"/>
                <w:color w:val="000000" w:themeColor="text1"/>
                <w:sz w:val="22"/>
                <w14:textFill>
                  <w14:solidFill>
                    <w14:schemeClr w14:val="tx1"/>
                  </w14:solidFill>
                </w14:textFill>
              </w:rPr>
            </w:pPr>
            <w:r>
              <w:rPr>
                <w:rFonts w:ascii="仿宋" w:hAnsi="仿宋" w:eastAsia="仿宋" w:cs="仿宋_GB2312"/>
                <w:color w:val="000000" w:themeColor="text1"/>
                <w:sz w:val="22"/>
                <w14:textFill>
                  <w14:solidFill>
                    <w14:schemeClr w14:val="tx1"/>
                  </w14:solidFill>
                </w14:textFill>
              </w:rPr>
              <w:t>3</w:t>
            </w:r>
          </w:p>
        </w:tc>
        <w:tc>
          <w:tcPr>
            <w:tcW w:w="4708" w:type="dxa"/>
            <w:tcBorders>
              <w:top w:val="nil"/>
              <w:left w:val="nil"/>
              <w:bottom w:val="single" w:color="auto" w:sz="8" w:space="0"/>
              <w:right w:val="single" w:color="auto" w:sz="8" w:space="0"/>
            </w:tcBorders>
            <w:shd w:val="clear" w:color="000000" w:fill="auto"/>
            <w:vAlign w:val="center"/>
          </w:tcPr>
          <w:p w14:paraId="33B2827A">
            <w:pPr>
              <w:shd w:val="clear"/>
              <w:adjustRightInd w:val="0"/>
              <w:snapToGrid w:val="0"/>
              <w:rPr>
                <w:rFonts w:ascii="仿宋" w:hAnsi="仿宋" w:eastAsia="仿宋" w:cs="仿宋_GB2312"/>
                <w:color w:val="000000" w:themeColor="text1"/>
                <w:sz w:val="22"/>
                <w14:textFill>
                  <w14:solidFill>
                    <w14:schemeClr w14:val="tx1"/>
                  </w14:solidFill>
                </w14:textFill>
              </w:rPr>
            </w:pPr>
            <w:r>
              <w:rPr>
                <w:rFonts w:hint="eastAsia" w:ascii="仿宋" w:hAnsi="仿宋" w:eastAsia="仿宋" w:cs="仿宋_GB2312"/>
                <w:color w:val="000000" w:themeColor="text1"/>
                <w:sz w:val="22"/>
                <w14:textFill>
                  <w14:solidFill>
                    <w14:schemeClr w14:val="tx1"/>
                  </w14:solidFill>
                </w14:textFill>
              </w:rPr>
              <w:t>提供一份协助医院开展的科研方案草案，包括以下内容：背景、研究内容、创新性、研究方案、技术路线；要求：根据可执行性、创新性、与医院学科建设的匹配性评分，总分3分，其中可执行性、创新性</w:t>
            </w:r>
            <w:r>
              <w:rPr>
                <w:rFonts w:ascii="仿宋" w:hAnsi="仿宋" w:eastAsia="仿宋" w:cs="仿宋_GB2312"/>
                <w:color w:val="000000" w:themeColor="text1"/>
                <w:sz w:val="22"/>
                <w14:textFill>
                  <w14:solidFill>
                    <w14:schemeClr w14:val="tx1"/>
                  </w14:solidFill>
                </w14:textFill>
              </w:rPr>
              <w:t>、</w:t>
            </w:r>
            <w:r>
              <w:rPr>
                <w:rFonts w:hint="eastAsia" w:ascii="仿宋" w:hAnsi="仿宋" w:eastAsia="仿宋" w:cs="仿宋_GB2312"/>
                <w:color w:val="000000" w:themeColor="text1"/>
                <w:sz w:val="22"/>
                <w14:textFill>
                  <w14:solidFill>
                    <w14:schemeClr w14:val="tx1"/>
                  </w14:solidFill>
                </w14:textFill>
              </w:rPr>
              <w:t>与医院学科建设的匹配性满分</w:t>
            </w:r>
            <w:r>
              <w:rPr>
                <w:rFonts w:ascii="仿宋" w:hAnsi="仿宋" w:eastAsia="仿宋" w:cs="仿宋_GB2312"/>
                <w:color w:val="000000" w:themeColor="text1"/>
                <w:sz w:val="22"/>
                <w14:textFill>
                  <w14:solidFill>
                    <w14:schemeClr w14:val="tx1"/>
                  </w14:solidFill>
                </w14:textFill>
              </w:rPr>
              <w:t>各</w:t>
            </w:r>
            <w:r>
              <w:rPr>
                <w:rFonts w:hint="eastAsia" w:ascii="仿宋" w:hAnsi="仿宋" w:eastAsia="仿宋" w:cs="仿宋_GB2312"/>
                <w:color w:val="000000" w:themeColor="text1"/>
                <w:sz w:val="22"/>
                <w14:textFill>
                  <w14:solidFill>
                    <w14:schemeClr w14:val="tx1"/>
                  </w14:solidFill>
                </w14:textFill>
              </w:rPr>
              <w:t>1分</w:t>
            </w:r>
            <w:r>
              <w:rPr>
                <w:rFonts w:ascii="仿宋" w:hAnsi="仿宋" w:eastAsia="仿宋" w:cs="仿宋_GB2312"/>
                <w:color w:val="000000" w:themeColor="text1"/>
                <w:sz w:val="22"/>
                <w14:textFill>
                  <w14:solidFill>
                    <w14:schemeClr w14:val="tx1"/>
                  </w14:solidFill>
                </w14:textFill>
              </w:rPr>
              <w:t>。</w:t>
            </w:r>
          </w:p>
        </w:tc>
        <w:tc>
          <w:tcPr>
            <w:tcW w:w="654" w:type="dxa"/>
            <w:tcBorders>
              <w:top w:val="nil"/>
              <w:left w:val="nil"/>
              <w:bottom w:val="single" w:color="auto" w:sz="8" w:space="0"/>
              <w:right w:val="single" w:color="auto" w:sz="8" w:space="0"/>
            </w:tcBorders>
            <w:shd w:val="clear" w:color="000000" w:fill="auto"/>
            <w:vAlign w:val="center"/>
          </w:tcPr>
          <w:p w14:paraId="62444395">
            <w:pPr>
              <w:widowControl/>
              <w:shd w:val="clear"/>
              <w:jc w:val="left"/>
              <w:rPr>
                <w:rFonts w:ascii="仿宋" w:hAnsi="仿宋" w:eastAsia="仿宋" w:cs="仿宋_GB2312"/>
                <w:sz w:val="22"/>
              </w:rPr>
            </w:pPr>
          </w:p>
        </w:tc>
        <w:tc>
          <w:tcPr>
            <w:tcW w:w="1723" w:type="dxa"/>
            <w:tcBorders>
              <w:top w:val="nil"/>
              <w:left w:val="nil"/>
              <w:bottom w:val="single" w:color="auto" w:sz="8" w:space="0"/>
              <w:right w:val="single" w:color="auto" w:sz="8" w:space="0"/>
            </w:tcBorders>
            <w:shd w:val="clear" w:color="000000" w:fill="auto"/>
          </w:tcPr>
          <w:p w14:paraId="6FE18CFC">
            <w:pPr>
              <w:widowControl/>
              <w:shd w:val="clear"/>
              <w:jc w:val="left"/>
              <w:rPr>
                <w:rFonts w:ascii="仿宋" w:hAnsi="仿宋" w:eastAsia="仿宋" w:cs="仿宋_GB2312"/>
                <w:sz w:val="22"/>
              </w:rPr>
            </w:pPr>
          </w:p>
        </w:tc>
      </w:tr>
    </w:tbl>
    <w:p w14:paraId="640E64EB">
      <w:pPr>
        <w:rPr>
          <w:rFonts w:hint="eastAsia" w:ascii="仿宋" w:hAnsi="仿宋" w:eastAsia="仿宋"/>
          <w:b/>
          <w:sz w:val="32"/>
          <w:szCs w:val="28"/>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BE25B2F9">
    <w:panose1 w:val="0201060103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9DF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A355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BA355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4DEEC"/>
    <w:multiLevelType w:val="singleLevel"/>
    <w:tmpl w:val="9FB4DEEC"/>
    <w:lvl w:ilvl="0" w:tentative="0">
      <w:start w:val="10"/>
      <w:numFmt w:val="decimal"/>
      <w:lvlText w:val="%1."/>
      <w:lvlJc w:val="left"/>
      <w:pPr>
        <w:tabs>
          <w:tab w:val="left" w:pos="312"/>
        </w:tabs>
      </w:pPr>
    </w:lvl>
  </w:abstractNum>
  <w:abstractNum w:abstractNumId="1">
    <w:nsid w:val="462C1C64"/>
    <w:multiLevelType w:val="singleLevel"/>
    <w:tmpl w:val="462C1C6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GRhZTE4ZDQ1NWU0NTliNDQ5YTk5NzNjMzQ3MzEifQ=="/>
  </w:docVars>
  <w:rsids>
    <w:rsidRoot w:val="0084521A"/>
    <w:rsid w:val="0000187B"/>
    <w:rsid w:val="0000394B"/>
    <w:rsid w:val="00011D30"/>
    <w:rsid w:val="000127C8"/>
    <w:rsid w:val="00014C18"/>
    <w:rsid w:val="00023897"/>
    <w:rsid w:val="00023995"/>
    <w:rsid w:val="000309FD"/>
    <w:rsid w:val="00033DCD"/>
    <w:rsid w:val="00046C49"/>
    <w:rsid w:val="00046CCF"/>
    <w:rsid w:val="00056508"/>
    <w:rsid w:val="00060375"/>
    <w:rsid w:val="00071BBD"/>
    <w:rsid w:val="00071E3F"/>
    <w:rsid w:val="000736D6"/>
    <w:rsid w:val="00073BEF"/>
    <w:rsid w:val="000754AE"/>
    <w:rsid w:val="00075CC1"/>
    <w:rsid w:val="0007611E"/>
    <w:rsid w:val="00082792"/>
    <w:rsid w:val="00083723"/>
    <w:rsid w:val="0008442E"/>
    <w:rsid w:val="00090A87"/>
    <w:rsid w:val="00092ED7"/>
    <w:rsid w:val="0009763B"/>
    <w:rsid w:val="000A47ED"/>
    <w:rsid w:val="000A749D"/>
    <w:rsid w:val="000A76CE"/>
    <w:rsid w:val="000B08FF"/>
    <w:rsid w:val="000B0ED2"/>
    <w:rsid w:val="000B68BF"/>
    <w:rsid w:val="000B6CC8"/>
    <w:rsid w:val="000D0913"/>
    <w:rsid w:val="000D74CE"/>
    <w:rsid w:val="000D7BAC"/>
    <w:rsid w:val="000E2823"/>
    <w:rsid w:val="000E3B57"/>
    <w:rsid w:val="000E4D44"/>
    <w:rsid w:val="000E54C3"/>
    <w:rsid w:val="000E7125"/>
    <w:rsid w:val="000F6CD8"/>
    <w:rsid w:val="00107EB7"/>
    <w:rsid w:val="0011674C"/>
    <w:rsid w:val="001255F0"/>
    <w:rsid w:val="00126E49"/>
    <w:rsid w:val="001318A8"/>
    <w:rsid w:val="00132EED"/>
    <w:rsid w:val="00132F1A"/>
    <w:rsid w:val="0013420C"/>
    <w:rsid w:val="0014055D"/>
    <w:rsid w:val="00140A8E"/>
    <w:rsid w:val="001434E6"/>
    <w:rsid w:val="0014421D"/>
    <w:rsid w:val="00152D4B"/>
    <w:rsid w:val="001548FD"/>
    <w:rsid w:val="00154CE2"/>
    <w:rsid w:val="00164999"/>
    <w:rsid w:val="00165669"/>
    <w:rsid w:val="001723D2"/>
    <w:rsid w:val="00172458"/>
    <w:rsid w:val="00182835"/>
    <w:rsid w:val="00187E6D"/>
    <w:rsid w:val="001905B1"/>
    <w:rsid w:val="0019196E"/>
    <w:rsid w:val="00192463"/>
    <w:rsid w:val="00195331"/>
    <w:rsid w:val="00197205"/>
    <w:rsid w:val="001A1EF6"/>
    <w:rsid w:val="001A55B9"/>
    <w:rsid w:val="001A5868"/>
    <w:rsid w:val="001B308B"/>
    <w:rsid w:val="001B53BE"/>
    <w:rsid w:val="001B71D7"/>
    <w:rsid w:val="001C5C7E"/>
    <w:rsid w:val="001D49A2"/>
    <w:rsid w:val="001E018C"/>
    <w:rsid w:val="001E1BF7"/>
    <w:rsid w:val="001E2B5E"/>
    <w:rsid w:val="001E561A"/>
    <w:rsid w:val="001F30FE"/>
    <w:rsid w:val="002001E7"/>
    <w:rsid w:val="0020300C"/>
    <w:rsid w:val="00206D02"/>
    <w:rsid w:val="00214535"/>
    <w:rsid w:val="00221CAC"/>
    <w:rsid w:val="00224F12"/>
    <w:rsid w:val="002272FA"/>
    <w:rsid w:val="00227FE4"/>
    <w:rsid w:val="0023077B"/>
    <w:rsid w:val="0023148B"/>
    <w:rsid w:val="002326D5"/>
    <w:rsid w:val="00243688"/>
    <w:rsid w:val="0024527F"/>
    <w:rsid w:val="00255C14"/>
    <w:rsid w:val="00257001"/>
    <w:rsid w:val="00262065"/>
    <w:rsid w:val="002636DA"/>
    <w:rsid w:val="00272567"/>
    <w:rsid w:val="00273286"/>
    <w:rsid w:val="00276A25"/>
    <w:rsid w:val="0028032D"/>
    <w:rsid w:val="00281D1C"/>
    <w:rsid w:val="00283C4B"/>
    <w:rsid w:val="00285804"/>
    <w:rsid w:val="002908C7"/>
    <w:rsid w:val="00294602"/>
    <w:rsid w:val="00297619"/>
    <w:rsid w:val="002A7F02"/>
    <w:rsid w:val="002B3638"/>
    <w:rsid w:val="002C7803"/>
    <w:rsid w:val="002E1219"/>
    <w:rsid w:val="002E2320"/>
    <w:rsid w:val="002E23FC"/>
    <w:rsid w:val="002E5932"/>
    <w:rsid w:val="002F5161"/>
    <w:rsid w:val="002F5F8D"/>
    <w:rsid w:val="002F787A"/>
    <w:rsid w:val="00314264"/>
    <w:rsid w:val="0031470A"/>
    <w:rsid w:val="003161D6"/>
    <w:rsid w:val="00317C44"/>
    <w:rsid w:val="00321962"/>
    <w:rsid w:val="003240CB"/>
    <w:rsid w:val="00332D1D"/>
    <w:rsid w:val="00345009"/>
    <w:rsid w:val="00345B5F"/>
    <w:rsid w:val="00360E36"/>
    <w:rsid w:val="00361857"/>
    <w:rsid w:val="00363EF0"/>
    <w:rsid w:val="00364B82"/>
    <w:rsid w:val="00366CB8"/>
    <w:rsid w:val="00370B17"/>
    <w:rsid w:val="003737E8"/>
    <w:rsid w:val="00375116"/>
    <w:rsid w:val="003778A2"/>
    <w:rsid w:val="00382820"/>
    <w:rsid w:val="0038333E"/>
    <w:rsid w:val="00384425"/>
    <w:rsid w:val="0039122D"/>
    <w:rsid w:val="00391F88"/>
    <w:rsid w:val="00395107"/>
    <w:rsid w:val="003958B3"/>
    <w:rsid w:val="00396E5C"/>
    <w:rsid w:val="003974D7"/>
    <w:rsid w:val="003A0394"/>
    <w:rsid w:val="003A0935"/>
    <w:rsid w:val="003A5C36"/>
    <w:rsid w:val="003A774F"/>
    <w:rsid w:val="003B345E"/>
    <w:rsid w:val="003B5CBF"/>
    <w:rsid w:val="003B6A5A"/>
    <w:rsid w:val="003D4B34"/>
    <w:rsid w:val="003E051D"/>
    <w:rsid w:val="00401733"/>
    <w:rsid w:val="004020DF"/>
    <w:rsid w:val="00402A59"/>
    <w:rsid w:val="004044FC"/>
    <w:rsid w:val="00404F80"/>
    <w:rsid w:val="00405FF6"/>
    <w:rsid w:val="004146BE"/>
    <w:rsid w:val="00415D8E"/>
    <w:rsid w:val="00421B9D"/>
    <w:rsid w:val="004226CE"/>
    <w:rsid w:val="00423591"/>
    <w:rsid w:val="00424FBD"/>
    <w:rsid w:val="00425A6F"/>
    <w:rsid w:val="004300F0"/>
    <w:rsid w:val="004317B1"/>
    <w:rsid w:val="0043202B"/>
    <w:rsid w:val="0043432B"/>
    <w:rsid w:val="004346CD"/>
    <w:rsid w:val="00441B72"/>
    <w:rsid w:val="0044736E"/>
    <w:rsid w:val="004537D8"/>
    <w:rsid w:val="00455553"/>
    <w:rsid w:val="00455839"/>
    <w:rsid w:val="00455846"/>
    <w:rsid w:val="0045792A"/>
    <w:rsid w:val="00464C47"/>
    <w:rsid w:val="004717C2"/>
    <w:rsid w:val="0047308D"/>
    <w:rsid w:val="004738FD"/>
    <w:rsid w:val="00475A77"/>
    <w:rsid w:val="004771F8"/>
    <w:rsid w:val="004819AB"/>
    <w:rsid w:val="00481BCE"/>
    <w:rsid w:val="004A20ED"/>
    <w:rsid w:val="004A261B"/>
    <w:rsid w:val="004A6050"/>
    <w:rsid w:val="004A6EBE"/>
    <w:rsid w:val="004A779E"/>
    <w:rsid w:val="004B03D4"/>
    <w:rsid w:val="004B17DE"/>
    <w:rsid w:val="004B18F0"/>
    <w:rsid w:val="004B31D3"/>
    <w:rsid w:val="004C19CD"/>
    <w:rsid w:val="004C2A15"/>
    <w:rsid w:val="004C45FF"/>
    <w:rsid w:val="004C670A"/>
    <w:rsid w:val="004D0E64"/>
    <w:rsid w:val="004D119C"/>
    <w:rsid w:val="004D22FE"/>
    <w:rsid w:val="004D36F4"/>
    <w:rsid w:val="004D4518"/>
    <w:rsid w:val="004D5822"/>
    <w:rsid w:val="004E0496"/>
    <w:rsid w:val="004E730E"/>
    <w:rsid w:val="004F1BC4"/>
    <w:rsid w:val="00501498"/>
    <w:rsid w:val="00513FBC"/>
    <w:rsid w:val="00514BA5"/>
    <w:rsid w:val="00530D07"/>
    <w:rsid w:val="00531CF2"/>
    <w:rsid w:val="00532ED3"/>
    <w:rsid w:val="00535295"/>
    <w:rsid w:val="005365CC"/>
    <w:rsid w:val="00543621"/>
    <w:rsid w:val="00547B83"/>
    <w:rsid w:val="0055166A"/>
    <w:rsid w:val="0055318E"/>
    <w:rsid w:val="0055523C"/>
    <w:rsid w:val="005559F3"/>
    <w:rsid w:val="005703C1"/>
    <w:rsid w:val="00577FBE"/>
    <w:rsid w:val="00582F48"/>
    <w:rsid w:val="005840D3"/>
    <w:rsid w:val="00585E8B"/>
    <w:rsid w:val="00587477"/>
    <w:rsid w:val="005921C9"/>
    <w:rsid w:val="00594A48"/>
    <w:rsid w:val="005A215E"/>
    <w:rsid w:val="005A23C5"/>
    <w:rsid w:val="005A3BDE"/>
    <w:rsid w:val="005A5239"/>
    <w:rsid w:val="005B0821"/>
    <w:rsid w:val="005B2A38"/>
    <w:rsid w:val="005B3E04"/>
    <w:rsid w:val="005B60D1"/>
    <w:rsid w:val="005C061E"/>
    <w:rsid w:val="005C107B"/>
    <w:rsid w:val="005C44F9"/>
    <w:rsid w:val="005D038F"/>
    <w:rsid w:val="005D1184"/>
    <w:rsid w:val="005D6056"/>
    <w:rsid w:val="005E2458"/>
    <w:rsid w:val="005E4B93"/>
    <w:rsid w:val="005E4D12"/>
    <w:rsid w:val="005F2959"/>
    <w:rsid w:val="005F3624"/>
    <w:rsid w:val="005F77FA"/>
    <w:rsid w:val="00607599"/>
    <w:rsid w:val="006260A4"/>
    <w:rsid w:val="006269B5"/>
    <w:rsid w:val="00642685"/>
    <w:rsid w:val="0064389B"/>
    <w:rsid w:val="0065353E"/>
    <w:rsid w:val="006536F7"/>
    <w:rsid w:val="006537B0"/>
    <w:rsid w:val="0066679F"/>
    <w:rsid w:val="006760C3"/>
    <w:rsid w:val="00680A5B"/>
    <w:rsid w:val="0068675B"/>
    <w:rsid w:val="00693B15"/>
    <w:rsid w:val="00695316"/>
    <w:rsid w:val="0069544B"/>
    <w:rsid w:val="006A45E5"/>
    <w:rsid w:val="006A7211"/>
    <w:rsid w:val="006B7356"/>
    <w:rsid w:val="006C1C4C"/>
    <w:rsid w:val="006C2108"/>
    <w:rsid w:val="006D014E"/>
    <w:rsid w:val="006D2E06"/>
    <w:rsid w:val="006D5C76"/>
    <w:rsid w:val="006E0014"/>
    <w:rsid w:val="006E179D"/>
    <w:rsid w:val="006E50F8"/>
    <w:rsid w:val="006E5DAD"/>
    <w:rsid w:val="006E6871"/>
    <w:rsid w:val="00704712"/>
    <w:rsid w:val="00706F09"/>
    <w:rsid w:val="007121C1"/>
    <w:rsid w:val="007172A7"/>
    <w:rsid w:val="0072255E"/>
    <w:rsid w:val="0073266D"/>
    <w:rsid w:val="00734ADE"/>
    <w:rsid w:val="007402D5"/>
    <w:rsid w:val="00740719"/>
    <w:rsid w:val="007417B8"/>
    <w:rsid w:val="00747A68"/>
    <w:rsid w:val="00747ED0"/>
    <w:rsid w:val="007519CB"/>
    <w:rsid w:val="00763823"/>
    <w:rsid w:val="00763923"/>
    <w:rsid w:val="00770A52"/>
    <w:rsid w:val="00772951"/>
    <w:rsid w:val="007823BF"/>
    <w:rsid w:val="0078697F"/>
    <w:rsid w:val="00791D6E"/>
    <w:rsid w:val="0079318D"/>
    <w:rsid w:val="007932E9"/>
    <w:rsid w:val="007A329D"/>
    <w:rsid w:val="007A4841"/>
    <w:rsid w:val="007B2080"/>
    <w:rsid w:val="007B4EBE"/>
    <w:rsid w:val="007B5253"/>
    <w:rsid w:val="007C0249"/>
    <w:rsid w:val="007C213B"/>
    <w:rsid w:val="007C7883"/>
    <w:rsid w:val="007D1FAB"/>
    <w:rsid w:val="007D3FFF"/>
    <w:rsid w:val="007D4279"/>
    <w:rsid w:val="007D6669"/>
    <w:rsid w:val="007D71A2"/>
    <w:rsid w:val="007D7DB5"/>
    <w:rsid w:val="007E2F1A"/>
    <w:rsid w:val="007E5A70"/>
    <w:rsid w:val="007E5B1E"/>
    <w:rsid w:val="007F08DB"/>
    <w:rsid w:val="007F08EF"/>
    <w:rsid w:val="007F0F67"/>
    <w:rsid w:val="007F17E0"/>
    <w:rsid w:val="007F5D26"/>
    <w:rsid w:val="00801655"/>
    <w:rsid w:val="008060B2"/>
    <w:rsid w:val="00812813"/>
    <w:rsid w:val="00813F8F"/>
    <w:rsid w:val="008156EC"/>
    <w:rsid w:val="008170FE"/>
    <w:rsid w:val="00821148"/>
    <w:rsid w:val="0082361E"/>
    <w:rsid w:val="008238AF"/>
    <w:rsid w:val="00824A7C"/>
    <w:rsid w:val="00825B10"/>
    <w:rsid w:val="008263B1"/>
    <w:rsid w:val="00835508"/>
    <w:rsid w:val="008411C3"/>
    <w:rsid w:val="0084521A"/>
    <w:rsid w:val="00845786"/>
    <w:rsid w:val="00845F41"/>
    <w:rsid w:val="00846033"/>
    <w:rsid w:val="0085671A"/>
    <w:rsid w:val="00857E3D"/>
    <w:rsid w:val="00857F62"/>
    <w:rsid w:val="00864669"/>
    <w:rsid w:val="00865FBC"/>
    <w:rsid w:val="00867743"/>
    <w:rsid w:val="0087633A"/>
    <w:rsid w:val="008778EE"/>
    <w:rsid w:val="00881006"/>
    <w:rsid w:val="00882882"/>
    <w:rsid w:val="008907C1"/>
    <w:rsid w:val="0089284D"/>
    <w:rsid w:val="008939B4"/>
    <w:rsid w:val="00894D81"/>
    <w:rsid w:val="008A021E"/>
    <w:rsid w:val="008A0478"/>
    <w:rsid w:val="008A2F70"/>
    <w:rsid w:val="008A5096"/>
    <w:rsid w:val="008B23AC"/>
    <w:rsid w:val="008B333B"/>
    <w:rsid w:val="008B5602"/>
    <w:rsid w:val="008D264E"/>
    <w:rsid w:val="008D3C73"/>
    <w:rsid w:val="008D561D"/>
    <w:rsid w:val="008E638E"/>
    <w:rsid w:val="008E6EDB"/>
    <w:rsid w:val="008F1AAA"/>
    <w:rsid w:val="008F4668"/>
    <w:rsid w:val="008F6F23"/>
    <w:rsid w:val="009028E1"/>
    <w:rsid w:val="00904EB4"/>
    <w:rsid w:val="00906CE5"/>
    <w:rsid w:val="00911ADE"/>
    <w:rsid w:val="0091210C"/>
    <w:rsid w:val="00912BED"/>
    <w:rsid w:val="00913E7D"/>
    <w:rsid w:val="009201BE"/>
    <w:rsid w:val="009249F2"/>
    <w:rsid w:val="00926E07"/>
    <w:rsid w:val="00932A33"/>
    <w:rsid w:val="00942A2E"/>
    <w:rsid w:val="00942DEB"/>
    <w:rsid w:val="00952C1A"/>
    <w:rsid w:val="009605D9"/>
    <w:rsid w:val="0096575D"/>
    <w:rsid w:val="0097249C"/>
    <w:rsid w:val="00973107"/>
    <w:rsid w:val="009769ED"/>
    <w:rsid w:val="00977E81"/>
    <w:rsid w:val="00983210"/>
    <w:rsid w:val="00984320"/>
    <w:rsid w:val="009912F5"/>
    <w:rsid w:val="00995244"/>
    <w:rsid w:val="00995FD1"/>
    <w:rsid w:val="009B39E4"/>
    <w:rsid w:val="009B435E"/>
    <w:rsid w:val="009C32A3"/>
    <w:rsid w:val="009D3B15"/>
    <w:rsid w:val="009E413E"/>
    <w:rsid w:val="009E5F78"/>
    <w:rsid w:val="009E7BE3"/>
    <w:rsid w:val="009F4451"/>
    <w:rsid w:val="00A0239B"/>
    <w:rsid w:val="00A16B11"/>
    <w:rsid w:val="00A16FCB"/>
    <w:rsid w:val="00A226E9"/>
    <w:rsid w:val="00A22C4A"/>
    <w:rsid w:val="00A22E04"/>
    <w:rsid w:val="00A27FBB"/>
    <w:rsid w:val="00A30DCE"/>
    <w:rsid w:val="00A44373"/>
    <w:rsid w:val="00A4480E"/>
    <w:rsid w:val="00A45166"/>
    <w:rsid w:val="00A510F4"/>
    <w:rsid w:val="00A54E9E"/>
    <w:rsid w:val="00A57488"/>
    <w:rsid w:val="00A578F6"/>
    <w:rsid w:val="00A624B4"/>
    <w:rsid w:val="00A64CE0"/>
    <w:rsid w:val="00A65D84"/>
    <w:rsid w:val="00A663B5"/>
    <w:rsid w:val="00A713E2"/>
    <w:rsid w:val="00A73580"/>
    <w:rsid w:val="00A8650A"/>
    <w:rsid w:val="00A918C6"/>
    <w:rsid w:val="00A96658"/>
    <w:rsid w:val="00AA0066"/>
    <w:rsid w:val="00AA79AE"/>
    <w:rsid w:val="00AC172F"/>
    <w:rsid w:val="00AD419C"/>
    <w:rsid w:val="00AD7E1A"/>
    <w:rsid w:val="00AE1241"/>
    <w:rsid w:val="00AE362E"/>
    <w:rsid w:val="00AE6666"/>
    <w:rsid w:val="00AF4CC2"/>
    <w:rsid w:val="00AF5B55"/>
    <w:rsid w:val="00AF65B6"/>
    <w:rsid w:val="00B01940"/>
    <w:rsid w:val="00B05015"/>
    <w:rsid w:val="00B0643E"/>
    <w:rsid w:val="00B24215"/>
    <w:rsid w:val="00B24C25"/>
    <w:rsid w:val="00B26C14"/>
    <w:rsid w:val="00B36590"/>
    <w:rsid w:val="00B36AB5"/>
    <w:rsid w:val="00B3791F"/>
    <w:rsid w:val="00B403B2"/>
    <w:rsid w:val="00B421C9"/>
    <w:rsid w:val="00B447E9"/>
    <w:rsid w:val="00B46D60"/>
    <w:rsid w:val="00B472DF"/>
    <w:rsid w:val="00B5403F"/>
    <w:rsid w:val="00B54651"/>
    <w:rsid w:val="00B54F4B"/>
    <w:rsid w:val="00B7224F"/>
    <w:rsid w:val="00B72D0F"/>
    <w:rsid w:val="00B72F28"/>
    <w:rsid w:val="00B770B8"/>
    <w:rsid w:val="00B808EC"/>
    <w:rsid w:val="00B81005"/>
    <w:rsid w:val="00B93430"/>
    <w:rsid w:val="00B95247"/>
    <w:rsid w:val="00BA013F"/>
    <w:rsid w:val="00BB30BF"/>
    <w:rsid w:val="00BB473F"/>
    <w:rsid w:val="00BB6A33"/>
    <w:rsid w:val="00BB710E"/>
    <w:rsid w:val="00BB7B44"/>
    <w:rsid w:val="00BC3A64"/>
    <w:rsid w:val="00BC3ABE"/>
    <w:rsid w:val="00BC70D9"/>
    <w:rsid w:val="00BC728E"/>
    <w:rsid w:val="00BD21FA"/>
    <w:rsid w:val="00BD4558"/>
    <w:rsid w:val="00BE2EC9"/>
    <w:rsid w:val="00BE73C7"/>
    <w:rsid w:val="00BF349F"/>
    <w:rsid w:val="00BF4CC0"/>
    <w:rsid w:val="00BF5B24"/>
    <w:rsid w:val="00BF618B"/>
    <w:rsid w:val="00C02BF8"/>
    <w:rsid w:val="00C07A1A"/>
    <w:rsid w:val="00C14DCF"/>
    <w:rsid w:val="00C16DDA"/>
    <w:rsid w:val="00C21D60"/>
    <w:rsid w:val="00C23FA2"/>
    <w:rsid w:val="00C303E9"/>
    <w:rsid w:val="00C34EE5"/>
    <w:rsid w:val="00C36826"/>
    <w:rsid w:val="00C40217"/>
    <w:rsid w:val="00C44CC3"/>
    <w:rsid w:val="00C4764A"/>
    <w:rsid w:val="00C556E6"/>
    <w:rsid w:val="00C67B7D"/>
    <w:rsid w:val="00C7505A"/>
    <w:rsid w:val="00C7700E"/>
    <w:rsid w:val="00C82298"/>
    <w:rsid w:val="00C828E7"/>
    <w:rsid w:val="00C839EF"/>
    <w:rsid w:val="00C865B4"/>
    <w:rsid w:val="00C90C1D"/>
    <w:rsid w:val="00C913CB"/>
    <w:rsid w:val="00C9436F"/>
    <w:rsid w:val="00CA0C8A"/>
    <w:rsid w:val="00CA3A05"/>
    <w:rsid w:val="00CA3B2C"/>
    <w:rsid w:val="00CA4D57"/>
    <w:rsid w:val="00CA7277"/>
    <w:rsid w:val="00CA7E61"/>
    <w:rsid w:val="00CC601F"/>
    <w:rsid w:val="00CD2C5F"/>
    <w:rsid w:val="00CD34BD"/>
    <w:rsid w:val="00CD39BF"/>
    <w:rsid w:val="00CD3A01"/>
    <w:rsid w:val="00CD6CC5"/>
    <w:rsid w:val="00CE0FCA"/>
    <w:rsid w:val="00CE1B78"/>
    <w:rsid w:val="00CE5331"/>
    <w:rsid w:val="00CE6204"/>
    <w:rsid w:val="00CE7345"/>
    <w:rsid w:val="00D00873"/>
    <w:rsid w:val="00D02294"/>
    <w:rsid w:val="00D065A7"/>
    <w:rsid w:val="00D07855"/>
    <w:rsid w:val="00D144DE"/>
    <w:rsid w:val="00D1696E"/>
    <w:rsid w:val="00D200A5"/>
    <w:rsid w:val="00D2370C"/>
    <w:rsid w:val="00D244B9"/>
    <w:rsid w:val="00D31ED7"/>
    <w:rsid w:val="00D32044"/>
    <w:rsid w:val="00D32D8A"/>
    <w:rsid w:val="00D3582A"/>
    <w:rsid w:val="00D37643"/>
    <w:rsid w:val="00D41B97"/>
    <w:rsid w:val="00D4321C"/>
    <w:rsid w:val="00D50F88"/>
    <w:rsid w:val="00D53882"/>
    <w:rsid w:val="00D551C7"/>
    <w:rsid w:val="00D60D24"/>
    <w:rsid w:val="00D643B1"/>
    <w:rsid w:val="00D6732D"/>
    <w:rsid w:val="00D7249A"/>
    <w:rsid w:val="00D74AB1"/>
    <w:rsid w:val="00D751A1"/>
    <w:rsid w:val="00D835B2"/>
    <w:rsid w:val="00D91F69"/>
    <w:rsid w:val="00DA38CB"/>
    <w:rsid w:val="00DA40BB"/>
    <w:rsid w:val="00DB21ED"/>
    <w:rsid w:val="00DB26A9"/>
    <w:rsid w:val="00DB4267"/>
    <w:rsid w:val="00DB6AFD"/>
    <w:rsid w:val="00DC1079"/>
    <w:rsid w:val="00DC1868"/>
    <w:rsid w:val="00DC291C"/>
    <w:rsid w:val="00DC5FE6"/>
    <w:rsid w:val="00DD154D"/>
    <w:rsid w:val="00DD5B62"/>
    <w:rsid w:val="00DD698B"/>
    <w:rsid w:val="00DD6D84"/>
    <w:rsid w:val="00DE2B90"/>
    <w:rsid w:val="00DE3F34"/>
    <w:rsid w:val="00DE66F0"/>
    <w:rsid w:val="00DF20F4"/>
    <w:rsid w:val="00DF371A"/>
    <w:rsid w:val="00DF6138"/>
    <w:rsid w:val="00DF6806"/>
    <w:rsid w:val="00E04CD9"/>
    <w:rsid w:val="00E15836"/>
    <w:rsid w:val="00E20830"/>
    <w:rsid w:val="00E22372"/>
    <w:rsid w:val="00E223D3"/>
    <w:rsid w:val="00E258E1"/>
    <w:rsid w:val="00E41557"/>
    <w:rsid w:val="00E4756E"/>
    <w:rsid w:val="00E51D7A"/>
    <w:rsid w:val="00E534BC"/>
    <w:rsid w:val="00E54797"/>
    <w:rsid w:val="00E6017F"/>
    <w:rsid w:val="00E63BB1"/>
    <w:rsid w:val="00E73CF3"/>
    <w:rsid w:val="00E80084"/>
    <w:rsid w:val="00E84640"/>
    <w:rsid w:val="00E84F1F"/>
    <w:rsid w:val="00E862D2"/>
    <w:rsid w:val="00E8630A"/>
    <w:rsid w:val="00E866E3"/>
    <w:rsid w:val="00E919AE"/>
    <w:rsid w:val="00E95FB2"/>
    <w:rsid w:val="00EB34EB"/>
    <w:rsid w:val="00EB4E70"/>
    <w:rsid w:val="00EC03BA"/>
    <w:rsid w:val="00EC371A"/>
    <w:rsid w:val="00EC4CA5"/>
    <w:rsid w:val="00ED1F86"/>
    <w:rsid w:val="00ED489F"/>
    <w:rsid w:val="00ED5D99"/>
    <w:rsid w:val="00ED72AF"/>
    <w:rsid w:val="00EF013A"/>
    <w:rsid w:val="00EF1249"/>
    <w:rsid w:val="00EF1900"/>
    <w:rsid w:val="00EF36A5"/>
    <w:rsid w:val="00F10F55"/>
    <w:rsid w:val="00F16153"/>
    <w:rsid w:val="00F2269D"/>
    <w:rsid w:val="00F24617"/>
    <w:rsid w:val="00F248D9"/>
    <w:rsid w:val="00F267A0"/>
    <w:rsid w:val="00F317C3"/>
    <w:rsid w:val="00F464BA"/>
    <w:rsid w:val="00F513DE"/>
    <w:rsid w:val="00F54B58"/>
    <w:rsid w:val="00F56943"/>
    <w:rsid w:val="00F601E5"/>
    <w:rsid w:val="00F602A3"/>
    <w:rsid w:val="00F623A4"/>
    <w:rsid w:val="00F6481A"/>
    <w:rsid w:val="00F903D8"/>
    <w:rsid w:val="00F916C7"/>
    <w:rsid w:val="00F93F51"/>
    <w:rsid w:val="00FA0946"/>
    <w:rsid w:val="00FA2FC4"/>
    <w:rsid w:val="00FA46E5"/>
    <w:rsid w:val="00FB2A50"/>
    <w:rsid w:val="00FB3011"/>
    <w:rsid w:val="00FB5982"/>
    <w:rsid w:val="00FC152A"/>
    <w:rsid w:val="00FD6579"/>
    <w:rsid w:val="00FE06C1"/>
    <w:rsid w:val="00FE2CBA"/>
    <w:rsid w:val="00FE3E90"/>
    <w:rsid w:val="00FF7D25"/>
    <w:rsid w:val="013219C8"/>
    <w:rsid w:val="01AE15BA"/>
    <w:rsid w:val="022C0730"/>
    <w:rsid w:val="02B25B77"/>
    <w:rsid w:val="02D04D52"/>
    <w:rsid w:val="044516F7"/>
    <w:rsid w:val="050E19B4"/>
    <w:rsid w:val="065917A1"/>
    <w:rsid w:val="068A4895"/>
    <w:rsid w:val="06FC4B75"/>
    <w:rsid w:val="07865CC1"/>
    <w:rsid w:val="08B12BD3"/>
    <w:rsid w:val="090917E1"/>
    <w:rsid w:val="09106A69"/>
    <w:rsid w:val="093E6C7B"/>
    <w:rsid w:val="09D03E26"/>
    <w:rsid w:val="09EE37F9"/>
    <w:rsid w:val="0AC21C32"/>
    <w:rsid w:val="0AD777BB"/>
    <w:rsid w:val="0AF93291"/>
    <w:rsid w:val="0C3D1EB8"/>
    <w:rsid w:val="0C7C46CB"/>
    <w:rsid w:val="0C801DA5"/>
    <w:rsid w:val="0CB40DE6"/>
    <w:rsid w:val="0D0C551D"/>
    <w:rsid w:val="0D0D639A"/>
    <w:rsid w:val="0D4B59D5"/>
    <w:rsid w:val="0D4D6A8C"/>
    <w:rsid w:val="0D5B6275"/>
    <w:rsid w:val="0D820EFD"/>
    <w:rsid w:val="0E4868F2"/>
    <w:rsid w:val="0EC10A41"/>
    <w:rsid w:val="0EC61D01"/>
    <w:rsid w:val="0F19286B"/>
    <w:rsid w:val="0F662CE2"/>
    <w:rsid w:val="0FE11533"/>
    <w:rsid w:val="10A31851"/>
    <w:rsid w:val="10B22749"/>
    <w:rsid w:val="10B30F68"/>
    <w:rsid w:val="11403123"/>
    <w:rsid w:val="12244F80"/>
    <w:rsid w:val="12485112"/>
    <w:rsid w:val="129B01A8"/>
    <w:rsid w:val="135103B7"/>
    <w:rsid w:val="13A659AB"/>
    <w:rsid w:val="146A0021"/>
    <w:rsid w:val="14E81685"/>
    <w:rsid w:val="156D00FF"/>
    <w:rsid w:val="159F500E"/>
    <w:rsid w:val="15B036FB"/>
    <w:rsid w:val="174D31CB"/>
    <w:rsid w:val="17A56CAE"/>
    <w:rsid w:val="182C48E3"/>
    <w:rsid w:val="184C1E5E"/>
    <w:rsid w:val="186175D4"/>
    <w:rsid w:val="194062FB"/>
    <w:rsid w:val="198361A7"/>
    <w:rsid w:val="1A2B77F4"/>
    <w:rsid w:val="1AB36AD5"/>
    <w:rsid w:val="1B5E59A7"/>
    <w:rsid w:val="1B783377"/>
    <w:rsid w:val="1B9A2198"/>
    <w:rsid w:val="1BE3708C"/>
    <w:rsid w:val="1C080CFB"/>
    <w:rsid w:val="1C393D1E"/>
    <w:rsid w:val="1CB07F9C"/>
    <w:rsid w:val="1D2B664D"/>
    <w:rsid w:val="1D77071A"/>
    <w:rsid w:val="1DDA0EB6"/>
    <w:rsid w:val="1E0C1593"/>
    <w:rsid w:val="1E55507B"/>
    <w:rsid w:val="1ED61CF8"/>
    <w:rsid w:val="1F0617AF"/>
    <w:rsid w:val="1F9F2057"/>
    <w:rsid w:val="1FC20CFF"/>
    <w:rsid w:val="20296706"/>
    <w:rsid w:val="204C362A"/>
    <w:rsid w:val="20C368F8"/>
    <w:rsid w:val="211E7B23"/>
    <w:rsid w:val="21274D40"/>
    <w:rsid w:val="21336A03"/>
    <w:rsid w:val="21503898"/>
    <w:rsid w:val="21991621"/>
    <w:rsid w:val="225E4AC7"/>
    <w:rsid w:val="22E14319"/>
    <w:rsid w:val="232F02A4"/>
    <w:rsid w:val="25F8534E"/>
    <w:rsid w:val="27363334"/>
    <w:rsid w:val="27533EE6"/>
    <w:rsid w:val="286640ED"/>
    <w:rsid w:val="286D5C93"/>
    <w:rsid w:val="29CA26C7"/>
    <w:rsid w:val="29EC4C3C"/>
    <w:rsid w:val="2A3F0751"/>
    <w:rsid w:val="2AA40CE7"/>
    <w:rsid w:val="2AB071E6"/>
    <w:rsid w:val="2AB71FB6"/>
    <w:rsid w:val="2B3763B3"/>
    <w:rsid w:val="2BA07916"/>
    <w:rsid w:val="2BD30E9C"/>
    <w:rsid w:val="2BD630A1"/>
    <w:rsid w:val="2C3F2356"/>
    <w:rsid w:val="2CB76CC5"/>
    <w:rsid w:val="2CCA6A56"/>
    <w:rsid w:val="2D436988"/>
    <w:rsid w:val="2E7C1FF3"/>
    <w:rsid w:val="2E920B22"/>
    <w:rsid w:val="2F643C4E"/>
    <w:rsid w:val="30D640C7"/>
    <w:rsid w:val="322E4844"/>
    <w:rsid w:val="33092244"/>
    <w:rsid w:val="33D95773"/>
    <w:rsid w:val="33FE18E2"/>
    <w:rsid w:val="3489489A"/>
    <w:rsid w:val="350C467A"/>
    <w:rsid w:val="35106D39"/>
    <w:rsid w:val="35853A9F"/>
    <w:rsid w:val="358E7516"/>
    <w:rsid w:val="36406C01"/>
    <w:rsid w:val="36D52B69"/>
    <w:rsid w:val="371D6D4D"/>
    <w:rsid w:val="374C704E"/>
    <w:rsid w:val="3787194D"/>
    <w:rsid w:val="378816EF"/>
    <w:rsid w:val="383051EC"/>
    <w:rsid w:val="392C4B7E"/>
    <w:rsid w:val="394C64E9"/>
    <w:rsid w:val="396A15C3"/>
    <w:rsid w:val="3B32271F"/>
    <w:rsid w:val="3B84310D"/>
    <w:rsid w:val="3BAA6D17"/>
    <w:rsid w:val="3C676D43"/>
    <w:rsid w:val="3CEA420A"/>
    <w:rsid w:val="3CEE1D4C"/>
    <w:rsid w:val="3DA908AC"/>
    <w:rsid w:val="3DCC55BB"/>
    <w:rsid w:val="3F5D2B3A"/>
    <w:rsid w:val="3F9F4367"/>
    <w:rsid w:val="3FBB48C6"/>
    <w:rsid w:val="3FE0432D"/>
    <w:rsid w:val="3FFC1167"/>
    <w:rsid w:val="40270DAD"/>
    <w:rsid w:val="40955117"/>
    <w:rsid w:val="412C40D1"/>
    <w:rsid w:val="413C37E5"/>
    <w:rsid w:val="435C657B"/>
    <w:rsid w:val="445E4006"/>
    <w:rsid w:val="452E25E2"/>
    <w:rsid w:val="453B46DA"/>
    <w:rsid w:val="458D77A6"/>
    <w:rsid w:val="459D541B"/>
    <w:rsid w:val="45AC0314"/>
    <w:rsid w:val="4608590C"/>
    <w:rsid w:val="4621793D"/>
    <w:rsid w:val="462A4554"/>
    <w:rsid w:val="46597F28"/>
    <w:rsid w:val="46767799"/>
    <w:rsid w:val="46A77952"/>
    <w:rsid w:val="479240E4"/>
    <w:rsid w:val="48387928"/>
    <w:rsid w:val="487A3C34"/>
    <w:rsid w:val="48CF0672"/>
    <w:rsid w:val="49C02229"/>
    <w:rsid w:val="4B3612CD"/>
    <w:rsid w:val="4B466FC9"/>
    <w:rsid w:val="4BAB3A41"/>
    <w:rsid w:val="4D001B6A"/>
    <w:rsid w:val="4D761E2D"/>
    <w:rsid w:val="4D875AEF"/>
    <w:rsid w:val="4DF71675"/>
    <w:rsid w:val="4E4A7541"/>
    <w:rsid w:val="4E6E7530"/>
    <w:rsid w:val="4E6F0C06"/>
    <w:rsid w:val="4F6C47D7"/>
    <w:rsid w:val="51290E9D"/>
    <w:rsid w:val="52024F4A"/>
    <w:rsid w:val="521C7D39"/>
    <w:rsid w:val="52725202"/>
    <w:rsid w:val="53184E30"/>
    <w:rsid w:val="5336549F"/>
    <w:rsid w:val="557A2C1D"/>
    <w:rsid w:val="5587107B"/>
    <w:rsid w:val="55BF6A67"/>
    <w:rsid w:val="560C305F"/>
    <w:rsid w:val="576B0616"/>
    <w:rsid w:val="57BB325E"/>
    <w:rsid w:val="57D63138"/>
    <w:rsid w:val="58110BCB"/>
    <w:rsid w:val="58D603B7"/>
    <w:rsid w:val="58FF4954"/>
    <w:rsid w:val="59EE3C8E"/>
    <w:rsid w:val="5B5E0F00"/>
    <w:rsid w:val="5B8560DB"/>
    <w:rsid w:val="5D6705E7"/>
    <w:rsid w:val="5DDE0EF2"/>
    <w:rsid w:val="5E532442"/>
    <w:rsid w:val="5E8F3D62"/>
    <w:rsid w:val="5EF02608"/>
    <w:rsid w:val="5F174C09"/>
    <w:rsid w:val="5F213199"/>
    <w:rsid w:val="5F2E3793"/>
    <w:rsid w:val="60470FEA"/>
    <w:rsid w:val="608E59B3"/>
    <w:rsid w:val="608F7035"/>
    <w:rsid w:val="61A6391B"/>
    <w:rsid w:val="61BC02FE"/>
    <w:rsid w:val="61E723CC"/>
    <w:rsid w:val="61F04C31"/>
    <w:rsid w:val="621C1D54"/>
    <w:rsid w:val="62785FB1"/>
    <w:rsid w:val="62C377FD"/>
    <w:rsid w:val="62C61B62"/>
    <w:rsid w:val="631A75CF"/>
    <w:rsid w:val="637D216D"/>
    <w:rsid w:val="63CB4828"/>
    <w:rsid w:val="655B26C1"/>
    <w:rsid w:val="65983C87"/>
    <w:rsid w:val="66B44169"/>
    <w:rsid w:val="672572C9"/>
    <w:rsid w:val="67FC610F"/>
    <w:rsid w:val="696928BB"/>
    <w:rsid w:val="6A372895"/>
    <w:rsid w:val="6A600E56"/>
    <w:rsid w:val="6A863D9A"/>
    <w:rsid w:val="6AC76FA1"/>
    <w:rsid w:val="6B43169D"/>
    <w:rsid w:val="6BB40C55"/>
    <w:rsid w:val="6BEF7107"/>
    <w:rsid w:val="6C66644F"/>
    <w:rsid w:val="6C830396"/>
    <w:rsid w:val="6C8C675E"/>
    <w:rsid w:val="6C8D626A"/>
    <w:rsid w:val="6D732880"/>
    <w:rsid w:val="6E362785"/>
    <w:rsid w:val="6F1E2035"/>
    <w:rsid w:val="6FA24510"/>
    <w:rsid w:val="701D28B0"/>
    <w:rsid w:val="7148086A"/>
    <w:rsid w:val="71AE3117"/>
    <w:rsid w:val="72BE56E7"/>
    <w:rsid w:val="73EF0213"/>
    <w:rsid w:val="74161AF0"/>
    <w:rsid w:val="74387C89"/>
    <w:rsid w:val="7478299F"/>
    <w:rsid w:val="748950FC"/>
    <w:rsid w:val="7571237D"/>
    <w:rsid w:val="75A45B38"/>
    <w:rsid w:val="75C97621"/>
    <w:rsid w:val="766537ED"/>
    <w:rsid w:val="767710B2"/>
    <w:rsid w:val="768F7938"/>
    <w:rsid w:val="773405DA"/>
    <w:rsid w:val="775F36A1"/>
    <w:rsid w:val="77955421"/>
    <w:rsid w:val="77C95EEC"/>
    <w:rsid w:val="781E1859"/>
    <w:rsid w:val="789D7585"/>
    <w:rsid w:val="78D22FF2"/>
    <w:rsid w:val="791473AE"/>
    <w:rsid w:val="793F6063"/>
    <w:rsid w:val="79984985"/>
    <w:rsid w:val="79996D18"/>
    <w:rsid w:val="79B83691"/>
    <w:rsid w:val="79CB555B"/>
    <w:rsid w:val="7A4E0664"/>
    <w:rsid w:val="7AD47607"/>
    <w:rsid w:val="7ADC2D9C"/>
    <w:rsid w:val="7B96182F"/>
    <w:rsid w:val="7C6333F8"/>
    <w:rsid w:val="7CBE4869"/>
    <w:rsid w:val="7CC35590"/>
    <w:rsid w:val="7CE12914"/>
    <w:rsid w:val="7D6329F5"/>
    <w:rsid w:val="7DC01526"/>
    <w:rsid w:val="7E394D59"/>
    <w:rsid w:val="7EC363D0"/>
    <w:rsid w:val="7F840255"/>
    <w:rsid w:val="7FA75CF2"/>
    <w:rsid w:val="7FE900B8"/>
    <w:rsid w:val="7FFE6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99"/>
    <w:pPr>
      <w:keepNext/>
      <w:keepLines/>
      <w:spacing w:beforeLines="100" w:afterLines="100"/>
      <w:jc w:val="center"/>
      <w:outlineLvl w:val="1"/>
    </w:pPr>
    <w:rPr>
      <w:rFonts w:ascii="Arial" w:hAnsi="Arial" w:eastAsia="黑体"/>
      <w:b/>
      <w:bCs/>
      <w:sz w:val="30"/>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Times New Roman"/>
    </w:rPr>
  </w:style>
  <w:style w:type="paragraph" w:styleId="6">
    <w:name w:val="annotation text"/>
    <w:basedOn w:val="1"/>
    <w:link w:val="28"/>
    <w:autoRedefine/>
    <w:semiHidden/>
    <w:unhideWhenUsed/>
    <w:qFormat/>
    <w:uiPriority w:val="99"/>
    <w:pPr>
      <w:jc w:val="left"/>
    </w:pPr>
  </w:style>
  <w:style w:type="paragraph" w:styleId="7">
    <w:name w:val="Body Text"/>
    <w:basedOn w:val="1"/>
    <w:next w:val="1"/>
    <w:autoRedefine/>
    <w:semiHidden/>
    <w:unhideWhenUsed/>
    <w:qFormat/>
    <w:uiPriority w:val="99"/>
    <w:pPr>
      <w:spacing w:after="120"/>
    </w:pPr>
  </w:style>
  <w:style w:type="paragraph" w:styleId="8">
    <w:name w:val="Body Text Indent"/>
    <w:basedOn w:val="1"/>
    <w:autoRedefine/>
    <w:qFormat/>
    <w:uiPriority w:val="0"/>
    <w:pPr>
      <w:ind w:firstLine="660"/>
    </w:pPr>
    <w:rPr>
      <w:rFonts w:ascii="宋体" w:hAnsi="宋体"/>
      <w:color w:val="000000"/>
      <w:kern w:val="0"/>
      <w:sz w:val="24"/>
      <w:szCs w:val="24"/>
    </w:rPr>
  </w:style>
  <w:style w:type="paragraph" w:styleId="9">
    <w:name w:val="Plain Text"/>
    <w:basedOn w:val="1"/>
    <w:autoRedefine/>
    <w:unhideWhenUsed/>
    <w:qFormat/>
    <w:uiPriority w:val="99"/>
    <w:rPr>
      <w:rFonts w:ascii="宋体" w:hAnsi="Courier New" w:eastAsia="宋体"/>
    </w:rPr>
  </w:style>
  <w:style w:type="paragraph" w:styleId="10">
    <w:name w:val="Date"/>
    <w:basedOn w:val="1"/>
    <w:next w:val="1"/>
    <w:link w:val="31"/>
    <w:autoRedefine/>
    <w:semiHidden/>
    <w:unhideWhenUsed/>
    <w:qFormat/>
    <w:uiPriority w:val="99"/>
    <w:pPr>
      <w:ind w:left="100" w:leftChars="2500"/>
    </w:p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semiHidden/>
    <w:unhideWhenUsed/>
    <w:qFormat/>
    <w:uiPriority w:val="99"/>
    <w:rPr>
      <w:rFonts w:ascii="Times New Roman" w:hAnsi="Times New Roman" w:cs="Times New Roman"/>
      <w:sz w:val="24"/>
      <w:szCs w:val="24"/>
    </w:rPr>
  </w:style>
  <w:style w:type="paragraph" w:styleId="15">
    <w:name w:val="annotation subject"/>
    <w:basedOn w:val="6"/>
    <w:next w:val="6"/>
    <w:link w:val="29"/>
    <w:autoRedefine/>
    <w:semiHidden/>
    <w:unhideWhenUsed/>
    <w:qFormat/>
    <w:uiPriority w:val="99"/>
    <w:rPr>
      <w:b/>
      <w:bCs/>
    </w:rPr>
  </w:style>
  <w:style w:type="paragraph" w:styleId="16">
    <w:name w:val="Body Text First Indent"/>
    <w:basedOn w:val="7"/>
    <w:next w:val="1"/>
    <w:autoRedefine/>
    <w:qFormat/>
    <w:uiPriority w:val="0"/>
    <w:pPr>
      <w:ind w:firstLine="420" w:firstLineChars="100"/>
    </w:p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Emphasis"/>
    <w:basedOn w:val="20"/>
    <w:autoRedefine/>
    <w:qFormat/>
    <w:uiPriority w:val="20"/>
    <w:rPr>
      <w:i/>
    </w:rPr>
  </w:style>
  <w:style w:type="character" w:styleId="22">
    <w:name w:val="annotation reference"/>
    <w:basedOn w:val="20"/>
    <w:autoRedefine/>
    <w:semiHidden/>
    <w:unhideWhenUsed/>
    <w:qFormat/>
    <w:uiPriority w:val="99"/>
    <w:rPr>
      <w:sz w:val="21"/>
      <w:szCs w:val="21"/>
    </w:rPr>
  </w:style>
  <w:style w:type="paragraph" w:customStyle="1" w:styleId="23">
    <w:name w:val="表格文字"/>
    <w:basedOn w:val="24"/>
    <w:autoRedefine/>
    <w:qFormat/>
    <w:uiPriority w:val="0"/>
  </w:style>
  <w:style w:type="paragraph" w:customStyle="1" w:styleId="24">
    <w:name w:val="表格文字（两侧对齐）"/>
    <w:basedOn w:val="1"/>
    <w:autoRedefine/>
    <w:qFormat/>
    <w:uiPriority w:val="0"/>
    <w:pPr>
      <w:widowControl w:val="0"/>
      <w:spacing w:line="240" w:lineRule="auto"/>
      <w:ind w:firstLine="0" w:firstLineChars="0"/>
    </w:pPr>
    <w:rPr>
      <w:rFonts w:ascii="Calibri" w:hAnsi="Calibri" w:cs="Times New Roman"/>
      <w:kern w:val="0"/>
      <w:sz w:val="20"/>
    </w:rPr>
  </w:style>
  <w:style w:type="paragraph" w:styleId="25">
    <w:name w:val="List Paragraph"/>
    <w:basedOn w:val="1"/>
    <w:autoRedefine/>
    <w:qFormat/>
    <w:uiPriority w:val="34"/>
    <w:pPr>
      <w:ind w:firstLine="420" w:firstLineChars="200"/>
    </w:pPr>
  </w:style>
  <w:style w:type="character" w:customStyle="1" w:styleId="26">
    <w:name w:val="页眉 Char"/>
    <w:basedOn w:val="20"/>
    <w:link w:val="13"/>
    <w:autoRedefine/>
    <w:qFormat/>
    <w:uiPriority w:val="99"/>
    <w:rPr>
      <w:sz w:val="18"/>
      <w:szCs w:val="18"/>
    </w:rPr>
  </w:style>
  <w:style w:type="character" w:customStyle="1" w:styleId="27">
    <w:name w:val="页脚 Char"/>
    <w:basedOn w:val="20"/>
    <w:link w:val="12"/>
    <w:autoRedefine/>
    <w:qFormat/>
    <w:uiPriority w:val="99"/>
    <w:rPr>
      <w:sz w:val="18"/>
      <w:szCs w:val="18"/>
    </w:rPr>
  </w:style>
  <w:style w:type="character" w:customStyle="1" w:styleId="28">
    <w:name w:val="批注文字 Char"/>
    <w:basedOn w:val="20"/>
    <w:link w:val="6"/>
    <w:autoRedefine/>
    <w:semiHidden/>
    <w:qFormat/>
    <w:uiPriority w:val="99"/>
  </w:style>
  <w:style w:type="character" w:customStyle="1" w:styleId="29">
    <w:name w:val="批注主题 Char"/>
    <w:basedOn w:val="28"/>
    <w:link w:val="15"/>
    <w:autoRedefine/>
    <w:semiHidden/>
    <w:qFormat/>
    <w:uiPriority w:val="99"/>
    <w:rPr>
      <w:b/>
      <w:bCs/>
    </w:rPr>
  </w:style>
  <w:style w:type="character" w:customStyle="1" w:styleId="30">
    <w:name w:val="批注框文本 Char"/>
    <w:basedOn w:val="20"/>
    <w:link w:val="11"/>
    <w:autoRedefine/>
    <w:semiHidden/>
    <w:qFormat/>
    <w:uiPriority w:val="99"/>
    <w:rPr>
      <w:sz w:val="18"/>
      <w:szCs w:val="18"/>
    </w:rPr>
  </w:style>
  <w:style w:type="character" w:customStyle="1" w:styleId="31">
    <w:name w:val="日期 Char"/>
    <w:basedOn w:val="20"/>
    <w:link w:val="10"/>
    <w:autoRedefine/>
    <w:semiHidden/>
    <w:qFormat/>
    <w:uiPriority w:val="99"/>
  </w:style>
  <w:style w:type="table" w:customStyle="1" w:styleId="32">
    <w:name w:val="网格型1"/>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34">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35">
    <w:name w:val=".正文"/>
    <w:basedOn w:val="1"/>
    <w:autoRedefine/>
    <w:qFormat/>
    <w:uiPriority w:val="0"/>
    <w:pPr>
      <w:widowControl w:val="0"/>
      <w:spacing w:beforeLines="50"/>
      <w:ind w:firstLine="200" w:firstLineChars="200"/>
      <w:jc w:val="both"/>
    </w:pPr>
    <w:rPr>
      <w:rFonts w:ascii="Calibri" w:hAnsi="Calibri" w:eastAsia="华文仿宋"/>
      <w:kern w:val="2"/>
      <w:sz w:val="21"/>
      <w:szCs w:val="22"/>
    </w:rPr>
  </w:style>
  <w:style w:type="character" w:customStyle="1" w:styleId="36">
    <w:name w:val="font61"/>
    <w:basedOn w:val="20"/>
    <w:autoRedefine/>
    <w:qFormat/>
    <w:uiPriority w:val="0"/>
    <w:rPr>
      <w:rFonts w:hint="eastAsia" w:ascii="仿宋_GB2312" w:eastAsia="仿宋_GB2312" w:cs="仿宋_GB2312"/>
      <w:color w:val="000000"/>
      <w:sz w:val="22"/>
      <w:szCs w:val="22"/>
      <w:u w:val="none"/>
    </w:rPr>
  </w:style>
  <w:style w:type="paragraph" w:customStyle="1" w:styleId="37">
    <w:name w:val="null3"/>
    <w:autoRedefine/>
    <w:hidden/>
    <w:qFormat/>
    <w:uiPriority w:val="0"/>
    <w:rPr>
      <w:rFonts w:hint="eastAsia" w:asciiTheme="minorHAnsi" w:hAnsiTheme="minorHAnsi" w:eastAsiaTheme="minorEastAsia" w:cstheme="minorBidi"/>
      <w:lang w:val="en-US" w:eastAsia="zh-Hans"/>
    </w:rPr>
  </w:style>
  <w:style w:type="character" w:customStyle="1" w:styleId="38">
    <w:name w:val="font11"/>
    <w:basedOn w:val="20"/>
    <w:qFormat/>
    <w:uiPriority w:val="0"/>
    <w:rPr>
      <w:rFonts w:hint="eastAsia" w:ascii="宋体" w:hAnsi="宋体" w:eastAsia="宋体" w:cs="宋体"/>
      <w:color w:val="000000"/>
      <w:sz w:val="22"/>
      <w:szCs w:val="22"/>
      <w:u w:val="none"/>
    </w:rPr>
  </w:style>
  <w:style w:type="character" w:customStyle="1" w:styleId="39">
    <w:name w:val="font21"/>
    <w:basedOn w:val="2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C57AC-F384-4852-B080-CB945217B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5607</Words>
  <Characters>5908</Characters>
  <Lines>49</Lines>
  <Paragraphs>13</Paragraphs>
  <TotalTime>5</TotalTime>
  <ScaleCrop>false</ScaleCrop>
  <LinksUpToDate>false</LinksUpToDate>
  <CharactersWithSpaces>5948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2020-10-16T02:30:00Z</dcterms:created>
  <dc:creator>林央芝</dc:creator>
  <cp:lastModifiedBy>杨沁菀</cp:lastModifiedBy>
  <cp:lastPrinted>2020-10-19T07:41:00Z</cp:lastPrinted>
  <dcterms:modified xsi:type="dcterms:W3CDTF">2026-05-15T03:47:47Z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549472479</vt:i4>
  </property>
  <property fmtid="{D5CDD505-2E9C-101B-9397-08002B2CF9AE}" pid="3" name="KSOProductBuildVer">
    <vt:lpwstr>2052-12.1.0.25225</vt:lpwstr>
  </property>
  <property fmtid="{D5CDD505-2E9C-101B-9397-08002B2CF9AE}" pid="4" name="ICV">
    <vt:lpwstr>F7D9C7F03804460D9660F08214F9D173_13</vt:lpwstr>
  </property>
  <property fmtid="{D5CDD505-2E9C-101B-9397-08002B2CF9AE}" pid="5" name="KSOTemplateDocerSaveRecord">
    <vt:lpwstr>eyJoZGlkIjoiNjhmZWU4YTIyZTRhMmE1ZTQ3N2U4NWEzMzBmYTM3NjEiLCJ1c2VySWQiOiI0NTc0NTM5ODIifQ==</vt:lpwstr>
  </property>
</Properties>
</file>