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C024D">
      <w:pPr>
        <w:spacing w:line="560" w:lineRule="exact"/>
        <w:ind w:firstLine="0" w:firstLineChars="0"/>
        <w:rPr>
          <w:rFonts w:ascii="仿宋_GB2312" w:eastAsia="仿宋_GB2312"/>
          <w:color w:val="000000"/>
          <w:sz w:val="32"/>
          <w:szCs w:val="32"/>
        </w:rPr>
      </w:pPr>
      <w:r>
        <w:rPr>
          <w:rFonts w:hint="eastAsia" w:ascii="仿宋_GB2312" w:eastAsia="仿宋_GB2312"/>
          <w:color w:val="000000"/>
          <w:sz w:val="32"/>
          <w:szCs w:val="32"/>
        </w:rPr>
        <w:t>附件1</w:t>
      </w:r>
    </w:p>
    <w:p w14:paraId="12DBA61A">
      <w:pPr>
        <w:spacing w:line="560" w:lineRule="exact"/>
        <w:ind w:firstLine="0" w:firstLineChars="0"/>
        <w:jc w:val="center"/>
        <w:rPr>
          <w:rFonts w:ascii="华光小标宋_CNKI" w:hAnsi="华光小标宋_CNKI" w:eastAsia="华光小标宋_CNKI"/>
          <w:color w:val="0000FF"/>
          <w:sz w:val="32"/>
          <w:szCs w:val="32"/>
        </w:rPr>
      </w:pPr>
      <w:r>
        <w:rPr>
          <w:rFonts w:hint="eastAsia" w:ascii="华光小标宋_CNKI" w:hAnsi="华光小标宋_CNKI" w:eastAsia="华光小标宋_CNKI" w:cs="宋体"/>
          <w:bCs/>
          <w:color w:val="0000FF"/>
          <w:sz w:val="44"/>
          <w:szCs w:val="44"/>
          <w:lang w:val="en-US" w:eastAsia="zh-CN"/>
        </w:rPr>
        <w:t>四川省妇幼保健院（四川省妇女儿童医院）天府院区二期工程建设项目水土保持验收咨询服务（第二次）</w:t>
      </w:r>
      <w:r>
        <w:rPr>
          <w:rFonts w:hint="eastAsia" w:ascii="华光小标宋_CNKI" w:hAnsi="华光小标宋_CNKI" w:eastAsia="华光小标宋_CNKI" w:cs="宋体"/>
          <w:bCs/>
          <w:color w:val="0000FF"/>
          <w:sz w:val="44"/>
          <w:szCs w:val="44"/>
        </w:rPr>
        <w:t>要求</w:t>
      </w:r>
    </w:p>
    <w:p w14:paraId="310B10FE">
      <w:pPr>
        <w:spacing w:line="560" w:lineRule="exact"/>
        <w:ind w:firstLine="643"/>
        <w:rPr>
          <w:rFonts w:ascii="仿宋_GB2312" w:eastAsia="仿宋_GB2312"/>
          <w:b/>
          <w:bCs/>
          <w:color w:val="000000"/>
          <w:sz w:val="32"/>
          <w:szCs w:val="32"/>
        </w:rPr>
      </w:pPr>
    </w:p>
    <w:p w14:paraId="07E7D168">
      <w:pPr>
        <w:spacing w:line="560" w:lineRule="exact"/>
        <w:ind w:firstLine="643"/>
        <w:rPr>
          <w:rFonts w:ascii="仿宋_GB2312" w:eastAsia="仿宋_GB2312"/>
          <w:b/>
          <w:bCs/>
          <w:color w:val="000000"/>
          <w:sz w:val="32"/>
          <w:szCs w:val="32"/>
        </w:rPr>
      </w:pPr>
      <w:r>
        <w:rPr>
          <w:rFonts w:hint="eastAsia" w:ascii="仿宋_GB2312" w:eastAsia="仿宋_GB2312"/>
          <w:b/>
          <w:bCs/>
          <w:color w:val="000000"/>
          <w:sz w:val="32"/>
          <w:szCs w:val="32"/>
        </w:rPr>
        <w:t>一、项目概述</w:t>
      </w:r>
    </w:p>
    <w:p w14:paraId="2EE8EEFF">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1.名称：</w:t>
      </w:r>
      <w:r>
        <w:rPr>
          <w:rFonts w:hint="eastAsia" w:ascii="宋体" w:hAnsi="宋体" w:cs="宋体"/>
          <w:color w:val="0000FF"/>
          <w:kern w:val="0"/>
          <w:sz w:val="20"/>
          <w:szCs w:val="20"/>
          <w:lang w:val="en-US" w:eastAsia="zh-CN" w:bidi="ar"/>
          <w14:ligatures w14:val="none"/>
        </w:rPr>
        <w:t>四川省妇幼保健院（四川省妇女儿童医院）天府院区二期工程建设项目水土保持验收咨询服务（第二次）</w:t>
      </w:r>
    </w:p>
    <w:p w14:paraId="0DC4CEAA">
      <w:pPr>
        <w:pStyle w:val="2"/>
        <w:ind w:left="0" w:leftChars="0" w:firstLine="400" w:firstLineChars="200"/>
        <w:rPr>
          <w:rFonts w:hint="eastAsia"/>
          <w:color w:val="0000FF"/>
          <w:lang w:val="en-US" w:eastAsia="zh-CN"/>
        </w:rPr>
      </w:pPr>
      <w:r>
        <w:rPr>
          <w:rFonts w:hint="eastAsia"/>
          <w:color w:val="0000FF"/>
          <w:lang w:val="en-US" w:eastAsia="zh-CN"/>
        </w:rPr>
        <w:t>（注意：投标文件中所有涉及本项目名称的表述，均须与上述名称逐字完全一致，不得增减、修改、简写或替换文字）</w:t>
      </w:r>
    </w:p>
    <w:p w14:paraId="5403750A">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2.资料递交位置：四川省成都市双流区岐黄二路1515号四川省妇幼保健院天府院区-综合保障楼</w:t>
      </w:r>
    </w:p>
    <w:p w14:paraId="68FFA74B">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3.项目位置：成都市双流区岐黄二路1515号</w:t>
      </w:r>
    </w:p>
    <w:p w14:paraId="355F9427">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4.工程项目概况：</w:t>
      </w:r>
    </w:p>
    <w:p w14:paraId="47628757">
      <w:pPr>
        <w:widowControl/>
        <w:jc w:val="both"/>
        <w:textAlignment w:val="center"/>
        <w:rPr>
          <w:rFonts w:hint="eastAsia" w:ascii="宋体" w:hAnsi="宋体" w:eastAsia="宋体" w:cs="宋体"/>
          <w:color w:val="0000FF"/>
          <w:kern w:val="0"/>
          <w:sz w:val="20"/>
          <w:szCs w:val="20"/>
          <w:lang w:val="en-US" w:eastAsia="zh-CN" w:bidi="ar"/>
          <w14:ligatures w14:val="none"/>
        </w:rPr>
      </w:pPr>
      <w:r>
        <w:rPr>
          <w:rFonts w:hint="eastAsia" w:ascii="宋体" w:hAnsi="宋体" w:cs="宋体"/>
          <w:color w:val="000000"/>
          <w:kern w:val="0"/>
          <w:sz w:val="20"/>
          <w:szCs w:val="20"/>
          <w:lang w:val="en-US" w:eastAsia="zh-CN" w:bidi="ar"/>
          <w14:ligatures w14:val="none"/>
        </w:rPr>
        <w:t>（1）项目基本情况：</w:t>
      </w:r>
      <w:r>
        <w:rPr>
          <w:rFonts w:hint="eastAsia" w:ascii="宋体" w:hAnsi="宋体" w:eastAsia="宋体" w:cs="宋体"/>
          <w:color w:val="0000FF"/>
          <w:kern w:val="0"/>
          <w:sz w:val="20"/>
          <w:szCs w:val="20"/>
          <w:lang w:val="en-US" w:eastAsia="zh-CN" w:bidi="ar"/>
          <w14:ligatures w14:val="none"/>
        </w:rPr>
        <w:t>四川省妇幼保健院（四川省妇女儿童医院）天府院区二期工程建设项目总规划净用地面积69598.22㎡，其中二期工程项目净用地面积约为16300㎡，二期批复总建筑面79975㎡，其中地上51968㎡，地下28007㎡。包括新建门诊住院综合楼、科教楼、地下人防急救医院、设备机房、车库等，配套建设道路、景观、室外管线等公用附属设施，配置洗衣房及制氧中心设备等。二期门诊住院综合楼位于一期门诊住院</w:t>
      </w:r>
      <w:bookmarkStart w:id="7" w:name="_GoBack"/>
      <w:bookmarkEnd w:id="7"/>
      <w:r>
        <w:rPr>
          <w:rFonts w:hint="eastAsia" w:ascii="宋体" w:hAnsi="宋体" w:eastAsia="宋体" w:cs="宋体"/>
          <w:color w:val="0000FF"/>
          <w:kern w:val="0"/>
          <w:sz w:val="20"/>
          <w:szCs w:val="20"/>
          <w:lang w:val="en-US" w:eastAsia="zh-CN" w:bidi="ar"/>
          <w14:ligatures w14:val="none"/>
        </w:rPr>
        <w:t>综合楼西北方向，并与其接壤，该楼地上12层（总建筑面积约36000㎡），地下2层（总建筑面积约28000㎡）。二期科教楼位于现一期行政后勤综合楼北侧，地上建筑面积约16000㎡，共建设11层。</w:t>
      </w:r>
    </w:p>
    <w:p w14:paraId="3AF7B487">
      <w:pPr>
        <w:pStyle w:val="2"/>
        <w:rPr>
          <w:rFonts w:hint="eastAsia"/>
          <w:lang w:val="en-US" w:eastAsia="zh-CN"/>
        </w:rPr>
      </w:pPr>
      <w:r>
        <w:rPr>
          <w:rFonts w:hint="eastAsia"/>
          <w:lang w:val="en-US" w:eastAsia="zh-CN"/>
        </w:rPr>
        <w:t>（2）项目水土保持相关行政许可情况</w:t>
      </w:r>
    </w:p>
    <w:p w14:paraId="4A4E210F">
      <w:pPr>
        <w:pStyle w:val="2"/>
      </w:pPr>
      <w:r>
        <w:drawing>
          <wp:inline distT="0" distB="0" distL="114300" distR="114300">
            <wp:extent cx="4581525" cy="33147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581525" cy="3314700"/>
                    </a:xfrm>
                    <a:prstGeom prst="rect">
                      <a:avLst/>
                    </a:prstGeom>
                    <a:noFill/>
                    <a:ln>
                      <a:noFill/>
                    </a:ln>
                  </pic:spPr>
                </pic:pic>
              </a:graphicData>
            </a:graphic>
          </wp:inline>
        </w:drawing>
      </w:r>
    </w:p>
    <w:p w14:paraId="12C1EE5D">
      <w:pPr>
        <w:pStyle w:val="2"/>
      </w:pPr>
      <w:r>
        <w:drawing>
          <wp:inline distT="0" distB="0" distL="114300" distR="114300">
            <wp:extent cx="4810125" cy="65627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4810125" cy="6562725"/>
                    </a:xfrm>
                    <a:prstGeom prst="rect">
                      <a:avLst/>
                    </a:prstGeom>
                    <a:noFill/>
                    <a:ln>
                      <a:noFill/>
                    </a:ln>
                  </pic:spPr>
                </pic:pic>
              </a:graphicData>
            </a:graphic>
          </wp:inline>
        </w:drawing>
      </w:r>
    </w:p>
    <w:p w14:paraId="5C919448">
      <w:pPr>
        <w:pStyle w:val="2"/>
      </w:pPr>
      <w:r>
        <w:drawing>
          <wp:inline distT="0" distB="0" distL="114300" distR="114300">
            <wp:extent cx="4705350" cy="64674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705350" cy="6467475"/>
                    </a:xfrm>
                    <a:prstGeom prst="rect">
                      <a:avLst/>
                    </a:prstGeom>
                    <a:noFill/>
                    <a:ln>
                      <a:noFill/>
                    </a:ln>
                  </pic:spPr>
                </pic:pic>
              </a:graphicData>
            </a:graphic>
          </wp:inline>
        </w:drawing>
      </w:r>
    </w:p>
    <w:p w14:paraId="30528BCD">
      <w:pPr>
        <w:pStyle w:val="2"/>
      </w:pPr>
      <w:r>
        <w:drawing>
          <wp:inline distT="0" distB="0" distL="114300" distR="114300">
            <wp:extent cx="4724400" cy="65436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4724400" cy="6543675"/>
                    </a:xfrm>
                    <a:prstGeom prst="rect">
                      <a:avLst/>
                    </a:prstGeom>
                    <a:noFill/>
                    <a:ln>
                      <a:noFill/>
                    </a:ln>
                  </pic:spPr>
                </pic:pic>
              </a:graphicData>
            </a:graphic>
          </wp:inline>
        </w:drawing>
      </w:r>
    </w:p>
    <w:p w14:paraId="653FD802">
      <w:pPr>
        <w:pStyle w:val="2"/>
        <w:rPr>
          <w:rFonts w:hint="eastAsia"/>
          <w:lang w:val="en-US" w:eastAsia="zh-CN"/>
        </w:rPr>
      </w:pPr>
    </w:p>
    <w:p w14:paraId="73278742">
      <w:pPr>
        <w:spacing w:line="560" w:lineRule="exact"/>
        <w:ind w:firstLine="640"/>
        <w:rPr>
          <w:rFonts w:hint="eastAsia" w:ascii="宋体" w:hAnsi="宋体" w:eastAsia="宋体" w:cs="宋体"/>
          <w:b/>
          <w:color w:val="000000"/>
          <w:sz w:val="32"/>
          <w:szCs w:val="32"/>
        </w:rPr>
      </w:pPr>
      <w:r>
        <w:rPr>
          <w:rFonts w:hint="eastAsia" w:ascii="仿宋_GB2312" w:eastAsia="仿宋_GB2312"/>
          <w:b/>
          <w:bCs/>
          <w:color w:val="000000"/>
          <w:sz w:val="32"/>
          <w:szCs w:val="32"/>
          <w:lang w:val="en-US" w:eastAsia="zh-CN"/>
        </w:rPr>
        <w:t>二</w:t>
      </w:r>
      <w:r>
        <w:rPr>
          <w:rFonts w:hint="eastAsia" w:ascii="仿宋_GB2312" w:eastAsia="仿宋_GB2312"/>
          <w:b/>
          <w:bCs/>
          <w:color w:val="000000"/>
          <w:sz w:val="32"/>
          <w:szCs w:val="32"/>
        </w:rPr>
        <w:t>、</w:t>
      </w:r>
      <w:r>
        <w:rPr>
          <w:rFonts w:hint="eastAsia" w:ascii="宋体" w:hAnsi="宋体" w:eastAsia="宋体" w:cs="宋体"/>
          <w:b/>
          <w:color w:val="000000"/>
          <w:sz w:val="32"/>
          <w:szCs w:val="32"/>
        </w:rPr>
        <w:t>预算及采购清单</w:t>
      </w:r>
    </w:p>
    <w:p w14:paraId="48625680">
      <w:pPr>
        <w:pStyle w:val="18"/>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最高限价：</w:t>
      </w:r>
      <w:r>
        <w:rPr>
          <w:rFonts w:hint="eastAsia" w:ascii="宋体" w:hAnsi="宋体" w:cs="宋体"/>
          <w:color w:val="000000"/>
          <w:kern w:val="0"/>
          <w:sz w:val="20"/>
          <w:szCs w:val="20"/>
          <w:lang w:val="en-US" w:eastAsia="zh-CN" w:bidi="ar"/>
          <w14:ligatures w14:val="none"/>
        </w:rPr>
        <w:t>2.4</w:t>
      </w:r>
      <w:r>
        <w:rPr>
          <w:rFonts w:hint="eastAsia" w:ascii="宋体" w:hAnsi="宋体" w:eastAsia="宋体" w:cs="宋体"/>
          <w:color w:val="000000"/>
          <w:kern w:val="0"/>
          <w:sz w:val="20"/>
          <w:szCs w:val="20"/>
          <w:lang w:val="en-US" w:eastAsia="zh-CN" w:bidi="ar"/>
          <w14:ligatures w14:val="none"/>
        </w:rPr>
        <w:t>万元</w:t>
      </w:r>
    </w:p>
    <w:p w14:paraId="551704EB">
      <w:pPr>
        <w:pStyle w:val="18"/>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采购清单</w:t>
      </w:r>
    </w:p>
    <w:tbl>
      <w:tblPr>
        <w:tblStyle w:val="11"/>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645"/>
        <w:gridCol w:w="765"/>
        <w:gridCol w:w="690"/>
        <w:gridCol w:w="2344"/>
      </w:tblGrid>
      <w:tr w14:paraId="0FA4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4" w:type="dxa"/>
            <w:vAlign w:val="center"/>
          </w:tcPr>
          <w:p w14:paraId="37709103">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序号</w:t>
            </w:r>
          </w:p>
        </w:tc>
        <w:tc>
          <w:tcPr>
            <w:tcW w:w="3645" w:type="dxa"/>
            <w:vAlign w:val="center"/>
          </w:tcPr>
          <w:p w14:paraId="7E9C880F">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采购清单</w:t>
            </w:r>
          </w:p>
        </w:tc>
        <w:tc>
          <w:tcPr>
            <w:tcW w:w="765" w:type="dxa"/>
            <w:vAlign w:val="center"/>
          </w:tcPr>
          <w:p w14:paraId="29BB9AB9">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单位</w:t>
            </w:r>
          </w:p>
        </w:tc>
        <w:tc>
          <w:tcPr>
            <w:tcW w:w="690" w:type="dxa"/>
            <w:vAlign w:val="center"/>
          </w:tcPr>
          <w:p w14:paraId="7E0B6457">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数量</w:t>
            </w:r>
          </w:p>
        </w:tc>
        <w:tc>
          <w:tcPr>
            <w:tcW w:w="2344" w:type="dxa"/>
            <w:vAlign w:val="center"/>
          </w:tcPr>
          <w:p w14:paraId="1A1A39A6">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单价限价（元）</w:t>
            </w:r>
          </w:p>
        </w:tc>
      </w:tr>
      <w:tr w14:paraId="7AEC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vAlign w:val="center"/>
          </w:tcPr>
          <w:p w14:paraId="1BEB0E03">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3645" w:type="dxa"/>
            <w:vAlign w:val="center"/>
          </w:tcPr>
          <w:p w14:paraId="30792F7C">
            <w:pPr>
              <w:widowControl/>
              <w:ind w:left="0" w:leftChars="0" w:firstLine="0" w:firstLineChars="0"/>
              <w:jc w:val="both"/>
              <w:textAlignment w:val="center"/>
              <w:rPr>
                <w:rFonts w:hint="eastAsia" w:ascii="宋体" w:hAnsi="宋体" w:eastAsia="宋体" w:cs="宋体"/>
                <w:color w:val="000000"/>
                <w:kern w:val="0"/>
                <w:sz w:val="20"/>
                <w:szCs w:val="20"/>
                <w14:ligatures w14:val="none"/>
              </w:rPr>
            </w:pPr>
            <w:r>
              <w:rPr>
                <w:rFonts w:hint="eastAsia" w:ascii="宋体" w:hAnsi="宋体" w:cs="宋体"/>
                <w:color w:val="0000FF"/>
                <w:kern w:val="0"/>
                <w:sz w:val="20"/>
                <w:szCs w:val="20"/>
                <w:lang w:val="en-US" w:eastAsia="zh-CN" w:bidi="ar"/>
                <w14:ligatures w14:val="none"/>
              </w:rPr>
              <w:t>四川省妇幼保健院（四川省妇女儿童医院）天府院区二期工程建设项目水土保持验收咨询服务（第二次）</w:t>
            </w:r>
          </w:p>
        </w:tc>
        <w:tc>
          <w:tcPr>
            <w:tcW w:w="765" w:type="dxa"/>
            <w:vAlign w:val="center"/>
          </w:tcPr>
          <w:p w14:paraId="39AC1E14">
            <w:pPr>
              <w:widowControl/>
              <w:jc w:val="center"/>
              <w:textAlignment w:val="center"/>
              <w:rPr>
                <w:rFonts w:hint="eastAsia" w:ascii="宋体" w:hAnsi="宋体" w:eastAsia="宋体" w:cs="宋体"/>
                <w:color w:val="000000"/>
                <w:kern w:val="0"/>
                <w:sz w:val="20"/>
                <w:szCs w:val="20"/>
                <w:lang w:eastAsia="zh-CN"/>
                <w14:ligatures w14:val="none"/>
              </w:rPr>
            </w:pPr>
            <w:r>
              <w:rPr>
                <w:rFonts w:hint="eastAsia" w:ascii="宋体" w:hAnsi="宋体" w:eastAsia="宋体" w:cs="宋体"/>
                <w:color w:val="000000"/>
                <w:kern w:val="0"/>
                <w:sz w:val="20"/>
                <w:szCs w:val="20"/>
                <w:lang w:val="en-US" w:eastAsia="zh-CN"/>
                <w14:ligatures w14:val="none"/>
              </w:rPr>
              <w:t>项</w:t>
            </w:r>
          </w:p>
        </w:tc>
        <w:tc>
          <w:tcPr>
            <w:tcW w:w="690" w:type="dxa"/>
            <w:vAlign w:val="center"/>
          </w:tcPr>
          <w:p w14:paraId="4514820E">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2344" w:type="dxa"/>
            <w:vAlign w:val="center"/>
          </w:tcPr>
          <w:p w14:paraId="317A530B">
            <w:pPr>
              <w:widowControl/>
              <w:jc w:val="center"/>
              <w:textAlignment w:val="center"/>
              <w:rPr>
                <w:rFonts w:hint="default" w:ascii="宋体" w:hAnsi="宋体" w:eastAsia="宋体" w:cs="宋体"/>
                <w:color w:val="000000"/>
                <w:kern w:val="0"/>
                <w:sz w:val="20"/>
                <w:szCs w:val="21"/>
                <w:lang w:val="en-US"/>
                <w14:ligatures w14:val="none"/>
              </w:rPr>
            </w:pPr>
            <w:r>
              <w:rPr>
                <w:rFonts w:hint="eastAsia" w:ascii="宋体" w:hAnsi="宋体" w:cs="宋体"/>
                <w:color w:val="0000FF"/>
                <w:kern w:val="0"/>
                <w:sz w:val="20"/>
                <w:szCs w:val="20"/>
                <w:lang w:val="en-US" w:eastAsia="zh-CN" w:bidi="ar"/>
                <w14:ligatures w14:val="none"/>
              </w:rPr>
              <w:t>24000</w:t>
            </w:r>
          </w:p>
        </w:tc>
      </w:tr>
    </w:tbl>
    <w:p w14:paraId="07FF9440">
      <w:pPr>
        <w:spacing w:line="560" w:lineRule="exact"/>
        <w:ind w:firstLine="640"/>
        <w:rPr>
          <w:rFonts w:ascii="仿宋_GB2312" w:eastAsia="仿宋_GB2312"/>
          <w:color w:val="000000"/>
          <w:sz w:val="32"/>
          <w:szCs w:val="32"/>
        </w:rPr>
      </w:pPr>
    </w:p>
    <w:p w14:paraId="59A23EF9">
      <w:pPr>
        <w:spacing w:line="560" w:lineRule="exact"/>
        <w:ind w:firstLine="64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三、技术要求</w:t>
      </w:r>
    </w:p>
    <w:tbl>
      <w:tblPr>
        <w:tblStyle w:val="1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27"/>
        <w:gridCol w:w="6892"/>
      </w:tblGrid>
      <w:tr w14:paraId="30BF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11F9825E">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序号</w:t>
            </w:r>
          </w:p>
        </w:tc>
        <w:tc>
          <w:tcPr>
            <w:tcW w:w="2327" w:type="dxa"/>
            <w:vAlign w:val="center"/>
          </w:tcPr>
          <w:p w14:paraId="58CCD9C4">
            <w:pPr>
              <w:adjustRightInd w:val="0"/>
              <w:snapToGrid w:val="0"/>
              <w:jc w:val="center"/>
              <w:rPr>
                <w:rFonts w:hint="eastAsia" w:ascii="宋体" w:hAnsi="宋体" w:eastAsia="宋体" w:cs="宋体"/>
                <w:color w:val="000000"/>
                <w:kern w:val="0"/>
                <w:sz w:val="20"/>
                <w:szCs w:val="20"/>
                <w14:ligatures w14:val="none"/>
              </w:rPr>
            </w:pPr>
            <w:r>
              <w:rPr>
                <w:rFonts w:hint="eastAsia" w:ascii="宋体" w:hAnsi="宋体" w:eastAsia="宋体" w:cs="宋体"/>
                <w:kern w:val="0"/>
                <w:sz w:val="20"/>
                <w:szCs w:val="21"/>
                <w14:ligatures w14:val="none"/>
              </w:rPr>
              <w:t>名称</w:t>
            </w:r>
          </w:p>
        </w:tc>
        <w:tc>
          <w:tcPr>
            <w:tcW w:w="6892" w:type="dxa"/>
            <w:vAlign w:val="center"/>
          </w:tcPr>
          <w:p w14:paraId="0CF6D031">
            <w:pPr>
              <w:widowControl/>
              <w:shd w:val="clear" w:color="auto" w:fill="FFFFFF"/>
              <w:jc w:val="left"/>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技术参数</w:t>
            </w:r>
          </w:p>
        </w:tc>
      </w:tr>
      <w:tr w14:paraId="3C0E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7C27E081">
            <w:pPr>
              <w:widowControl/>
              <w:adjustRightInd w:val="0"/>
              <w:snapToGrid w:val="0"/>
              <w:spacing w:line="300" w:lineRule="exact"/>
              <w:contextualSpacing/>
              <w:jc w:val="center"/>
              <w:rPr>
                <w:rFonts w:hint="eastAsia" w:ascii="宋体" w:hAnsi="宋体" w:eastAsia="宋体" w:cs="宋体"/>
                <w:kern w:val="0"/>
                <w:sz w:val="20"/>
                <w:szCs w:val="21"/>
                <w14:ligatures w14:val="none"/>
              </w:rPr>
            </w:pPr>
            <w:r>
              <w:rPr>
                <w:rFonts w:hint="eastAsia" w:ascii="宋体" w:hAnsi="宋体" w:eastAsia="宋体" w:cs="宋体"/>
                <w:color w:val="000000"/>
                <w:kern w:val="0"/>
                <w:sz w:val="20"/>
                <w:szCs w:val="21"/>
                <w14:ligatures w14:val="none"/>
              </w:rPr>
              <w:t>4</w:t>
            </w:r>
          </w:p>
        </w:tc>
        <w:tc>
          <w:tcPr>
            <w:tcW w:w="2327" w:type="dxa"/>
            <w:vAlign w:val="center"/>
          </w:tcPr>
          <w:p w14:paraId="57A05349">
            <w:pPr>
              <w:widowControl/>
              <w:shd w:val="clear" w:color="auto" w:fill="FFFFFF"/>
              <w:jc w:val="left"/>
              <w:rPr>
                <w:rFonts w:hint="default" w:ascii="宋体" w:hAnsi="宋体" w:eastAsia="宋体" w:cs="宋体"/>
                <w:color w:val="000000"/>
                <w:kern w:val="0"/>
                <w:sz w:val="20"/>
                <w:szCs w:val="21"/>
                <w:lang w:val="en-US" w:eastAsia="zh-CN"/>
                <w14:ligatures w14:val="none"/>
              </w:rPr>
            </w:pPr>
            <w:r>
              <w:rPr>
                <w:rFonts w:hint="eastAsia" w:hAnsi="宋体" w:eastAsia="宋体" w:cs="宋体"/>
                <w:b/>
                <w:kern w:val="0"/>
                <w:sz w:val="24"/>
                <w:szCs w:val="21"/>
                <w14:ligatures w14:val="none"/>
              </w:rPr>
              <w:t>★</w:t>
            </w:r>
            <w:r>
              <w:rPr>
                <w:rFonts w:hint="eastAsia" w:ascii="宋体" w:hAnsi="宋体" w:eastAsia="宋体" w:cs="宋体"/>
                <w:color w:val="000000"/>
                <w:kern w:val="0"/>
                <w:sz w:val="20"/>
                <w:szCs w:val="21"/>
                <w:lang w:val="en-US" w:eastAsia="zh-CN"/>
                <w14:ligatures w14:val="none"/>
              </w:rPr>
              <w:t>服务要求</w:t>
            </w:r>
          </w:p>
        </w:tc>
        <w:tc>
          <w:tcPr>
            <w:tcW w:w="6892" w:type="dxa"/>
            <w:vAlign w:val="center"/>
          </w:tcPr>
          <w:p w14:paraId="0F6FBA2D">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zh-CN" w:eastAsia="zh-CN" w:bidi="ar"/>
                <w14:ligatures w14:val="none"/>
              </w:rPr>
              <w:t>（</w:t>
            </w:r>
            <w:r>
              <w:rPr>
                <w:rFonts w:hint="eastAsia" w:ascii="宋体" w:hAnsi="宋体" w:eastAsia="宋体" w:cs="宋体"/>
                <w:color w:val="000000"/>
                <w:kern w:val="0"/>
                <w:sz w:val="20"/>
                <w:szCs w:val="20"/>
                <w:lang w:val="en-US" w:eastAsia="zh-CN" w:bidi="ar"/>
                <w14:ligatures w14:val="none"/>
              </w:rPr>
              <w:t>1</w:t>
            </w:r>
            <w:r>
              <w:rPr>
                <w:rFonts w:hint="eastAsia" w:ascii="宋体" w:hAnsi="宋体" w:eastAsia="宋体" w:cs="宋体"/>
                <w:color w:val="000000"/>
                <w:kern w:val="0"/>
                <w:sz w:val="20"/>
                <w:szCs w:val="20"/>
                <w:lang w:val="zh-CN" w:eastAsia="zh-CN" w:bidi="ar"/>
                <w14:ligatures w14:val="none"/>
              </w:rPr>
              <w:t>）水土保持验收咨询服务工作：包含但不限于编制水土保持验收总结报告，通过自主验收评审会审查并取得建设项目水土保持设施自主验收备案回执单、完成公示等水务部门要求完成建设项目水土保持验收需完成的所有事项。</w:t>
            </w:r>
          </w:p>
          <w:p w14:paraId="750AFB53">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en-US" w:eastAsia="zh-CN" w:bidi="ar"/>
                <w14:ligatures w14:val="none"/>
              </w:rPr>
              <w:t>（2）</w:t>
            </w:r>
            <w:r>
              <w:rPr>
                <w:rFonts w:hint="eastAsia" w:ascii="宋体" w:hAnsi="宋体" w:eastAsia="宋体" w:cs="宋体"/>
                <w:color w:val="000000"/>
                <w:kern w:val="0"/>
                <w:sz w:val="20"/>
                <w:szCs w:val="20"/>
                <w:lang w:val="zh-CN" w:eastAsia="zh-CN" w:bidi="ar"/>
                <w14:ligatures w14:val="none"/>
              </w:rPr>
              <w:t>乙方提交的水土保持验收报告应当符合国家</w:t>
            </w:r>
            <w:r>
              <w:rPr>
                <w:rFonts w:hint="eastAsia" w:ascii="宋体" w:hAnsi="宋体" w:eastAsia="宋体" w:cs="宋体"/>
                <w:color w:val="000000"/>
                <w:kern w:val="0"/>
                <w:sz w:val="20"/>
                <w:szCs w:val="20"/>
                <w:lang w:val="en-US" w:eastAsia="zh-CN" w:bidi="ar"/>
                <w14:ligatures w14:val="none"/>
              </w:rPr>
              <w:t>及地方</w:t>
            </w:r>
            <w:r>
              <w:rPr>
                <w:rFonts w:hint="eastAsia" w:ascii="宋体" w:hAnsi="宋体" w:eastAsia="宋体" w:cs="宋体"/>
                <w:color w:val="000000"/>
                <w:kern w:val="0"/>
                <w:sz w:val="20"/>
                <w:szCs w:val="20"/>
                <w:lang w:val="zh-CN" w:eastAsia="zh-CN" w:bidi="ar"/>
                <w14:ligatures w14:val="none"/>
              </w:rPr>
              <w:t>现行技术标准、规范、规程和技术条例，以及</w:t>
            </w:r>
            <w:r>
              <w:rPr>
                <w:rFonts w:hint="eastAsia" w:ascii="宋体" w:hAnsi="宋体" w:eastAsia="宋体" w:cs="宋体"/>
                <w:color w:val="000000"/>
                <w:kern w:val="0"/>
                <w:sz w:val="20"/>
                <w:szCs w:val="20"/>
                <w:lang w:val="en-US" w:eastAsia="zh-CN" w:bidi="ar"/>
                <w14:ligatures w14:val="none"/>
              </w:rPr>
              <w:t>当地</w:t>
            </w:r>
            <w:r>
              <w:rPr>
                <w:rFonts w:hint="eastAsia" w:ascii="宋体" w:hAnsi="宋体" w:eastAsia="宋体" w:cs="宋体"/>
                <w:color w:val="000000"/>
                <w:kern w:val="0"/>
                <w:sz w:val="20"/>
                <w:szCs w:val="20"/>
                <w:lang w:val="zh-CN" w:eastAsia="zh-CN" w:bidi="ar"/>
                <w14:ligatures w14:val="none"/>
              </w:rPr>
              <w:t>水利行政主管部门要求，并通过专家审查、取得水土保持验收咨询服务专家审查咨询意见。</w:t>
            </w:r>
          </w:p>
          <w:p w14:paraId="4E0EBA99">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en-US" w:eastAsia="zh-CN" w:bidi="ar"/>
                <w14:ligatures w14:val="none"/>
              </w:rPr>
              <w:t>（</w:t>
            </w:r>
            <w:r>
              <w:rPr>
                <w:rFonts w:hint="eastAsia" w:ascii="宋体" w:hAnsi="宋体" w:cs="宋体"/>
                <w:color w:val="000000"/>
                <w:kern w:val="0"/>
                <w:sz w:val="20"/>
                <w:szCs w:val="20"/>
                <w:lang w:val="en-US" w:eastAsia="zh-CN" w:bidi="ar"/>
                <w14:ligatures w14:val="none"/>
              </w:rPr>
              <w:t>3</w:t>
            </w:r>
            <w:r>
              <w:rPr>
                <w:rFonts w:hint="eastAsia" w:ascii="宋体" w:hAnsi="宋体" w:eastAsia="宋体" w:cs="宋体"/>
                <w:color w:val="000000"/>
                <w:kern w:val="0"/>
                <w:sz w:val="20"/>
                <w:szCs w:val="20"/>
                <w:lang w:val="en-US" w:eastAsia="zh-CN" w:bidi="ar"/>
                <w14:ligatures w14:val="none"/>
              </w:rPr>
              <w:t>）达到国家现行技术标准及本项目合同要求，以上标准有冲突时，以要求较高、较严者为准。</w:t>
            </w:r>
          </w:p>
          <w:p w14:paraId="07E43088">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（4）</w:t>
            </w:r>
            <w:r>
              <w:rPr>
                <w:rFonts w:hint="eastAsia" w:ascii="宋体" w:hAnsi="宋体" w:cs="宋体"/>
                <w:color w:val="000000"/>
                <w:kern w:val="0"/>
                <w:sz w:val="20"/>
                <w:szCs w:val="20"/>
                <w:lang w:val="en-US" w:eastAsia="zh-CN" w:bidi="ar"/>
                <w14:ligatures w14:val="none"/>
              </w:rPr>
              <w:t>通过</w:t>
            </w:r>
            <w:r>
              <w:rPr>
                <w:rFonts w:hint="eastAsia" w:ascii="宋体" w:hAnsi="宋体" w:eastAsia="宋体" w:cs="宋体"/>
                <w:color w:val="000000"/>
                <w:kern w:val="0"/>
                <w:sz w:val="20"/>
                <w:szCs w:val="20"/>
                <w:lang w:val="en-US" w:eastAsia="zh-CN" w:bidi="ar"/>
                <w14:ligatures w14:val="none"/>
              </w:rPr>
              <w:t>相关</w:t>
            </w:r>
            <w:r>
              <w:rPr>
                <w:rFonts w:hint="eastAsia" w:ascii="宋体" w:hAnsi="宋体" w:eastAsia="宋体" w:cs="宋体"/>
                <w:color w:val="000000"/>
                <w:kern w:val="0"/>
                <w:sz w:val="20"/>
                <w:szCs w:val="20"/>
                <w:lang w:val="zh-CN" w:eastAsia="zh-CN" w:bidi="ar"/>
                <w14:ligatures w14:val="none"/>
              </w:rPr>
              <w:t>行政主管部门审查并取得批复性文件。</w:t>
            </w:r>
          </w:p>
        </w:tc>
      </w:tr>
    </w:tbl>
    <w:p w14:paraId="021B3EC8">
      <w:pPr>
        <w:spacing w:line="560" w:lineRule="exact"/>
        <w:ind w:firstLine="640"/>
        <w:rPr>
          <w:rFonts w:hint="eastAsia" w:ascii="仿宋_GB2312" w:eastAsia="仿宋_GB2312"/>
          <w:b/>
          <w:bCs/>
          <w:color w:val="000000"/>
          <w:sz w:val="32"/>
          <w:szCs w:val="32"/>
          <w:lang w:val="en-US" w:eastAsia="zh-CN"/>
        </w:rPr>
      </w:pPr>
    </w:p>
    <w:p w14:paraId="2783D882">
      <w:pPr>
        <w:spacing w:line="560" w:lineRule="exact"/>
        <w:ind w:firstLine="640"/>
        <w:rPr>
          <w:rFonts w:hint="eastAsia" w:ascii="仿宋_GB2312" w:eastAsia="仿宋_GB2312"/>
          <w:b/>
          <w:bCs/>
          <w:color w:val="000000"/>
          <w:sz w:val="32"/>
          <w:szCs w:val="32"/>
          <w:lang w:val="en-US" w:eastAsia="zh-CN"/>
        </w:rPr>
      </w:pPr>
      <w:bookmarkStart w:id="0" w:name="_Toc152042308"/>
      <w:bookmarkStart w:id="1" w:name="_Toc294017670"/>
      <w:bookmarkStart w:id="2" w:name="_Toc152045532"/>
      <w:bookmarkStart w:id="3" w:name="_Toc329876873"/>
      <w:bookmarkStart w:id="4" w:name="_Toc373841013"/>
      <w:bookmarkStart w:id="5" w:name="_Toc439847859"/>
      <w:bookmarkStart w:id="6" w:name="_Toc144974500"/>
      <w:r>
        <w:rPr>
          <w:rFonts w:hint="eastAsia" w:ascii="仿宋_GB2312" w:eastAsia="仿宋_GB2312"/>
          <w:b/>
          <w:bCs/>
          <w:color w:val="000000"/>
          <w:sz w:val="32"/>
          <w:szCs w:val="32"/>
          <w:lang w:val="en-US" w:eastAsia="zh-CN"/>
        </w:rPr>
        <w:t>四、★商务要求</w:t>
      </w:r>
    </w:p>
    <w:p w14:paraId="4748A550">
      <w:r>
        <w:rPr>
          <w:rFonts w:hint="eastAsia"/>
        </w:rPr>
        <w:t xml:space="preserve">1．交货期及地点 </w:t>
      </w:r>
    </w:p>
    <w:p w14:paraId="05D9DD16">
      <w:r>
        <w:rPr>
          <w:rFonts w:hint="eastAsia"/>
        </w:rPr>
        <w:t>(1)</w:t>
      </w:r>
      <w:r>
        <w:rPr>
          <w:rFonts w:hint="eastAsia"/>
        </w:rPr>
        <w:tab/>
      </w:r>
      <w:r>
        <w:rPr>
          <w:rFonts w:hint="eastAsia"/>
        </w:rPr>
        <w:t>交</w:t>
      </w:r>
      <w:r>
        <w:rPr>
          <w:rFonts w:hint="eastAsia" w:ascii="Times New Roman" w:hAnsi="Times New Roman" w:eastAsia="宋体" w:cs="Times New Roman"/>
        </w:rPr>
        <w:t>货期：合同签订生效后，</w:t>
      </w:r>
      <w:r>
        <w:rPr>
          <w:rFonts w:hint="eastAsia" w:ascii="Times New Roman" w:hAnsi="Times New Roman" w:eastAsia="宋体" w:cs="Times New Roman"/>
          <w:lang w:val="zh-CN"/>
        </w:rPr>
        <w:t>应于甲方提供相关资料齐全后</w:t>
      </w:r>
      <w:r>
        <w:rPr>
          <w:rFonts w:hint="eastAsia" w:cs="Times New Roman"/>
          <w:lang w:val="en-US" w:eastAsia="zh-CN"/>
        </w:rPr>
        <w:t>2</w:t>
      </w:r>
      <w:r>
        <w:rPr>
          <w:rFonts w:hint="eastAsia" w:ascii="Times New Roman" w:hAnsi="Times New Roman" w:eastAsia="宋体" w:cs="Times New Roman"/>
          <w:lang w:val="zh-CN"/>
        </w:rPr>
        <w:t>0个工作日完成上述工程</w:t>
      </w:r>
      <w:r>
        <w:rPr>
          <w:rFonts w:hint="eastAsia" w:ascii="宋体" w:hAnsi="宋体" w:eastAsia="宋体" w:cs="宋体"/>
          <w:color w:val="0000FF"/>
          <w:kern w:val="0"/>
          <w:sz w:val="20"/>
          <w:szCs w:val="20"/>
          <w:lang w:val="en-US" w:eastAsia="zh-CN" w:bidi="ar"/>
          <w14:ligatures w14:val="none"/>
        </w:rPr>
        <w:t>水土保持验收咨询服务</w:t>
      </w:r>
      <w:r>
        <w:rPr>
          <w:rFonts w:hint="eastAsia" w:ascii="Times New Roman" w:hAnsi="Times New Roman" w:eastAsia="宋体" w:cs="Times New Roman"/>
          <w:lang w:val="zh-CN"/>
        </w:rPr>
        <w:t>的编制。按并在规定的时间内通过</w:t>
      </w:r>
      <w:r>
        <w:rPr>
          <w:rFonts w:hint="eastAsia" w:ascii="Times New Roman" w:hAnsi="Times New Roman" w:eastAsia="宋体" w:cs="Times New Roman"/>
          <w:lang w:val="en-US" w:eastAsia="zh-CN"/>
        </w:rPr>
        <w:t>相关</w:t>
      </w:r>
      <w:r>
        <w:rPr>
          <w:rFonts w:hint="eastAsia" w:ascii="Times New Roman" w:hAnsi="Times New Roman" w:eastAsia="宋体" w:cs="Times New Roman"/>
          <w:lang w:val="zh-CN"/>
        </w:rPr>
        <w:t>主管部门审查，并取得相关批复文件</w:t>
      </w:r>
      <w:r>
        <w:rPr>
          <w:rFonts w:hint="eastAsia" w:ascii="Times New Roman" w:hAnsi="Times New Roman" w:eastAsia="宋体" w:cs="Times New Roman"/>
        </w:rPr>
        <w:t xml:space="preserve">。 </w:t>
      </w:r>
    </w:p>
    <w:p w14:paraId="4E800D90">
      <w:r>
        <w:rPr>
          <w:rFonts w:hint="eastAsia"/>
        </w:rPr>
        <w:t>(2)</w:t>
      </w:r>
      <w:r>
        <w:rPr>
          <w:rFonts w:hint="eastAsia"/>
        </w:rPr>
        <w:tab/>
      </w:r>
      <w:r>
        <w:rPr>
          <w:rFonts w:hint="eastAsia"/>
        </w:rPr>
        <w:t>交货地点: 四川省妇幼保健院</w:t>
      </w:r>
      <w:r>
        <w:rPr>
          <w:rFonts w:hint="eastAsia"/>
          <w:lang w:val="en-US" w:eastAsia="zh-CN"/>
        </w:rPr>
        <w:t>天府院区</w:t>
      </w:r>
      <w:r>
        <w:rPr>
          <w:rFonts w:hint="eastAsia"/>
        </w:rPr>
        <w:t xml:space="preserve"> </w:t>
      </w:r>
    </w:p>
    <w:p w14:paraId="17A365F2">
      <w:r>
        <w:rPr>
          <w:rFonts w:hint="eastAsia"/>
        </w:rPr>
        <w:t>2．付款方式及履约保证金</w:t>
      </w:r>
    </w:p>
    <w:p w14:paraId="0D4D9D67">
      <w:pPr>
        <w:rPr>
          <w:rFonts w:hint="eastAsia"/>
        </w:rPr>
      </w:pPr>
      <w:r>
        <w:rPr>
          <w:rFonts w:hint="eastAsia"/>
        </w:rPr>
        <w:t>（1）付款方式：</w:t>
      </w:r>
    </w:p>
    <w:p w14:paraId="4D9071F3">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乙方完成项目《</w:t>
      </w:r>
      <w:r>
        <w:rPr>
          <w:rFonts w:hint="eastAsia" w:ascii="Times New Roman" w:hAnsi="Times New Roman" w:eastAsia="宋体" w:cs="Times New Roman"/>
          <w:lang w:val="zh-CN" w:eastAsia="zh-CN"/>
        </w:rPr>
        <w:t>建设项目水土保持验收报告</w:t>
      </w:r>
      <w:r>
        <w:rPr>
          <w:rFonts w:hint="eastAsia" w:ascii="Times New Roman" w:hAnsi="Times New Roman" w:eastAsia="宋体" w:cs="Times New Roman"/>
          <w:lang w:val="en-US" w:eastAsia="zh-CN"/>
        </w:rPr>
        <w:t>》编制，取得评审合格的专家意见、完成主管部门备案</w:t>
      </w:r>
      <w:r>
        <w:rPr>
          <w:rFonts w:hint="eastAsia" w:cs="Times New Roman"/>
          <w:lang w:val="en-US" w:eastAsia="zh-CN"/>
        </w:rPr>
        <w:t>，并取得新相关部门批复（如有）</w:t>
      </w:r>
      <w:r>
        <w:rPr>
          <w:rFonts w:hint="eastAsia" w:ascii="Times New Roman" w:hAnsi="Times New Roman" w:eastAsia="宋体" w:cs="Times New Roman"/>
          <w:lang w:val="en-US" w:eastAsia="zh-CN"/>
        </w:rPr>
        <w:t>，完成</w:t>
      </w:r>
      <w:r>
        <w:rPr>
          <w:rFonts w:hint="eastAsia" w:ascii="Times New Roman" w:hAnsi="Times New Roman" w:eastAsia="宋体" w:cs="Times New Roman"/>
          <w:color w:val="0000FF"/>
          <w:lang w:val="zh-CN" w:eastAsia="zh-CN"/>
        </w:rPr>
        <w:t>建设项目水土保持验</w:t>
      </w:r>
      <w:r>
        <w:rPr>
          <w:rFonts w:hint="eastAsia" w:ascii="Times New Roman" w:hAnsi="Times New Roman" w:eastAsia="宋体" w:cs="Times New Roman"/>
          <w:lang w:val="zh-CN" w:eastAsia="zh-CN"/>
        </w:rPr>
        <w:t>收</w:t>
      </w:r>
      <w:r>
        <w:rPr>
          <w:rFonts w:hint="eastAsia" w:ascii="Times New Roman" w:hAnsi="Times New Roman" w:eastAsia="宋体" w:cs="Times New Roman"/>
          <w:lang w:val="en-US" w:eastAsia="zh-CN"/>
        </w:rPr>
        <w:t>竣工验收主管部门要求的所有工作且有关资料（含电子版）移交甲方确认后，30 个工作日内支付至合同总价的100%。</w:t>
      </w:r>
    </w:p>
    <w:p w14:paraId="659F772E">
      <w:pPr>
        <w:rPr>
          <w:rFonts w:hint="eastAsia" w:cs="Times New Roman"/>
          <w:lang w:val="en-US" w:eastAsia="zh-CN"/>
        </w:rPr>
      </w:pPr>
      <w:r>
        <w:rPr>
          <w:rFonts w:hint="eastAsia"/>
          <w:lang w:val="en-US" w:eastAsia="zh-CN"/>
        </w:rPr>
        <w:t>（2）履约</w:t>
      </w:r>
      <w:r>
        <w:rPr>
          <w:rFonts w:hint="eastAsia" w:cs="Times New Roman"/>
          <w:lang w:val="en-US" w:eastAsia="zh-CN"/>
        </w:rPr>
        <w:t>保证金</w:t>
      </w:r>
    </w:p>
    <w:p w14:paraId="1E810617">
      <w:pPr>
        <w:rPr>
          <w:rFonts w:hint="default" w:cs="Times New Roman"/>
          <w:lang w:val="en-US" w:eastAsia="zh-CN"/>
        </w:rPr>
      </w:pPr>
      <w:r>
        <w:rPr>
          <w:rFonts w:hint="eastAsia" w:cs="Times New Roman"/>
          <w:lang w:val="en-US" w:eastAsia="zh-CN"/>
        </w:rPr>
        <w:t>无</w:t>
      </w:r>
    </w:p>
    <w:p w14:paraId="2369CC3C">
      <w:r>
        <w:rPr>
          <w:rFonts w:hint="eastAsia"/>
          <w:lang w:val="en-US" w:eastAsia="zh-CN"/>
        </w:rPr>
        <w:t>3</w:t>
      </w:r>
      <w:r>
        <w:rPr>
          <w:rFonts w:hint="eastAsia"/>
        </w:rPr>
        <w:t>．报价要求</w:t>
      </w:r>
    </w:p>
    <w:p w14:paraId="2D4A47DB">
      <w:r>
        <w:rPr>
          <w:rFonts w:hint="eastAsia"/>
        </w:rPr>
        <w:t>(1)</w:t>
      </w:r>
      <w:r>
        <w:rPr>
          <w:rFonts w:hint="eastAsia"/>
        </w:rPr>
        <w:tab/>
      </w:r>
      <w:r>
        <w:rPr>
          <w:rFonts w:hint="eastAsia"/>
        </w:rPr>
        <w:t>本次报价包含完成本项目的所有费用，采购人不再额外支付任何费用。</w:t>
      </w:r>
    </w:p>
    <w:p w14:paraId="2C6FF9C1">
      <w:r>
        <w:rPr>
          <w:rFonts w:hint="eastAsia"/>
          <w:lang w:val="en-US" w:eastAsia="zh-CN"/>
        </w:rPr>
        <w:t>4</w:t>
      </w:r>
      <w:r>
        <w:rPr>
          <w:rFonts w:hint="eastAsia"/>
        </w:rPr>
        <w:t>．验收标准</w:t>
      </w:r>
    </w:p>
    <w:p w14:paraId="7376F66D">
      <w:r>
        <w:rPr>
          <w:rFonts w:hint="eastAsia"/>
        </w:rPr>
        <w:t>(1)</w:t>
      </w:r>
      <w:r>
        <w:rPr>
          <w:rFonts w:hint="eastAsia"/>
        </w:rPr>
        <w:tab/>
      </w:r>
      <w:r>
        <w:rPr>
          <w:rFonts w:hint="eastAsia"/>
          <w:lang w:val="en-US" w:eastAsia="zh-CN"/>
        </w:rPr>
        <w:t>检测符合符合项目相关实际，满足国家相关标准要求</w:t>
      </w:r>
      <w:r>
        <w:rPr>
          <w:rFonts w:hint="eastAsia"/>
        </w:rPr>
        <w:t xml:space="preserve">。 </w:t>
      </w:r>
    </w:p>
    <w:p w14:paraId="32095C56">
      <w:pPr>
        <w:rPr>
          <w:rFonts w:hint="eastAsia"/>
        </w:rPr>
      </w:pPr>
      <w:r>
        <w:rPr>
          <w:rFonts w:hint="eastAsia"/>
        </w:rPr>
        <w:t>(2)</w:t>
      </w:r>
      <w:r>
        <w:rPr>
          <w:rFonts w:hint="eastAsia"/>
        </w:rPr>
        <w:tab/>
      </w:r>
      <w:r>
        <w:rPr>
          <w:rFonts w:hint="eastAsia"/>
          <w:lang w:val="en-US" w:eastAsia="zh-CN"/>
        </w:rPr>
        <w:t>检测报告通过相关部门审核</w:t>
      </w:r>
      <w:r>
        <w:rPr>
          <w:rFonts w:hint="eastAsia"/>
        </w:rPr>
        <w:t>。</w:t>
      </w:r>
    </w:p>
    <w:p w14:paraId="3D0A6266">
      <w:r>
        <w:rPr>
          <w:rFonts w:hint="eastAsia"/>
          <w:lang w:val="en-US" w:eastAsia="zh-CN"/>
        </w:rPr>
        <w:t>5</w:t>
      </w:r>
      <w:r>
        <w:rPr>
          <w:rFonts w:hint="eastAsia"/>
        </w:rPr>
        <w:t>．售后服务</w:t>
      </w:r>
    </w:p>
    <w:p w14:paraId="52788442">
      <w:r>
        <w:rPr>
          <w:rFonts w:hint="eastAsia"/>
          <w:lang w:val="en-US" w:eastAsia="zh-CN"/>
        </w:rPr>
        <w:t>自合同签订之日起至相关审批部门审核通过之日内，要求进行相关服务</w:t>
      </w:r>
      <w:r>
        <w:rPr>
          <w:rFonts w:hint="eastAsia"/>
        </w:rPr>
        <w:t>。</w:t>
      </w:r>
    </w:p>
    <w:bookmarkEnd w:id="0"/>
    <w:bookmarkEnd w:id="1"/>
    <w:bookmarkEnd w:id="2"/>
    <w:bookmarkEnd w:id="3"/>
    <w:bookmarkEnd w:id="4"/>
    <w:bookmarkEnd w:id="5"/>
    <w:bookmarkEnd w:id="6"/>
    <w:p w14:paraId="5810DF40">
      <w:pPr>
        <w:spacing w:line="560" w:lineRule="exact"/>
        <w:ind w:firstLine="640"/>
        <w:rPr>
          <w:rFonts w:ascii="黑体" w:hAnsi="黑体" w:eastAsia="黑体"/>
          <w:bCs/>
          <w:color w:val="000000"/>
          <w:sz w:val="32"/>
          <w:szCs w:val="32"/>
        </w:rPr>
      </w:pPr>
      <w:r>
        <w:rPr>
          <w:rFonts w:hint="eastAsia" w:ascii="黑体" w:hAnsi="黑体" w:eastAsia="黑体"/>
          <w:bCs/>
          <w:color w:val="000000"/>
          <w:sz w:val="32"/>
          <w:szCs w:val="32"/>
          <w:lang w:val="en-US" w:eastAsia="zh-CN"/>
        </w:rPr>
        <w:t>五</w:t>
      </w:r>
      <w:r>
        <w:rPr>
          <w:rFonts w:hint="eastAsia" w:ascii="黑体" w:hAnsi="黑体" w:eastAsia="黑体"/>
          <w:bCs/>
          <w:color w:val="000000"/>
          <w:sz w:val="32"/>
          <w:szCs w:val="32"/>
        </w:rPr>
        <w:t>、</w:t>
      </w:r>
      <w:r>
        <w:rPr>
          <w:rFonts w:hint="eastAsia" w:ascii="黑体" w:hAnsi="黑体" w:eastAsia="黑体"/>
          <w:b/>
          <w:bCs/>
          <w:color w:val="000000"/>
          <w:sz w:val="32"/>
          <w:szCs w:val="32"/>
        </w:rPr>
        <w:t>单</w:t>
      </w:r>
      <w:r>
        <w:rPr>
          <w:rFonts w:hint="eastAsia" w:ascii="黑体" w:hAnsi="黑体" w:eastAsia="黑体"/>
          <w:bCs/>
          <w:color w:val="000000"/>
          <w:sz w:val="32"/>
          <w:szCs w:val="32"/>
        </w:rPr>
        <w:t>位要求</w:t>
      </w:r>
    </w:p>
    <w:p w14:paraId="3C6FD67E">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1.参与投标的投标人必须具有独立法人资格；</w:t>
      </w:r>
    </w:p>
    <w:p w14:paraId="4D860937">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2.未处于财产被接管、冻结、破产状态；未处于四川省行政区域内有关行政处罚期间；未处于投标禁止期内；</w:t>
      </w:r>
    </w:p>
    <w:p w14:paraId="349A6967">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3.具有良好的商业信誉和健全的财务会计制度；</w:t>
      </w:r>
    </w:p>
    <w:p w14:paraId="6EC2088A">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4.在人员、设备、资金等方面具有相应的能力；</w:t>
      </w:r>
    </w:p>
    <w:p w14:paraId="62E490A8">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5.本次采购不接受联合体投标；</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光小标宋_CNKI">
    <w:altName w:val="宋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8150">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01BD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8AA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6B372">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576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F460">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1A39"/>
    <w:multiLevelType w:val="multilevel"/>
    <w:tmpl w:val="8F9D1A39"/>
    <w:lvl w:ilvl="0" w:tentative="0">
      <w:start w:val="1"/>
      <w:numFmt w:val="decimal"/>
      <w:lvlText w:val="%1."/>
      <w:lvlJc w:val="left"/>
      <w:pPr>
        <w:tabs>
          <w:tab w:val="left" w:pos="-108"/>
        </w:tabs>
        <w:ind w:left="-42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zk1NDRkNTkxYTliYjE5YmExODRlMDE4NWYyNWUifQ=="/>
  </w:docVars>
  <w:rsids>
    <w:rsidRoot w:val="00A231DE"/>
    <w:rsid w:val="00013654"/>
    <w:rsid w:val="000B7129"/>
    <w:rsid w:val="000D3535"/>
    <w:rsid w:val="001B2C5C"/>
    <w:rsid w:val="00256F7A"/>
    <w:rsid w:val="002610A0"/>
    <w:rsid w:val="0029712D"/>
    <w:rsid w:val="002D73A2"/>
    <w:rsid w:val="00300F03"/>
    <w:rsid w:val="00351774"/>
    <w:rsid w:val="00395A59"/>
    <w:rsid w:val="003D1CA5"/>
    <w:rsid w:val="00403CE8"/>
    <w:rsid w:val="004F2D2C"/>
    <w:rsid w:val="00615AED"/>
    <w:rsid w:val="00673992"/>
    <w:rsid w:val="006C43D4"/>
    <w:rsid w:val="00790113"/>
    <w:rsid w:val="007A101B"/>
    <w:rsid w:val="0096178B"/>
    <w:rsid w:val="00994C75"/>
    <w:rsid w:val="00997597"/>
    <w:rsid w:val="00A13A7E"/>
    <w:rsid w:val="00A231DE"/>
    <w:rsid w:val="00A35F21"/>
    <w:rsid w:val="00AD0AA0"/>
    <w:rsid w:val="00B55659"/>
    <w:rsid w:val="00B77683"/>
    <w:rsid w:val="00B8205C"/>
    <w:rsid w:val="00BF7086"/>
    <w:rsid w:val="00C77FCF"/>
    <w:rsid w:val="00C84C9E"/>
    <w:rsid w:val="00CA247D"/>
    <w:rsid w:val="00D06B3E"/>
    <w:rsid w:val="00D31EF7"/>
    <w:rsid w:val="00DA40A1"/>
    <w:rsid w:val="021F7DC1"/>
    <w:rsid w:val="03120A31"/>
    <w:rsid w:val="04E80761"/>
    <w:rsid w:val="060F572C"/>
    <w:rsid w:val="076F6AE6"/>
    <w:rsid w:val="088766C0"/>
    <w:rsid w:val="0995115D"/>
    <w:rsid w:val="09E55641"/>
    <w:rsid w:val="0BAB6B6A"/>
    <w:rsid w:val="106206CC"/>
    <w:rsid w:val="11DA3D05"/>
    <w:rsid w:val="13021412"/>
    <w:rsid w:val="156E5E9C"/>
    <w:rsid w:val="15FF197D"/>
    <w:rsid w:val="16856CA3"/>
    <w:rsid w:val="18023FB5"/>
    <w:rsid w:val="1932277F"/>
    <w:rsid w:val="1AC612CA"/>
    <w:rsid w:val="1B012C5C"/>
    <w:rsid w:val="1BB624F0"/>
    <w:rsid w:val="203B5C5F"/>
    <w:rsid w:val="21282395"/>
    <w:rsid w:val="21A12EBA"/>
    <w:rsid w:val="22E471B1"/>
    <w:rsid w:val="232B0864"/>
    <w:rsid w:val="239948FE"/>
    <w:rsid w:val="24056520"/>
    <w:rsid w:val="24D75903"/>
    <w:rsid w:val="255D3B83"/>
    <w:rsid w:val="29D3130E"/>
    <w:rsid w:val="29DB6414"/>
    <w:rsid w:val="2A684813"/>
    <w:rsid w:val="2C2B3683"/>
    <w:rsid w:val="2CB0112C"/>
    <w:rsid w:val="2CD41899"/>
    <w:rsid w:val="2D144117"/>
    <w:rsid w:val="2FC62375"/>
    <w:rsid w:val="305C7A9C"/>
    <w:rsid w:val="308B2942"/>
    <w:rsid w:val="32516F41"/>
    <w:rsid w:val="3349228A"/>
    <w:rsid w:val="33685E6B"/>
    <w:rsid w:val="34A02734"/>
    <w:rsid w:val="34B617D8"/>
    <w:rsid w:val="35301D0A"/>
    <w:rsid w:val="36FD75C1"/>
    <w:rsid w:val="37264E39"/>
    <w:rsid w:val="38690EBB"/>
    <w:rsid w:val="3B3F778A"/>
    <w:rsid w:val="3BC96A15"/>
    <w:rsid w:val="3CC60313"/>
    <w:rsid w:val="3DDD4CDA"/>
    <w:rsid w:val="3EEA2F2A"/>
    <w:rsid w:val="405D61C4"/>
    <w:rsid w:val="406B6BFC"/>
    <w:rsid w:val="452F1464"/>
    <w:rsid w:val="45A546C7"/>
    <w:rsid w:val="46F22268"/>
    <w:rsid w:val="478F0B12"/>
    <w:rsid w:val="490F3BD6"/>
    <w:rsid w:val="4BB723FD"/>
    <w:rsid w:val="4C8B3E82"/>
    <w:rsid w:val="4E343A17"/>
    <w:rsid w:val="4F2A1121"/>
    <w:rsid w:val="4F934F18"/>
    <w:rsid w:val="50AD2922"/>
    <w:rsid w:val="51EC68D0"/>
    <w:rsid w:val="52557D27"/>
    <w:rsid w:val="54331052"/>
    <w:rsid w:val="54992FD0"/>
    <w:rsid w:val="54DF6509"/>
    <w:rsid w:val="570A6D6C"/>
    <w:rsid w:val="572B0141"/>
    <w:rsid w:val="57853398"/>
    <w:rsid w:val="57F64934"/>
    <w:rsid w:val="58B55EFF"/>
    <w:rsid w:val="598D75DA"/>
    <w:rsid w:val="5C8D5A42"/>
    <w:rsid w:val="5D9A370D"/>
    <w:rsid w:val="5FDB04D8"/>
    <w:rsid w:val="60904C31"/>
    <w:rsid w:val="614F2FC1"/>
    <w:rsid w:val="61671270"/>
    <w:rsid w:val="617A5F38"/>
    <w:rsid w:val="61F45CEA"/>
    <w:rsid w:val="62DB2A06"/>
    <w:rsid w:val="63312626"/>
    <w:rsid w:val="635D7461"/>
    <w:rsid w:val="63F63329"/>
    <w:rsid w:val="64354398"/>
    <w:rsid w:val="6843618B"/>
    <w:rsid w:val="68550B65"/>
    <w:rsid w:val="69AC5E6E"/>
    <w:rsid w:val="6F60286E"/>
    <w:rsid w:val="70687184"/>
    <w:rsid w:val="716D5171"/>
    <w:rsid w:val="738C0023"/>
    <w:rsid w:val="752D3395"/>
    <w:rsid w:val="75CD54D4"/>
    <w:rsid w:val="76237D28"/>
    <w:rsid w:val="76DF08BF"/>
    <w:rsid w:val="78592C44"/>
    <w:rsid w:val="78941235"/>
    <w:rsid w:val="78BA4923"/>
    <w:rsid w:val="78DB5FB3"/>
    <w:rsid w:val="7A4E10D6"/>
    <w:rsid w:val="7B29572F"/>
    <w:rsid w:val="7B5E635F"/>
    <w:rsid w:val="7CCB5FB8"/>
    <w:rsid w:val="7CFC4880"/>
    <w:rsid w:val="7E745D91"/>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0"/>
      <w:szCs w:val="24"/>
    </w:rPr>
  </w:style>
  <w:style w:type="paragraph" w:styleId="3">
    <w:name w:val="Body Text Indent"/>
    <w:basedOn w:val="1"/>
    <w:link w:val="15"/>
    <w:semiHidden/>
    <w:unhideWhenUsed/>
    <w:qFormat/>
    <w:uiPriority w:val="99"/>
    <w:pPr>
      <w:spacing w:after="120"/>
      <w:ind w:left="420" w:leftChars="200"/>
    </w:pPr>
  </w:style>
  <w:style w:type="paragraph" w:styleId="5">
    <w:name w:val="Body Text"/>
    <w:basedOn w:val="1"/>
    <w:link w:val="14"/>
    <w:unhideWhenUsed/>
    <w:qFormat/>
    <w:uiPriority w:val="99"/>
    <w:pPr>
      <w:spacing w:after="120"/>
    </w:pPr>
  </w:style>
  <w:style w:type="paragraph" w:styleId="6">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able of figures"/>
    <w:basedOn w:val="1"/>
    <w:next w:val="1"/>
    <w:qFormat/>
    <w:uiPriority w:val="0"/>
    <w:pPr>
      <w:spacing w:line="240" w:lineRule="auto"/>
      <w:ind w:left="200" w:leftChars="200" w:hanging="200" w:hangingChars="200"/>
    </w:pPr>
    <w:rPr>
      <w:rFonts w:ascii="Calibri" w:hAnsi="Calibri"/>
      <w:szCs w:val="22"/>
    </w:rPr>
  </w:style>
  <w:style w:type="paragraph" w:styleId="9">
    <w:name w:val="Normal (Web)"/>
    <w:basedOn w:val="1"/>
    <w:unhideWhenUsed/>
    <w:qFormat/>
    <w:uiPriority w:val="99"/>
    <w:pPr>
      <w:widowControl/>
      <w:spacing w:before="150" w:after="150" w:line="240" w:lineRule="auto"/>
      <w:ind w:firstLine="0" w:firstLineChars="0"/>
      <w:jc w:val="left"/>
    </w:pPr>
    <w:rPr>
      <w:rFonts w:ascii="宋体" w:hAnsi="宋体" w:cs="宋体"/>
      <w:kern w:val="0"/>
      <w:sz w:val="24"/>
    </w:rPr>
  </w:style>
  <w:style w:type="table" w:styleId="11">
    <w:name w:val="Table Grid"/>
    <w:basedOn w:val="10"/>
    <w:unhideWhenUsed/>
    <w:qFormat/>
    <w:uiPriority w:val="99"/>
    <w:pPr>
      <w:widowControl w:val="0"/>
      <w:jc w:val="both"/>
    </w:pPr>
    <w:rPr>
      <w:rFonts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正文文本 Char"/>
    <w:basedOn w:val="12"/>
    <w:link w:val="5"/>
    <w:qFormat/>
    <w:uiPriority w:val="99"/>
    <w:rPr>
      <w:rFonts w:ascii="Times New Roman" w:hAnsi="Times New Roman" w:eastAsia="宋体" w:cs="Times New Roman"/>
      <w:szCs w:val="24"/>
    </w:rPr>
  </w:style>
  <w:style w:type="character" w:customStyle="1" w:styleId="15">
    <w:name w:val="正文文本缩进 Char"/>
    <w:basedOn w:val="12"/>
    <w:link w:val="3"/>
    <w:semiHidden/>
    <w:qFormat/>
    <w:uiPriority w:val="99"/>
    <w:rPr>
      <w:rFonts w:ascii="Times New Roman" w:hAnsi="Times New Roman" w:eastAsia="宋体" w:cs="Times New Roman"/>
      <w:szCs w:val="24"/>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7">
    <w:name w:val="标题 3 Char"/>
    <w:basedOn w:val="12"/>
    <w:link w:val="4"/>
    <w:semiHidden/>
    <w:qFormat/>
    <w:uiPriority w:val="9"/>
    <w:rPr>
      <w:rFonts w:ascii="Times New Roman" w:hAnsi="Times New Roman" w:eastAsia="宋体" w:cs="Times New Roman"/>
      <w:b/>
      <w:bCs/>
      <w:sz w:val="32"/>
      <w:szCs w:val="32"/>
    </w:rPr>
  </w:style>
  <w:style w:type="paragraph" w:styleId="18">
    <w:name w:val="List Paragraph"/>
    <w:basedOn w:val="1"/>
    <w:qFormat/>
    <w:uiPriority w:val="34"/>
    <w:pPr>
      <w:ind w:firstLine="420"/>
    </w:pPr>
  </w:style>
  <w:style w:type="character" w:customStyle="1" w:styleId="19">
    <w:name w:val="页眉 Char"/>
    <w:basedOn w:val="12"/>
    <w:link w:val="7"/>
    <w:qFormat/>
    <w:uiPriority w:val="99"/>
    <w:rPr>
      <w:rFonts w:ascii="Times New Roman" w:hAnsi="Times New Roman" w:eastAsia="宋体" w:cs="Times New Roman"/>
      <w:sz w:val="18"/>
      <w:szCs w:val="18"/>
    </w:rPr>
  </w:style>
  <w:style w:type="character" w:customStyle="1" w:styleId="20">
    <w:name w:val="页脚 Char"/>
    <w:basedOn w:val="12"/>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7</Pages>
  <Words>1435</Words>
  <Characters>1512</Characters>
  <Lines>15</Lines>
  <Paragraphs>4</Paragraphs>
  <TotalTime>22</TotalTime>
  <ScaleCrop>false</ScaleCrop>
  <LinksUpToDate>false</LinksUpToDate>
  <CharactersWithSpaces>1523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2022-05-30T06:22:00Z</dcterms:created>
  <dc:creator>吴京珉</dc:creator>
  <cp:lastModifiedBy>平淡</cp:lastModifiedBy>
  <dcterms:modified xsi:type="dcterms:W3CDTF">2026-05-13T07:21:22Z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3E23C7747B1A488DBF158DC1F496026B</vt:lpwstr>
  </property>
  <property fmtid="{D5CDD505-2E9C-101B-9397-08002B2CF9AE}" pid="4" name="KSOTemplateDocerSaveRecord">
    <vt:lpwstr>eyJoZGlkIjoiMmYyZjVkMWNlYWY3ZTcwNjMyODVmNjA2YWNkZTE1MTQiLCJ1c2VySWQiOiIzMzk1MDY4NTYifQ==</vt:lpwstr>
  </property>
</Properties>
</file>