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附件1</w:t>
      </w:r>
      <w:r>
        <w:rPr>
          <w:rFonts w:hint="eastAsia" w:ascii="宋体" w:hAnsi="宋体" w:eastAsia="宋体" w:cs="宋体"/>
          <w:b/>
          <w:bCs/>
          <w:i w:val="0"/>
          <w:caps w:val="0"/>
          <w:color w:val="auto"/>
          <w:spacing w:val="0"/>
          <w:w w:val="100"/>
          <w:sz w:val="24"/>
          <w:szCs w:val="24"/>
          <w:highlight w:val="none"/>
          <w:lang w:val="en-US" w:eastAsia="zh-CN"/>
        </w:rPr>
        <w:t xml:space="preserve"> 采购需求</w:t>
      </w: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b/>
          <w:bCs/>
          <w:sz w:val="24"/>
          <w:szCs w:val="24"/>
        </w:rPr>
      </w:pPr>
      <w:r>
        <w:rPr>
          <w:rFonts w:hint="eastAsia" w:ascii="宋体" w:hAnsi="宋体" w:eastAsia="宋体" w:cs="宋体"/>
          <w:b/>
          <w:bCs/>
          <w:sz w:val="24"/>
          <w:szCs w:val="24"/>
        </w:rPr>
        <w:t>一、概况</w:t>
      </w: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sz w:val="24"/>
          <w:szCs w:val="24"/>
        </w:rPr>
        <w:t>1.项目名称：</w:t>
      </w:r>
      <w:r>
        <w:rPr>
          <w:rFonts w:hint="eastAsia" w:ascii="宋体" w:hAnsi="宋体" w:cs="宋体"/>
          <w:i w:val="0"/>
          <w:iCs w:val="0"/>
          <w:caps w:val="0"/>
          <w:color w:val="auto"/>
          <w:spacing w:val="0"/>
          <w:sz w:val="24"/>
          <w:szCs w:val="24"/>
          <w:shd w:val="clear" w:fill="FFFFFF"/>
          <w:lang w:val="en-US" w:eastAsia="zh-CN"/>
        </w:rPr>
        <w:t>2026年发电机维保及租赁项目</w:t>
      </w:r>
      <w:r>
        <w:rPr>
          <w:rFonts w:hint="eastAsia" w:ascii="宋体" w:hAnsi="宋体" w:cs="宋体"/>
          <w:i w:val="0"/>
          <w:iCs w:val="0"/>
          <w:caps w:val="0"/>
          <w:color w:val="auto"/>
          <w:spacing w:val="0"/>
          <w:sz w:val="24"/>
          <w:szCs w:val="24"/>
          <w:shd w:val="clear" w:fill="FFFFFF"/>
          <w:lang w:eastAsia="zh-CN"/>
        </w:rPr>
        <w:t>。</w:t>
      </w:r>
    </w:p>
    <w:p>
      <w:pPr>
        <w:keepNext w:val="0"/>
        <w:keepLines w:val="0"/>
        <w:pageBreakBefore w:val="0"/>
        <w:widowControl/>
        <w:kinsoku/>
        <w:overflowPunct/>
        <w:topLinePunct w:val="0"/>
        <w:bidi w:val="0"/>
        <w:spacing w:line="360" w:lineRule="auto"/>
        <w:ind w:firstLine="566"/>
        <w:jc w:val="left"/>
        <w:rPr>
          <w:rFonts w:hint="eastAsia" w:ascii="宋体" w:hAnsi="宋体" w:eastAsia="宋体" w:cs="宋体"/>
          <w:sz w:val="24"/>
          <w:szCs w:val="24"/>
          <w:lang w:eastAsia="zh-CN"/>
        </w:rPr>
      </w:pPr>
      <w:r>
        <w:rPr>
          <w:rFonts w:hint="eastAsia" w:ascii="宋体" w:hAnsi="宋体" w:eastAsia="宋体" w:cs="宋体"/>
          <w:sz w:val="24"/>
          <w:szCs w:val="24"/>
        </w:rPr>
        <w:t>2.项目位置：成都市武侯区沙堰西二街290号</w:t>
      </w:r>
      <w:r>
        <w:rPr>
          <w:rFonts w:hint="eastAsia" w:ascii="宋体" w:hAnsi="宋体" w:cs="宋体"/>
          <w:sz w:val="24"/>
          <w:szCs w:val="24"/>
          <w:lang w:eastAsia="zh-CN"/>
        </w:rPr>
        <w:t>、</w:t>
      </w:r>
      <w:r>
        <w:rPr>
          <w:rFonts w:hint="eastAsia" w:ascii="宋体" w:hAnsi="宋体" w:eastAsia="宋体" w:cs="宋体"/>
          <w:sz w:val="24"/>
          <w:szCs w:val="24"/>
        </w:rPr>
        <w:t>成都市</w:t>
      </w:r>
      <w:r>
        <w:rPr>
          <w:rFonts w:hint="eastAsia" w:ascii="宋体" w:hAnsi="宋体" w:cs="宋体"/>
          <w:sz w:val="24"/>
          <w:szCs w:val="24"/>
          <w:lang w:val="en-US" w:eastAsia="zh-CN"/>
        </w:rPr>
        <w:t>金牛区</w:t>
      </w:r>
      <w:r>
        <w:rPr>
          <w:rFonts w:hint="eastAsia" w:ascii="宋体" w:hAnsi="宋体" w:eastAsia="宋体" w:cs="宋体"/>
          <w:sz w:val="24"/>
          <w:szCs w:val="24"/>
        </w:rPr>
        <w:t>抚琴西路338号</w:t>
      </w:r>
      <w:r>
        <w:rPr>
          <w:rFonts w:hint="eastAsia" w:ascii="宋体" w:hAnsi="宋体" w:cs="宋体"/>
          <w:sz w:val="24"/>
          <w:szCs w:val="24"/>
          <w:lang w:eastAsia="zh-CN"/>
        </w:rPr>
        <w:t>、</w:t>
      </w:r>
      <w:r>
        <w:rPr>
          <w:rFonts w:hint="eastAsia" w:ascii="宋体" w:hAnsi="宋体" w:eastAsia="宋体" w:cs="宋体"/>
          <w:sz w:val="24"/>
          <w:szCs w:val="24"/>
        </w:rPr>
        <w:t>成都市双流区岐黄二路1515号</w:t>
      </w:r>
      <w:r>
        <w:rPr>
          <w:rFonts w:hint="eastAsia" w:ascii="宋体" w:hAnsi="宋体" w:cs="宋体"/>
          <w:sz w:val="24"/>
          <w:szCs w:val="24"/>
          <w:lang w:eastAsia="zh-CN"/>
        </w:rPr>
        <w:t>。</w:t>
      </w:r>
    </w:p>
    <w:p>
      <w:pPr>
        <w:keepNext w:val="0"/>
        <w:keepLines w:val="0"/>
        <w:pageBreakBefore w:val="0"/>
        <w:widowControl/>
        <w:kinsoku/>
        <w:overflowPunct/>
        <w:topLinePunct w:val="0"/>
        <w:bidi w:val="0"/>
        <w:spacing w:line="360" w:lineRule="auto"/>
        <w:ind w:firstLine="566"/>
        <w:jc w:val="left"/>
        <w:rPr>
          <w:rFonts w:hint="eastAsia" w:ascii="宋体" w:hAnsi="宋体" w:cs="宋体"/>
          <w:sz w:val="24"/>
          <w:szCs w:val="24"/>
          <w:lang w:eastAsia="zh-CN"/>
        </w:rPr>
      </w:pPr>
      <w:r>
        <w:rPr>
          <w:rFonts w:hint="eastAsia" w:ascii="宋体" w:hAnsi="宋体" w:eastAsia="宋体" w:cs="宋体"/>
          <w:sz w:val="24"/>
          <w:szCs w:val="24"/>
        </w:rPr>
        <w:t>3.区域范围：</w:t>
      </w:r>
      <w:r>
        <w:rPr>
          <w:rFonts w:hint="eastAsia" w:ascii="宋体" w:hAnsi="宋体" w:eastAsia="宋体" w:cs="宋体"/>
          <w:sz w:val="24"/>
          <w:szCs w:val="24"/>
          <w:lang w:val="en-US" w:eastAsia="zh-CN"/>
        </w:rPr>
        <w:t>晋阳</w:t>
      </w:r>
      <w:r>
        <w:rPr>
          <w:rFonts w:hint="eastAsia" w:ascii="宋体" w:hAnsi="宋体" w:eastAsia="宋体" w:cs="宋体"/>
          <w:sz w:val="24"/>
          <w:szCs w:val="24"/>
        </w:rPr>
        <w:t>院区、抚琴院区</w:t>
      </w:r>
      <w:r>
        <w:rPr>
          <w:rFonts w:hint="eastAsia" w:ascii="宋体" w:hAnsi="宋体" w:cs="宋体"/>
          <w:sz w:val="24"/>
          <w:szCs w:val="24"/>
          <w:lang w:eastAsia="zh-CN"/>
        </w:rPr>
        <w:t>、</w:t>
      </w:r>
      <w:r>
        <w:rPr>
          <w:rFonts w:hint="eastAsia" w:ascii="宋体" w:hAnsi="宋体" w:eastAsia="宋体" w:cs="宋体"/>
          <w:sz w:val="24"/>
          <w:szCs w:val="24"/>
        </w:rPr>
        <w:t>天府院区</w:t>
      </w:r>
      <w:r>
        <w:rPr>
          <w:rFonts w:hint="eastAsia" w:ascii="宋体" w:hAnsi="宋体" w:cs="宋体"/>
          <w:sz w:val="24"/>
          <w:szCs w:val="24"/>
          <w:lang w:eastAsia="zh-CN"/>
        </w:rPr>
        <w:t>。</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二、维保范围</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晋阳院区一期康明斯500KW、沃尔沃80KW，晋阳院区二期迪赛尔1200KW，抚琴院区沃尔沃120KW，天府院区广西玉柴1200KW发电机维护保养：其中晋阳院区一期、抚琴院区、天府院区机组投入使用距上一次维护保养已过超过2年，晋阳院区二期发电机组需要带负荷测试，所有机组按照机组出厂使用保养手册要求，需要设备维保厂家对‘三清三滤’及机油、蓄电池进行更换保养。</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包括但不限于以下服务：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1、发电机组及控制系统的维修、</w:t>
      </w:r>
      <w:bookmarkStart w:id="0" w:name="OLE_LINK4"/>
      <w:r>
        <w:rPr>
          <w:rFonts w:hint="eastAsia" w:ascii="宋体" w:hAnsi="宋体" w:eastAsia="宋体" w:cs="宋体"/>
          <w:sz w:val="24"/>
          <w:szCs w:val="24"/>
          <w:lang w:val="en-US" w:eastAsia="zh-CN"/>
        </w:rPr>
        <w:t>维护及保养服务</w:t>
      </w:r>
      <w:bookmarkEnd w:id="0"/>
      <w:r>
        <w:rPr>
          <w:rFonts w:hint="eastAsia" w:ascii="宋体" w:hAnsi="宋体" w:eastAsia="宋体" w:cs="宋体"/>
          <w:sz w:val="24"/>
          <w:szCs w:val="24"/>
          <w:lang w:val="en-US" w:eastAsia="zh-CN"/>
        </w:rPr>
        <w:t>；</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2、供油管路硬件维修、维护及保养服务；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3、进排风设施硬件维修、维护、保养服务； </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4、发电机房装饰装修硬件维修、维护、保养服务；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5、环境净化相关设施设备硬件维护、保养服务；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6、提供柴油发电机组常用耗材，并及时更换服务；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7、上述范围内设备、设施的故障应急处置服务。</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备注：高压开关柜及高压电缆不在服务范围之内。</w:t>
      </w:r>
    </w:p>
    <w:p>
      <w:pPr>
        <w:pStyle w:val="3"/>
        <w:ind w:firstLine="482" w:firstLineChars="200"/>
        <w:rPr>
          <w:rFonts w:hint="eastAsia" w:ascii="宋体" w:hAnsi="宋体" w:eastAsia="宋体" w:cs="宋体"/>
          <w:b/>
          <w:bCs/>
          <w:kern w:val="2"/>
          <w:sz w:val="24"/>
          <w:szCs w:val="24"/>
          <w:lang w:val="en-US" w:eastAsia="zh-CN" w:bidi="ar-SA"/>
        </w:rPr>
      </w:pPr>
      <w:bookmarkStart w:id="1" w:name="_Toc15059420"/>
      <w:bookmarkStart w:id="2" w:name="_Toc89675146"/>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三、保养方案与保养要求</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 服务范围与频率</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a.月度巡检：</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1、每个月定期检测机运行情况；</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2、检查水位、油位一次；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3、清理机组外表面；</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4、检查柴油箱油量是否足够；</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5、检查燃油是否漏油，机油是否漏油，检查燃油、机油及机油滤清器是否符合要求；</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6、检查调速制杆是否灵活、润滑各联接点；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7、更换冷却水，更换前后测量PH值（正常值为7.5-9），并做好测量记录，必要时投药处理；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8、检查风扇皮带及充电机皮带的张紧度，必要时调整；</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9、配合电工作应急发电试验，检查柴油机运转时各仪表读数及温度、响度是否正常，并做好运行记录。</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b.半年度保养：</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1、检查空气流阻指示器，显示红色时清洁空气滤清器；</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2、放出柴油积水，清洗第一级柴油过滤器；</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3、必要注意润滑风扇皮带轮及皮带张紧轮轴承；</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4、检查超速机械保护装置润滑油位，不足时加油；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5、检查外部主要连接螺栓的紧固情况。</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c.年度保养与测试：</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1、配合电工进行并联带负荷运转，检查运转情况；</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2、配合电工模拟试验各安全保护装置的性能；</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3、测检轴线、开档，并做好记录；</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4、拆检查盖观察检查轴及缸筒情况；</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5、投药清洗冷却系统；</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6、检查机油质量，必须时更换机油；</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7、清洗柴油过滤器；</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8、清洗机油过滤器；</w:t>
      </w:r>
    </w:p>
    <w:p>
      <w:pPr>
        <w:pStyle w:val="5"/>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d.应急维修服务：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1、提供7×24小时故障应急响应服务。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2、响应时间：接到报修电话后，技术人员30分钟内响应，2小时内抵达现场。</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3、故障修复：一般故障8小时内解决；重大复杂故障提供临时供电方案并持续维修直至彻底解决。</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2.其他服务：</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带负荷测试：每年对所有机组至少进行一次不低于额定功率70%的带负荷测试（至少1小时），并出具权威检测报告。</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3.备件供应：</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提供原厂或同等及以上品质的认证备件，报价应明确品牌、型号、质保期。</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4.发电机租赁：</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应提供紧急发电机组租赁方案，明确设备型号、功率、进场时间、燃料提供方式及费用构成。</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母线检测：采用热成像仪等专业设备对发电机输出母线、接口等进行检测，出具检测报告并提出整改建议。</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四、 具体保养内容与技术标准</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 润滑系统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机油更换：必须使用符合原厂标准的CI-4或更高级别的15W-40柴油机机油。</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机油滤清器更换：更换原厂或国际知名品牌（如弗勒 Fleetguard、博世 Bosch等）滤清器。</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标准：更换后机油液位、油压需符合原厂技术规范，无渗漏现象。</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（二） 燃油系统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柴油滤清器更换：更换双级（粗、精）燃油滤清器。</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油水分离器：排放分离器中的水分，检查其功能有效性。</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标准：确保发动机启动顺畅，无因燃油系统引起的功率下降或冒黑烟现象。</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（三） 进气系统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空气滤清器：清洁主滤芯，检查安全滤芯。如主滤芯损坏或达到更换周期，必须更换。</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标准：安装后需确保密封良好，无短路进气现象。用仪表检测进气阻力应在标准值内。</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（四） 冷却系统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冷却液：检查冷却液液位、冰点及pH值。如液位不足，添加符合要求的防冻防锈冷却液；如品质劣化，建议更换。</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散热器：清洗散热器外部翅片，确保无柳絮、灰尘堵塞，保证通风顺畅。</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标准：发动机运行温度稳定在标准范围内。</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（五） 电气系统</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蓄电池：</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检查电压、电解液比重和液位（免维护电池检查观测孔）。</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清洁电桩头并涂抹防腐膏。</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如需要更换，新电池必须符合招标文件要求的规格（12V/200Ah），并提供不少于2年的质保。</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充电机：检查充电机工作状态，确保其能正常为电池充电。</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控制系统：检查控制器参数设置、报警记录，模拟测试各类报警功能是否正常。</w:t>
      </w:r>
    </w:p>
    <w:p>
      <w:pPr>
        <w:pStyle w:val="4"/>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（六） 动力系统与联控功能</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传动机构：检查风扇皮带、充电机皮带的张紧度与磨损情况，必要时调整或更换。</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自动转换开关（ATS）：模拟市电故障，测试发电机自动启动、自动合闸、市电恢复后自动切换及停机功能。测试时间、延时设置需符合医院供电需求。</w:t>
      </w:r>
    </w:p>
    <w:p>
      <w:pPr>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带负荷测试：使用专业负载箱进行测试，记录运行数据（电压、频率、功率、油压、水温、排温等），生成带曲线图的正式测试报告，并分析机组性能状态。</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w:t>
      </w:r>
      <w:r>
        <w:rPr>
          <w:rFonts w:hint="eastAsia" w:ascii="宋体" w:hAnsi="宋体" w:eastAsia="宋体" w:cs="宋体"/>
          <w:b/>
          <w:bCs/>
          <w:kern w:val="2"/>
          <w:sz w:val="24"/>
          <w:szCs w:val="24"/>
          <w:lang w:val="en-US" w:eastAsia="zh-CN" w:bidi="ar-SA"/>
        </w:rPr>
        <w:t>五、 文档与报告要求</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1、每次服务后需提供详细的中文版《维护保养报告》，内容包括工作内容、更换配件清单（品牌型号）、运行参数记录、发现的问题及处理建议，并由院方签字确认。</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2、每年提供《年度维护总结报告》，对全年机组健康状况进行评估，提出下一年度维护建议。</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3、所有更换的备件需提供出厂合格证明或质保文件。</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4、带负荷测试报告必须数据详实、图表清晰，有明确“合格/不合格”的结论。</w:t>
      </w:r>
    </w:p>
    <w:p>
      <w:pPr>
        <w:pStyle w:val="3"/>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 验收标准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1、所有保养及维修工作完成后，机组需一次性启动成功。</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2、机组空载、带载运行平稳，各项参数（电压、频率、波形等）符合GB/T 2820、ISO 8528等国家及国际标准。</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3、自动功能切换正常，无故障报警。</w:t>
      </w:r>
    </w:p>
    <w:p>
      <w:pPr>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4、现场整洁，无油污、杂物遗留。</w:t>
      </w:r>
    </w:p>
    <w:p>
      <w:pPr>
        <w:ind w:firstLine="480" w:firstLineChars="200"/>
        <w:rPr>
          <w:rFonts w:hint="eastAsia"/>
        </w:rPr>
      </w:pPr>
      <w:r>
        <w:rPr>
          <w:rFonts w:hint="eastAsia" w:ascii="宋体" w:hAnsi="宋体" w:eastAsia="宋体" w:cs="宋体"/>
          <w:b w:val="0"/>
          <w:bCs w:val="0"/>
          <w:kern w:val="2"/>
          <w:sz w:val="24"/>
          <w:szCs w:val="24"/>
          <w:lang w:val="en-US" w:eastAsia="zh-CN" w:bidi="ar-SA"/>
        </w:rPr>
        <w:t>5、文档资料齐全、准确、有效。</w:t>
      </w:r>
    </w:p>
    <w:p>
      <w:pPr>
        <w:pStyle w:val="2"/>
      </w:pPr>
    </w:p>
    <w:bookmarkEnd w:id="1"/>
    <w:bookmarkEnd w:id="2"/>
    <w:p>
      <w:pPr>
        <w:spacing w:line="440" w:lineRule="exact"/>
        <w:ind w:firstLine="487" w:firstLineChars="202"/>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、本项目最高限价：</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0000</w:t>
      </w:r>
      <w:r>
        <w:rPr>
          <w:rFonts w:hint="eastAsia" w:ascii="宋体" w:hAnsi="宋体" w:cs="宋体"/>
          <w:b/>
          <w:bCs/>
          <w:sz w:val="24"/>
          <w:szCs w:val="24"/>
          <w:lang w:val="en-US" w:eastAsia="zh-CN"/>
        </w:rPr>
        <w:t>元/年。服务期限：三年。</w:t>
      </w:r>
    </w:p>
    <w:p>
      <w:pPr>
        <w:spacing w:line="440" w:lineRule="exact"/>
        <w:ind w:firstLine="487" w:firstLineChars="202"/>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采购方式。</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评审采用综合评分法。经磋商确定最终采购需求和提交最后报价的供应商后，由磋商小组采用综合评分法对提交最后报价的供应商的响应文件和最后报价进行综合评分。综合评分法，是指响应文件满足采购文件全部实质性要求且按评审因素的量化指标评审得分最高的供应商为成交候选供应商的评审方法。</w:t>
      </w:r>
    </w:p>
    <w:p>
      <w:pPr>
        <w:spacing w:line="440" w:lineRule="exact"/>
        <w:ind w:firstLine="487" w:firstLineChars="20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★九、商务要求：</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1.服务期限：</w:t>
      </w:r>
      <w:r>
        <w:rPr>
          <w:rFonts w:hint="eastAsia" w:ascii="宋体" w:hAnsi="宋体" w:eastAsia="宋体" w:cs="宋体"/>
          <w:sz w:val="24"/>
          <w:szCs w:val="24"/>
          <w:lang w:val="zh-CN" w:eastAsia="zh-CN"/>
        </w:rPr>
        <w:t>经</w:t>
      </w:r>
      <w:r>
        <w:rPr>
          <w:rFonts w:hint="eastAsia" w:ascii="宋体" w:hAnsi="宋体" w:eastAsia="宋体" w:cs="宋体"/>
          <w:sz w:val="24"/>
          <w:szCs w:val="24"/>
          <w:lang w:val="en-US" w:eastAsia="zh-CN"/>
        </w:rPr>
        <w:t>采购人、供应商</w:t>
      </w:r>
      <w:r>
        <w:rPr>
          <w:rFonts w:hint="eastAsia" w:ascii="宋体" w:hAnsi="宋体" w:eastAsia="宋体" w:cs="宋体"/>
          <w:sz w:val="24"/>
          <w:szCs w:val="24"/>
          <w:lang w:val="zh-CN" w:eastAsia="zh-CN"/>
        </w:rPr>
        <w:t>双方法定代表人（或授权代表）签字并加盖公章（或合同专用章）之日起生效，</w:t>
      </w:r>
      <w:r>
        <w:rPr>
          <w:rFonts w:hint="eastAsia" w:ascii="宋体" w:hAnsi="宋体" w:eastAsia="宋体" w:cs="宋体"/>
          <w:sz w:val="24"/>
          <w:szCs w:val="24"/>
          <w:lang w:val="en-US" w:eastAsia="zh-CN"/>
        </w:rPr>
        <w:t>合同期限：三年，合同一年一签（季度考核全部合格，签订下一年度合同，考核表详见附件1）</w:t>
      </w:r>
      <w:r>
        <w:rPr>
          <w:rFonts w:hint="eastAsia" w:ascii="宋体" w:hAnsi="宋体" w:eastAsia="宋体" w:cs="宋体"/>
          <w:sz w:val="24"/>
          <w:szCs w:val="24"/>
          <w:lang w:val="zh-CN" w:eastAsia="zh-CN"/>
        </w:rPr>
        <w:t>。</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2.服务地点：成都市武侯区沙堰西二街290号、成都市金牛区抚琴西路338号、成都市双流区岐黄二路1515号。</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3.付款方式及条件：</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3.1合同签订后，供应商须在采购人第一次付款前出具合同约定发电机维保服务费用合法有效完整的完税发票及凭证资料，采购人每季度在达到付款条件（季度考核合格）60日内支付合同全部服务费用的25%。</w:t>
      </w:r>
    </w:p>
    <w:p>
      <w:pPr>
        <w:pStyle w:val="2"/>
        <w:ind w:firstLine="480" w:firstLineChars="200"/>
        <w:rPr>
          <w:rFonts w:hint="default"/>
          <w:lang w:val="en-US" w:eastAsia="zh-CN"/>
        </w:rPr>
      </w:pPr>
      <w:r>
        <w:rPr>
          <w:rFonts w:hint="eastAsia" w:ascii="宋体" w:hAnsi="宋体" w:eastAsia="宋体" w:cs="宋体"/>
          <w:sz w:val="24"/>
          <w:szCs w:val="24"/>
          <w:lang w:val="en-US" w:eastAsia="zh-CN"/>
        </w:rPr>
        <w:t>3.2合同签订后，供应商每季度须在采购人付款前出具合同约定其他据实结算费用合法有效完整的完税发票及凭证资料，采购人据实结算。</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4.履约担保：是否收取履约保证金：</w:t>
      </w:r>
      <w:r>
        <w:rPr>
          <w:rFonts w:hint="eastAsia" w:ascii="宋体" w:hAnsi="宋体" w:eastAsia="宋体" w:cs="宋体"/>
          <w:sz w:val="24"/>
          <w:szCs w:val="24"/>
          <w:lang w:val="en-US" w:eastAsia="zh-CN"/>
        </w:rPr>
        <w:sym w:font="Wingdings" w:char="00FE"/>
      </w:r>
      <w:r>
        <w:rPr>
          <w:rFonts w:hint="eastAsia" w:ascii="宋体" w:hAnsi="宋体" w:eastAsia="宋体" w:cs="宋体"/>
          <w:sz w:val="24"/>
          <w:szCs w:val="24"/>
          <w:lang w:val="en-US" w:eastAsia="zh-CN"/>
        </w:rPr>
        <w:t xml:space="preserve">是    </w:t>
      </w:r>
      <w:r>
        <w:rPr>
          <w:rFonts w:hint="eastAsia" w:ascii="宋体" w:hAnsi="宋体" w:eastAsia="宋体" w:cs="宋体"/>
          <w:sz w:val="24"/>
          <w:szCs w:val="24"/>
          <w:lang w:val="en-US" w:eastAsia="zh-CN"/>
        </w:rPr>
        <w:sym w:font="Wingdings" w:char="00A8"/>
      </w:r>
      <w:r>
        <w:rPr>
          <w:rFonts w:hint="eastAsia" w:ascii="宋体" w:hAnsi="宋体" w:eastAsia="宋体" w:cs="宋体"/>
          <w:sz w:val="24"/>
          <w:szCs w:val="24"/>
          <w:lang w:val="en-US" w:eastAsia="zh-CN"/>
        </w:rPr>
        <w:t>否</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收取履约保证金形式：供应商在合同签订生效之日起的 7 日内，按合同约定发电机维保服务费用价格的 10%支付履约保证金；本项目合同终止之日，采购人接到供应商退还履约保证金申请后 30 个工作日内，采购人一次性无息退还乙方的履约保证金；供应商履约不合格的（考核不合格），履约保证金不予退还。</w:t>
      </w:r>
    </w:p>
    <w:p>
      <w:pPr>
        <w:numPr>
          <w:ilvl w:val="0"/>
          <w:numId w:val="0"/>
        </w:num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5.请拟参与的供应商自行踏勘现场，结合自身情况自主报价。</w:t>
      </w:r>
    </w:p>
    <w:p>
      <w:pPr>
        <w:pStyle w:val="7"/>
        <w:numPr>
          <w:ilvl w:val="0"/>
          <w:numId w:val="0"/>
        </w:numPr>
        <w:spacing w:line="360" w:lineRule="exact"/>
        <w:rPr>
          <w:rFonts w:hint="eastAsia" w:ascii="仿宋" w:hAnsi="仿宋" w:eastAsia="仿宋" w:cs="仿宋"/>
          <w:sz w:val="24"/>
          <w:szCs w:val="24"/>
          <w:lang w:val="en-US" w:eastAsia="zh-CN"/>
        </w:rPr>
      </w:pPr>
      <w:r>
        <w:rPr>
          <w:rFonts w:hint="eastAsia" w:ascii="仿宋" w:hAnsi="仿宋" w:eastAsia="仿宋" w:cs="仿宋"/>
          <w:b/>
          <w:bCs/>
          <w:i w:val="0"/>
          <w:iCs w:val="0"/>
          <w:caps w:val="0"/>
          <w:color w:val="000000"/>
          <w:spacing w:val="0"/>
          <w:sz w:val="24"/>
          <w:szCs w:val="24"/>
          <w:shd w:val="clear" w:color="auto" w:fill="FFFFFF"/>
        </w:rPr>
        <w:t>说明：本章中的条款为本项目的实质性要求条款（ ★ ），供应商应全部满足，否则其投标文件作无效处理。</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center"/>
        <w:rPr>
          <w:rFonts w:hint="eastAsia" w:ascii="宋体" w:hAnsi="宋体" w:cs="宋体"/>
          <w:b/>
          <w:bCs/>
          <w:color w:val="000000"/>
          <w:kern w:val="0"/>
          <w:sz w:val="24"/>
          <w:szCs w:val="24"/>
          <w:lang w:val="en-US" w:eastAsia="zh-CN" w:bidi="ar"/>
        </w:rPr>
      </w:pPr>
    </w:p>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综合评分</w:t>
      </w:r>
    </w:p>
    <w:tbl>
      <w:tblPr>
        <w:tblStyle w:val="20"/>
        <w:tblW w:w="87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280"/>
        <w:gridCol w:w="6138"/>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vertAlign w:val="baseline"/>
                <w:lang w:val="en-US" w:eastAsia="zh-CN" w:bidi="ar"/>
              </w:rPr>
              <w:t>序号</w:t>
            </w:r>
          </w:p>
        </w:tc>
        <w:tc>
          <w:tcPr>
            <w:tcW w:w="1280"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评分因素</w:t>
            </w:r>
          </w:p>
        </w:tc>
        <w:tc>
          <w:tcPr>
            <w:tcW w:w="6138"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评分标准</w:t>
            </w:r>
          </w:p>
        </w:tc>
        <w:tc>
          <w:tcPr>
            <w:tcW w:w="795" w:type="dxa"/>
            <w:vAlign w:val="center"/>
          </w:tcPr>
          <w:p>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b/>
                <w:bCs/>
                <w:color w:val="000000"/>
                <w:kern w:val="0"/>
                <w:sz w:val="24"/>
                <w:szCs w:val="24"/>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rPr>
        <w:tc>
          <w:tcPr>
            <w:tcW w:w="562" w:type="dxa"/>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w:t>
            </w:r>
          </w:p>
        </w:tc>
        <w:tc>
          <w:tcPr>
            <w:tcW w:w="1280" w:type="dxa"/>
            <w:vAlign w:val="center"/>
          </w:tcPr>
          <w:p>
            <w:pPr>
              <w:pStyle w:val="17"/>
              <w:snapToGrid w:val="0"/>
              <w:spacing w:before="0" w:beforeAutospacing="0" w:after="0" w:afterAutospacing="0" w:line="240" w:lineRule="auto"/>
              <w:ind w:left="0" w:leftChars="0" w:right="0" w:rightChars="0" w:firstLine="0" w:firstLineChars="0"/>
              <w:jc w:val="center"/>
              <w:rPr>
                <w:rFonts w:hint="eastAsia" w:ascii="宋体" w:eastAsia="宋体" w:cs="楷体"/>
                <w:b w:val="0"/>
                <w:sz w:val="24"/>
              </w:rPr>
            </w:pPr>
            <w:r>
              <w:rPr>
                <w:rFonts w:hint="eastAsia" w:ascii="宋体" w:eastAsia="宋体" w:cs="楷体"/>
                <w:b w:val="0"/>
                <w:sz w:val="24"/>
              </w:rPr>
              <w:t>投标报价</w:t>
            </w:r>
          </w:p>
          <w:p>
            <w:pPr>
              <w:pStyle w:val="17"/>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eastAsia="宋体" w:cs="楷体"/>
                <w:b w:val="0"/>
                <w:sz w:val="24"/>
              </w:rPr>
              <w:t>（30分）</w:t>
            </w:r>
          </w:p>
        </w:tc>
        <w:tc>
          <w:tcPr>
            <w:tcW w:w="6138" w:type="dxa"/>
            <w:vAlign w:val="center"/>
          </w:tcPr>
          <w:p>
            <w:pPr>
              <w:snapToGrid w:val="0"/>
              <w:spacing w:line="240" w:lineRule="auto"/>
              <w:ind w:left="0" w:leftChars="0" w:right="0" w:rightChars="0" w:firstLine="0" w:firstLineChars="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sz w:val="24"/>
                <w:szCs w:val="24"/>
              </w:rPr>
              <w:t>价格分统一采用低价优先法计算，即满足磋商文件要求且最后报价最低的价格作为评标基准价，其价格分为满分。其它供应商的价格分统一按照下列公式计算：响应报价得分=（评标基准价/各供应商最后报价）×价格权值</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2</w:t>
            </w:r>
          </w:p>
        </w:tc>
        <w:tc>
          <w:tcPr>
            <w:tcW w:w="1280" w:type="dxa"/>
            <w:vAlign w:val="center"/>
          </w:tcPr>
          <w:p>
            <w:pPr>
              <w:pStyle w:val="17"/>
              <w:snapToGrid w:val="0"/>
              <w:spacing w:before="0" w:beforeAutospacing="0" w:after="0" w:afterAutospacing="0" w:line="240" w:lineRule="auto"/>
              <w:ind w:left="0" w:leftChars="0" w:right="0" w:rightChars="0" w:firstLine="0" w:firstLineChars="0"/>
              <w:jc w:val="center"/>
              <w:rPr>
                <w:rFonts w:ascii="宋体" w:eastAsia="宋体" w:cs="楷体"/>
                <w:b w:val="0"/>
                <w:sz w:val="24"/>
              </w:rPr>
            </w:pPr>
            <w:r>
              <w:rPr>
                <w:rFonts w:hint="eastAsia" w:ascii="宋体" w:eastAsia="宋体" w:cs="楷体"/>
                <w:b w:val="0"/>
                <w:sz w:val="24"/>
              </w:rPr>
              <w:t>供应商技术实力</w:t>
            </w:r>
          </w:p>
          <w:p>
            <w:pPr>
              <w:pStyle w:val="17"/>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eastAsia="宋体" w:cs="楷体"/>
                <w:b w:val="0"/>
                <w:sz w:val="24"/>
              </w:rPr>
              <w:t>（</w:t>
            </w:r>
            <w:r>
              <w:rPr>
                <w:rFonts w:hint="eastAsia" w:ascii="宋体" w:cs="楷体"/>
                <w:b w:val="0"/>
                <w:sz w:val="24"/>
                <w:lang w:val="en-US" w:eastAsia="zh-CN"/>
              </w:rPr>
              <w:t>14</w:t>
            </w:r>
            <w:r>
              <w:rPr>
                <w:rFonts w:hint="eastAsia" w:ascii="宋体" w:eastAsia="宋体" w:cs="楷体"/>
                <w:b w:val="0"/>
                <w:sz w:val="24"/>
              </w:rPr>
              <w:t>分）</w:t>
            </w:r>
          </w:p>
        </w:tc>
        <w:tc>
          <w:tcPr>
            <w:tcW w:w="6138" w:type="dxa"/>
            <w:vAlign w:val="center"/>
          </w:tcPr>
          <w:p>
            <w:pPr>
              <w:snapToGrid w:val="0"/>
              <w:spacing w:line="240" w:lineRule="auto"/>
              <w:ind w:left="0" w:leftChars="0" w:right="0" w:rightChars="0" w:firstLine="0" w:firstLineChars="0"/>
              <w:jc w:val="left"/>
              <w:rPr>
                <w:rFonts w:ascii="宋体" w:hAnsi="宋体" w:eastAsia="宋体"/>
                <w:sz w:val="24"/>
                <w:szCs w:val="24"/>
              </w:rPr>
            </w:pPr>
            <w:r>
              <w:rPr>
                <w:rFonts w:hint="eastAsia" w:ascii="宋体" w:hAnsi="宋体" w:eastAsia="宋体"/>
                <w:sz w:val="24"/>
                <w:szCs w:val="24"/>
              </w:rPr>
              <w:t>1、供应商应在国内设有专门零备件仓库的得4分，提供仓库产权证明或租赁合同文件，同时提供零备件仓库地址及联系人、联系电话备查。未提供或提供的资料不全本项不得分。</w:t>
            </w:r>
          </w:p>
          <w:p>
            <w:pPr>
              <w:snapToGrid w:val="0"/>
              <w:spacing w:line="240" w:lineRule="auto"/>
              <w:ind w:left="0" w:leftChars="0" w:right="0" w:rightChars="0" w:firstLine="0" w:firstLineChars="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sz w:val="24"/>
                <w:szCs w:val="24"/>
              </w:rPr>
              <w:t>2、供应商具备</w:t>
            </w:r>
            <w:r>
              <w:rPr>
                <w:rFonts w:hint="eastAsia" w:ascii="宋体" w:hAnsi="宋体" w:eastAsia="宋体"/>
                <w:sz w:val="24"/>
                <w:szCs w:val="24"/>
                <w:lang w:val="en-US" w:eastAsia="zh-CN"/>
              </w:rPr>
              <w:t>应急用</w:t>
            </w:r>
            <w:r>
              <w:rPr>
                <w:rFonts w:hint="eastAsia" w:ascii="宋体" w:hAnsi="宋体" w:eastAsia="宋体"/>
                <w:sz w:val="24"/>
                <w:szCs w:val="24"/>
              </w:rPr>
              <w:t>所需的</w:t>
            </w:r>
            <w:r>
              <w:rPr>
                <w:rFonts w:hint="eastAsia" w:ascii="宋体" w:hAnsi="宋体" w:eastAsia="宋体"/>
                <w:sz w:val="24"/>
                <w:szCs w:val="24"/>
                <w:lang w:val="en-US" w:eastAsia="zh-CN"/>
              </w:rPr>
              <w:t>500KW</w:t>
            </w:r>
            <w:r>
              <w:rPr>
                <w:rFonts w:hint="eastAsia" w:ascii="宋体" w:hAnsi="宋体" w:eastAsia="宋体"/>
                <w:sz w:val="24"/>
                <w:szCs w:val="24"/>
                <w:highlight w:val="none"/>
                <w:lang w:val="en-US" w:eastAsia="zh-CN"/>
              </w:rPr>
              <w:t>及以上</w:t>
            </w:r>
            <w:r>
              <w:rPr>
                <w:rFonts w:hint="eastAsia" w:ascii="宋体" w:hAnsi="宋体" w:eastAsia="宋体"/>
                <w:sz w:val="24"/>
                <w:szCs w:val="24"/>
                <w:lang w:val="en-US" w:eastAsia="zh-CN"/>
              </w:rPr>
              <w:t>发电机组</w:t>
            </w:r>
            <w:r>
              <w:rPr>
                <w:rFonts w:hint="eastAsia" w:ascii="宋体" w:hAnsi="宋体"/>
                <w:sz w:val="24"/>
                <w:szCs w:val="24"/>
                <w:lang w:val="en-US" w:eastAsia="zh-CN"/>
              </w:rPr>
              <w:t>10</w:t>
            </w:r>
            <w:r>
              <w:rPr>
                <w:rFonts w:hint="eastAsia" w:ascii="宋体" w:hAnsi="宋体" w:eastAsia="宋体"/>
                <w:sz w:val="24"/>
                <w:szCs w:val="24"/>
                <w:lang w:val="en-US" w:eastAsia="zh-CN"/>
              </w:rPr>
              <w:t>分</w:t>
            </w:r>
            <w:r>
              <w:rPr>
                <w:rFonts w:hint="eastAsia" w:ascii="宋体" w:hAnsi="宋体" w:eastAsia="宋体"/>
                <w:sz w:val="24"/>
                <w:szCs w:val="24"/>
              </w:rPr>
              <w:t>，本项最多得</w:t>
            </w:r>
            <w:r>
              <w:rPr>
                <w:rFonts w:hint="eastAsia" w:ascii="宋体" w:hAnsi="宋体"/>
                <w:sz w:val="24"/>
                <w:szCs w:val="24"/>
                <w:lang w:val="en-US" w:eastAsia="zh-CN"/>
              </w:rPr>
              <w:t>10</w:t>
            </w:r>
            <w:r>
              <w:rPr>
                <w:rFonts w:hint="eastAsia" w:ascii="宋体" w:hAnsi="宋体" w:eastAsia="宋体"/>
                <w:sz w:val="24"/>
                <w:szCs w:val="24"/>
              </w:rPr>
              <w:t>分。未提供或提供的资料不全本项不得分。</w:t>
            </w:r>
            <w:r>
              <w:rPr>
                <w:rFonts w:hint="eastAsia" w:ascii="宋体" w:hAnsi="宋体" w:eastAsia="宋体"/>
                <w:sz w:val="24"/>
                <w:szCs w:val="24"/>
                <w:lang w:eastAsia="zh-CN"/>
              </w:rPr>
              <w:t>（</w:t>
            </w:r>
            <w:r>
              <w:rPr>
                <w:rFonts w:hint="eastAsia" w:ascii="宋体" w:hAnsi="宋体" w:eastAsia="宋体"/>
                <w:sz w:val="24"/>
                <w:szCs w:val="24"/>
                <w:lang w:val="en-US" w:eastAsia="zh-CN"/>
              </w:rPr>
              <w:t>供应商</w:t>
            </w:r>
            <w:r>
              <w:rPr>
                <w:rFonts w:hint="eastAsia" w:ascii="宋体" w:hAnsi="宋体" w:eastAsia="宋体"/>
                <w:sz w:val="24"/>
                <w:szCs w:val="24"/>
                <w:lang w:eastAsia="zh-CN"/>
              </w:rPr>
              <w:t>须提供500</w:t>
            </w:r>
            <w:r>
              <w:rPr>
                <w:rFonts w:hint="eastAsia" w:ascii="宋体" w:hAnsi="宋体" w:eastAsia="宋体"/>
                <w:sz w:val="24"/>
                <w:szCs w:val="24"/>
                <w:lang w:val="en-US" w:eastAsia="zh-CN"/>
              </w:rPr>
              <w:t>KW发电机组</w:t>
            </w:r>
            <w:r>
              <w:rPr>
                <w:rFonts w:hint="eastAsia" w:ascii="宋体" w:hAnsi="宋体" w:eastAsia="宋体"/>
                <w:sz w:val="24"/>
                <w:szCs w:val="24"/>
                <w:lang w:eastAsia="zh-CN"/>
              </w:rPr>
              <w:t>发票，</w:t>
            </w:r>
            <w:r>
              <w:rPr>
                <w:rFonts w:hint="eastAsia" w:ascii="宋体" w:hAnsi="宋体" w:eastAsia="宋体"/>
                <w:sz w:val="24"/>
                <w:szCs w:val="24"/>
                <w:lang w:val="en-US" w:eastAsia="zh-CN"/>
              </w:rPr>
              <w:t>发票须可通过国家税务总局全国增值税发票查验平台：https：//inv-veri.chinatax.gov.cn进行查询）</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280" w:type="dxa"/>
            <w:vAlign w:val="center"/>
          </w:tcPr>
          <w:p>
            <w:pPr>
              <w:pStyle w:val="17"/>
              <w:snapToGrid w:val="0"/>
              <w:spacing w:before="0" w:beforeAutospacing="0" w:after="0" w:afterAutospacing="0" w:line="240" w:lineRule="auto"/>
              <w:ind w:left="0" w:leftChars="0" w:right="0" w:rightChars="0" w:firstLine="0" w:firstLineChars="0"/>
              <w:jc w:val="center"/>
              <w:rPr>
                <w:rFonts w:ascii="宋体" w:eastAsia="宋体" w:cs="楷体"/>
                <w:b w:val="0"/>
                <w:sz w:val="24"/>
              </w:rPr>
            </w:pPr>
            <w:r>
              <w:rPr>
                <w:rFonts w:hint="eastAsia" w:ascii="宋体" w:eastAsia="宋体" w:cs="楷体"/>
                <w:b w:val="0"/>
                <w:sz w:val="24"/>
              </w:rPr>
              <w:t>人员配备</w:t>
            </w:r>
          </w:p>
          <w:p>
            <w:pPr>
              <w:pStyle w:val="17"/>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eastAsia="宋体" w:cs="楷体"/>
                <w:b w:val="0"/>
                <w:sz w:val="24"/>
              </w:rPr>
              <w:t>（</w:t>
            </w:r>
            <w:r>
              <w:rPr>
                <w:rFonts w:hint="eastAsia" w:ascii="宋体" w:cs="楷体"/>
                <w:b w:val="0"/>
                <w:sz w:val="24"/>
                <w:lang w:val="en-US" w:eastAsia="zh-CN"/>
              </w:rPr>
              <w:t>26</w:t>
            </w:r>
            <w:r>
              <w:rPr>
                <w:rFonts w:hint="eastAsia" w:ascii="宋体" w:eastAsia="宋体" w:cs="楷体"/>
                <w:b w:val="0"/>
                <w:sz w:val="24"/>
              </w:rPr>
              <w:t>分）</w:t>
            </w:r>
          </w:p>
        </w:tc>
        <w:tc>
          <w:tcPr>
            <w:tcW w:w="6138" w:type="dxa"/>
            <w:vAlign w:val="center"/>
          </w:tcPr>
          <w:p>
            <w:pPr>
              <w:numPr>
                <w:ilvl w:val="0"/>
                <w:numId w:val="0"/>
              </w:numPr>
              <w:snapToGrid w:val="0"/>
              <w:spacing w:line="240" w:lineRule="auto"/>
              <w:ind w:left="0" w:leftChars="0" w:right="0" w:rightChars="0" w:firstLine="0" w:firstLineChars="0"/>
              <w:jc w:val="left"/>
              <w:rPr>
                <w:rFonts w:hint="eastAsia" w:ascii="宋体" w:hAnsi="宋体" w:eastAsia="宋体"/>
                <w:sz w:val="24"/>
                <w:szCs w:val="24"/>
              </w:rPr>
            </w:pPr>
            <w:r>
              <w:rPr>
                <w:rFonts w:hint="eastAsia" w:ascii="宋体" w:hAnsi="宋体" w:eastAsia="宋体"/>
                <w:kern w:val="2"/>
                <w:sz w:val="24"/>
                <w:szCs w:val="24"/>
                <w:lang w:val="en-US" w:eastAsia="zh-CN" w:bidi="ar-SA"/>
              </w:rPr>
              <w:t>1、</w:t>
            </w:r>
            <w:r>
              <w:rPr>
                <w:rFonts w:hint="eastAsia" w:ascii="宋体" w:hAnsi="宋体" w:eastAsia="宋体"/>
                <w:sz w:val="24"/>
                <w:szCs w:val="24"/>
                <w:lang w:val="en-US" w:eastAsia="zh-CN"/>
              </w:rPr>
              <w:t>供应商拟派出项目负责人具有壹级机电工程注册建造师执业资格，且具备有效的安全生产考核合格证书（B证）或以上的得</w:t>
            </w:r>
            <w:r>
              <w:rPr>
                <w:rFonts w:hint="eastAsia" w:ascii="宋体" w:hAnsi="宋体"/>
                <w:sz w:val="24"/>
                <w:szCs w:val="24"/>
                <w:lang w:val="en-US" w:eastAsia="zh-CN"/>
              </w:rPr>
              <w:t>6</w:t>
            </w:r>
            <w:r>
              <w:rPr>
                <w:rFonts w:hint="eastAsia" w:ascii="宋体" w:hAnsi="宋体" w:eastAsia="宋体"/>
                <w:sz w:val="24"/>
                <w:szCs w:val="24"/>
                <w:lang w:val="en-US" w:eastAsia="zh-CN"/>
              </w:rPr>
              <w:t>分。</w:t>
            </w:r>
          </w:p>
          <w:p>
            <w:pPr>
              <w:numPr>
                <w:ilvl w:val="0"/>
                <w:numId w:val="0"/>
              </w:numPr>
              <w:snapToGrid w:val="0"/>
              <w:spacing w:line="240" w:lineRule="auto"/>
              <w:ind w:left="0" w:leftChars="0" w:right="0" w:rightChars="0" w:firstLine="0" w:firstLineChars="0"/>
              <w:jc w:val="left"/>
              <w:rPr>
                <w:rFonts w:hint="eastAsia" w:ascii="宋体" w:hAnsi="宋体" w:eastAsia="宋体" w:cs="Times New Roman"/>
                <w:sz w:val="24"/>
                <w:szCs w:val="24"/>
                <w:lang w:val="en-US" w:eastAsia="zh-CN"/>
              </w:rPr>
            </w:pPr>
            <w:r>
              <w:rPr>
                <w:rFonts w:hint="eastAsia" w:ascii="宋体" w:hAnsi="宋体" w:eastAsia="宋体"/>
                <w:sz w:val="24"/>
                <w:szCs w:val="24"/>
                <w:lang w:val="en-US" w:eastAsia="zh-CN"/>
              </w:rPr>
              <w:t>2、</w:t>
            </w:r>
            <w:r>
              <w:rPr>
                <w:rFonts w:hint="eastAsia" w:ascii="宋体" w:hAnsi="宋体" w:eastAsia="宋体" w:cs="Times New Roman"/>
                <w:kern w:val="2"/>
                <w:sz w:val="24"/>
                <w:szCs w:val="24"/>
                <w:lang w:val="en-US" w:eastAsia="zh-CN" w:bidi="ar-SA"/>
              </w:rPr>
              <w:t>供应商拟派出技术负责人具有</w:t>
            </w:r>
            <w:r>
              <w:rPr>
                <w:rFonts w:hint="eastAsia" w:ascii="宋体" w:hAnsi="宋体" w:eastAsia="宋体" w:cs="宋体"/>
                <w:sz w:val="24"/>
                <w:szCs w:val="24"/>
              </w:rPr>
              <w:t>机电相关专业的</w:t>
            </w:r>
            <w:r>
              <w:rPr>
                <w:rFonts w:hint="eastAsia" w:ascii="宋体" w:hAnsi="宋体" w:eastAsia="宋体" w:cs="Times New Roman"/>
                <w:kern w:val="2"/>
                <w:sz w:val="24"/>
                <w:szCs w:val="24"/>
                <w:lang w:val="en-US" w:eastAsia="zh-CN" w:bidi="ar-SA"/>
              </w:rPr>
              <w:t>高级工程师职称的得</w:t>
            </w:r>
            <w:r>
              <w:rPr>
                <w:rFonts w:hint="eastAsia" w:ascii="宋体" w:hAnsi="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分。</w:t>
            </w:r>
          </w:p>
          <w:p>
            <w:pPr>
              <w:numPr>
                <w:ilvl w:val="0"/>
                <w:numId w:val="0"/>
              </w:numPr>
              <w:snapToGrid w:val="0"/>
              <w:spacing w:line="240" w:lineRule="auto"/>
              <w:ind w:left="0" w:leftChars="0" w:right="0" w:rightChars="0" w:firstLine="0" w:firstLineChars="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供应商需提供相应服务团队，团队成员中具有特种作业操作证（作业类别为电工作业，准操项目为：高压电工作业）、特种作业操作证（作业类别为电工作业，准操项目为：低压电工作业）、特种作业操作证（作业类别为电工作业，准操项目为：电气试验作业）、特种作业操作证（作业类别为焊接与热切割作业，准操项目为：熔化焊接与热切割作业），每提供一位成员的相关证书得2分，本项最多得</w:t>
            </w:r>
            <w:r>
              <w:rPr>
                <w:rFonts w:hint="eastAsia" w:ascii="宋体" w:hAnsi="宋体" w:cs="Times New Roman"/>
                <w:sz w:val="24"/>
                <w:szCs w:val="24"/>
                <w:lang w:val="en-US" w:eastAsia="zh-CN"/>
              </w:rPr>
              <w:t>14</w:t>
            </w:r>
            <w:r>
              <w:rPr>
                <w:rFonts w:hint="eastAsia" w:ascii="宋体" w:hAnsi="宋体" w:eastAsia="宋体" w:cs="Times New Roman"/>
                <w:sz w:val="24"/>
                <w:szCs w:val="24"/>
                <w:lang w:val="en-US" w:eastAsia="zh-CN"/>
              </w:rPr>
              <w:t>分。</w:t>
            </w:r>
          </w:p>
          <w:p>
            <w:pPr>
              <w:numPr>
                <w:ilvl w:val="0"/>
                <w:numId w:val="0"/>
              </w:numPr>
              <w:snapToGrid w:val="0"/>
              <w:spacing w:line="240" w:lineRule="auto"/>
              <w:ind w:left="0" w:leftChars="0" w:right="0" w:rightChars="0" w:firstLine="0" w:firstLineChars="0"/>
              <w:jc w:val="left"/>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Times New Roman"/>
                <w:sz w:val="24"/>
                <w:szCs w:val="24"/>
                <w:lang w:val="en-US" w:eastAsia="zh-CN"/>
              </w:rPr>
              <w:t>同一成员同时具有多个证书的只计算一个。未提供或提供的资料不全本项不得分。</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24"/>
                <w:szCs w:val="24"/>
                <w:vertAlign w:val="baseline"/>
                <w:lang w:val="en-US" w:eastAsia="zh-CN" w:bidi="ar"/>
              </w:rPr>
            </w:pPr>
          </w:p>
        </w:tc>
        <w:tc>
          <w:tcPr>
            <w:tcW w:w="1280" w:type="dxa"/>
            <w:vAlign w:val="center"/>
          </w:tcPr>
          <w:p>
            <w:pPr>
              <w:snapToGrid w:val="0"/>
              <w:spacing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kern w:val="0"/>
                <w:sz w:val="24"/>
                <w:szCs w:val="24"/>
              </w:rPr>
              <w:t>服务方案（</w:t>
            </w:r>
            <w:r>
              <w:rPr>
                <w:rFonts w:hint="eastAsia" w:ascii="宋体" w:hAnsi="宋体"/>
                <w:kern w:val="0"/>
                <w:sz w:val="24"/>
                <w:szCs w:val="24"/>
                <w:lang w:val="en-US" w:eastAsia="zh-CN"/>
              </w:rPr>
              <w:t>20</w:t>
            </w:r>
            <w:r>
              <w:rPr>
                <w:rFonts w:hint="eastAsia" w:ascii="宋体" w:hAnsi="宋体" w:eastAsia="宋体"/>
                <w:kern w:val="0"/>
                <w:sz w:val="24"/>
                <w:szCs w:val="24"/>
              </w:rPr>
              <w:t>分)</w:t>
            </w:r>
          </w:p>
        </w:tc>
        <w:tc>
          <w:tcPr>
            <w:tcW w:w="6138" w:type="dxa"/>
            <w:vAlign w:val="center"/>
          </w:tcPr>
          <w:p>
            <w:pPr>
              <w:snapToGrid w:val="0"/>
              <w:spacing w:line="240" w:lineRule="auto"/>
              <w:ind w:left="0" w:leftChars="0" w:right="0" w:rightChars="0" w:firstLine="0" w:firstLineChars="0"/>
              <w:jc w:val="left"/>
              <w:rPr>
                <w:rFonts w:hint="eastAsia" w:ascii="宋体" w:hAnsi="宋体" w:cs="Times New Roman"/>
                <w:kern w:val="0"/>
                <w:sz w:val="24"/>
                <w:szCs w:val="24"/>
                <w:lang w:val="en-US" w:eastAsia="zh-CN"/>
              </w:rPr>
            </w:pPr>
            <w:r>
              <w:rPr>
                <w:rFonts w:hint="eastAsia" w:ascii="宋体" w:hAnsi="宋体" w:eastAsia="宋体" w:cs="Times New Roman"/>
                <w:sz w:val="24"/>
                <w:szCs w:val="24"/>
                <w:lang w:val="en-US" w:eastAsia="zh-CN"/>
              </w:rPr>
              <w:t>供应商提供的服务方案包含：①针对本项目的日常维护方案；②培训方案；③针对本项目的应急抢修、应急响应及应急维护方案；④安全管理方案；⑤值服务方案，内容完整且响应完全符合磋商文件要求的得20分，每缺少一项内容扣4分；每项内容中每有一处缺陷（缺陷是指：方案内容非专门针对本项目或不适用本项目，内容脱离了实际情况，方案与项目不相关联，前后内容无法连贯，项目名称、实施地点、涉及的规范、标准与本项目要求不一致；进度计划超期，以上任意一项）的，扣2分，直到该项扣完为止。</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56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5</w:t>
            </w:r>
          </w:p>
        </w:tc>
        <w:tc>
          <w:tcPr>
            <w:tcW w:w="1280" w:type="dxa"/>
            <w:vAlign w:val="center"/>
          </w:tcPr>
          <w:p>
            <w:pPr>
              <w:snapToGrid w:val="0"/>
              <w:spacing w:line="240" w:lineRule="auto"/>
              <w:ind w:left="0" w:leftChars="0" w:right="0" w:rightChars="0" w:firstLine="0" w:firstLineChars="0"/>
              <w:jc w:val="center"/>
              <w:rPr>
                <w:rFonts w:hint="eastAsia" w:ascii="宋体" w:hAnsi="宋体" w:eastAsia="宋体" w:cs="宋体"/>
                <w:color w:val="000000"/>
                <w:kern w:val="0"/>
                <w:sz w:val="24"/>
                <w:szCs w:val="24"/>
                <w:vertAlign w:val="baseline"/>
                <w:lang w:val="en-US" w:eastAsia="zh-CN" w:bidi="ar"/>
              </w:rPr>
            </w:pPr>
            <w:r>
              <w:rPr>
                <w:rFonts w:hint="eastAsia" w:ascii="宋体" w:hAnsi="宋体"/>
                <w:kern w:val="0"/>
                <w:sz w:val="24"/>
                <w:szCs w:val="24"/>
              </w:rPr>
              <w:t>业绩（10分）</w:t>
            </w:r>
          </w:p>
        </w:tc>
        <w:tc>
          <w:tcPr>
            <w:tcW w:w="6138" w:type="dxa"/>
            <w:vAlign w:val="center"/>
          </w:tcPr>
          <w:p>
            <w:pPr>
              <w:snapToGrid w:val="0"/>
              <w:spacing w:line="240" w:lineRule="auto"/>
              <w:ind w:left="0" w:leftChars="0" w:right="0" w:righ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kern w:val="0"/>
                <w:sz w:val="24"/>
                <w:szCs w:val="24"/>
              </w:rPr>
              <w:t>提供自202</w:t>
            </w:r>
            <w:r>
              <w:rPr>
                <w:rFonts w:hint="eastAsia" w:ascii="宋体" w:hAnsi="宋体"/>
                <w:kern w:val="0"/>
                <w:sz w:val="24"/>
                <w:szCs w:val="24"/>
                <w:lang w:val="en-US" w:eastAsia="zh-CN"/>
              </w:rPr>
              <w:t>3</w:t>
            </w:r>
            <w:r>
              <w:rPr>
                <w:rFonts w:hint="eastAsia" w:ascii="宋体" w:hAnsi="宋体"/>
                <w:kern w:val="0"/>
                <w:sz w:val="24"/>
                <w:szCs w:val="24"/>
              </w:rPr>
              <w:t>年1月1日以来，供应商有本项目类似的维修保养案例的，每提供一份得2分，最高得10分，提供合同复印件，原件备查，时间以合同签订日期为准。</w:t>
            </w:r>
          </w:p>
        </w:tc>
        <w:tc>
          <w:tcPr>
            <w:tcW w:w="79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0"/>
                <w:sz w:val="24"/>
                <w:szCs w:val="24"/>
                <w:vertAlign w:val="baseline"/>
                <w:lang w:val="en-US" w:eastAsia="zh-CN" w:bidi="ar"/>
              </w:rPr>
            </w:pPr>
            <w:r>
              <w:rPr>
                <w:rFonts w:hint="eastAsia" w:ascii="宋体" w:hAnsi="宋体" w:cs="宋体"/>
                <w:color w:val="000000"/>
                <w:kern w:val="0"/>
                <w:sz w:val="24"/>
                <w:szCs w:val="24"/>
                <w:vertAlign w:val="baseline"/>
                <w:lang w:val="en-US" w:eastAsia="zh-CN" w:bidi="ar"/>
              </w:rPr>
              <w:t>10</w:t>
            </w:r>
          </w:p>
        </w:tc>
      </w:tr>
    </w:tbl>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b/>
          <w:i w:val="0"/>
          <w:color w:val="000000"/>
          <w:kern w:val="0"/>
          <w:sz w:val="24"/>
          <w:szCs w:val="24"/>
          <w:u w:val="none"/>
          <w:lang w:val="en-US" w:eastAsia="zh-CN" w:bidi="ar"/>
        </w:rPr>
      </w:pPr>
    </w:p>
    <w:p>
      <w:pPr>
        <w:keepNext w:val="0"/>
        <w:keepLines w:val="0"/>
        <w:pageBreakBefore w:val="0"/>
        <w:kinsoku/>
        <w:wordWrap/>
        <w:overflowPunct/>
        <w:topLinePunct w:val="0"/>
        <w:autoSpaceDE/>
        <w:autoSpaceDN/>
        <w:bidi w:val="0"/>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附件</w:t>
      </w:r>
      <w:r>
        <w:rPr>
          <w:rFonts w:hint="eastAsia" w:ascii="宋体" w:hAnsi="宋体" w:eastAsia="宋体" w:cs="宋体"/>
          <w:b/>
          <w:bCs/>
          <w:i w:val="0"/>
          <w:caps w:val="0"/>
          <w:color w:val="auto"/>
          <w:spacing w:val="0"/>
          <w:w w:val="100"/>
          <w:sz w:val="24"/>
          <w:szCs w:val="24"/>
          <w:highlight w:val="none"/>
          <w:lang w:val="en-US" w:eastAsia="zh-CN"/>
        </w:rPr>
        <w:t>2 主要表格格式</w:t>
      </w:r>
    </w:p>
    <w:p>
      <w:pPr>
        <w:pStyle w:val="25"/>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报价一览表</w:t>
      </w:r>
    </w:p>
    <w:tbl>
      <w:tblPr>
        <w:tblStyle w:val="19"/>
        <w:tblpPr w:leftFromText="180" w:rightFromText="180" w:vertAnchor="text" w:horzAnchor="page" w:tblpX="1730" w:tblpY="414"/>
        <w:tblOverlap w:val="never"/>
        <w:tblW w:w="8751" w:type="dxa"/>
        <w:tblInd w:w="0" w:type="dxa"/>
        <w:shd w:val="clear" w:color="auto" w:fill="FFFFFF"/>
        <w:tblLayout w:type="fixed"/>
        <w:tblCellMar>
          <w:top w:w="0" w:type="dxa"/>
          <w:left w:w="0" w:type="dxa"/>
          <w:bottom w:w="0" w:type="dxa"/>
          <w:right w:w="0" w:type="dxa"/>
        </w:tblCellMar>
      </w:tblPr>
      <w:tblGrid>
        <w:gridCol w:w="3195"/>
        <w:gridCol w:w="763"/>
        <w:gridCol w:w="1255"/>
        <w:gridCol w:w="3538"/>
      </w:tblGrid>
      <w:tr>
        <w:tblPrEx>
          <w:tblCellMar>
            <w:top w:w="0" w:type="dxa"/>
            <w:left w:w="0" w:type="dxa"/>
            <w:bottom w:w="0" w:type="dxa"/>
            <w:right w:w="0" w:type="dxa"/>
          </w:tblCellMar>
        </w:tblPrEx>
        <w:trPr>
          <w:trHeight w:val="594" w:hRule="atLeast"/>
        </w:trPr>
        <w:tc>
          <w:tcPr>
            <w:tcW w:w="3195" w:type="dxa"/>
            <w:tcBorders>
              <w:top w:val="single" w:color="auto" w:sz="8"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w:t>
            </w:r>
          </w:p>
        </w:tc>
        <w:tc>
          <w:tcPr>
            <w:tcW w:w="763"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255" w:type="dxa"/>
            <w:tcBorders>
              <w:top w:val="single" w:color="auto" w:sz="8"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报价（元）</w:t>
            </w:r>
          </w:p>
        </w:tc>
        <w:tc>
          <w:tcPr>
            <w:tcW w:w="3538" w:type="dxa"/>
            <w:tcBorders>
              <w:top w:val="single" w:color="auto" w:sz="8" w:space="0"/>
              <w:left w:val="nil"/>
              <w:bottom w:val="single" w:color="auto" w:sz="4" w:space="0"/>
              <w:right w:val="single" w:color="auto" w:sz="8"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备注说明</w:t>
            </w:r>
          </w:p>
        </w:tc>
      </w:tr>
      <w:tr>
        <w:tblPrEx>
          <w:tblCellMar>
            <w:top w:w="0" w:type="dxa"/>
            <w:left w:w="0" w:type="dxa"/>
            <w:bottom w:w="0" w:type="dxa"/>
            <w:right w:w="0" w:type="dxa"/>
          </w:tblCellMar>
        </w:tblPrEx>
        <w:trPr>
          <w:trHeight w:val="367"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三院区发电机维保服务</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该项报价年度固定支付维保费用</w:t>
            </w:r>
          </w:p>
        </w:tc>
      </w:tr>
      <w:tr>
        <w:tblPrEx>
          <w:tblCellMar>
            <w:top w:w="0" w:type="dxa"/>
            <w:left w:w="0" w:type="dxa"/>
            <w:bottom w:w="0" w:type="dxa"/>
            <w:right w:w="0" w:type="dxa"/>
          </w:tblCellMar>
        </w:tblPrEx>
        <w:trPr>
          <w:trHeight w:val="367"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发电机</w:t>
            </w:r>
            <w:r>
              <w:rPr>
                <w:rFonts w:hint="eastAsia" w:ascii="宋体" w:hAnsi="宋体" w:eastAsia="宋体" w:cs="宋体"/>
                <w:color w:val="auto"/>
                <w:kern w:val="0"/>
                <w:sz w:val="24"/>
                <w:szCs w:val="24"/>
                <w:highlight w:val="none"/>
                <w:lang w:val="en-US" w:eastAsia="zh-CN"/>
              </w:rPr>
              <w:t>组</w:t>
            </w:r>
            <w:r>
              <w:rPr>
                <w:rFonts w:hint="eastAsia" w:ascii="宋体" w:hAnsi="宋体" w:eastAsia="宋体" w:cs="宋体"/>
                <w:color w:val="auto"/>
                <w:kern w:val="0"/>
                <w:sz w:val="24"/>
                <w:szCs w:val="24"/>
                <w:highlight w:val="none"/>
              </w:rPr>
              <w:t>（500KW）租赁服务</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天</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发电机租赁</w:t>
            </w:r>
            <w:r>
              <w:rPr>
                <w:rFonts w:hint="eastAsia" w:ascii="宋体" w:hAnsi="宋体" w:eastAsia="宋体" w:cs="宋体"/>
                <w:color w:val="auto"/>
                <w:kern w:val="0"/>
                <w:sz w:val="24"/>
                <w:szCs w:val="24"/>
                <w:highlight w:val="none"/>
              </w:rPr>
              <w:t>报价不含柴油</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需新购电池规格：12V/200Ah</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本项清单内容按照实际损耗进行费用支付。</w:t>
            </w:r>
          </w:p>
        </w:tc>
      </w:tr>
      <w:tr>
        <w:tblPrEx>
          <w:tblCellMar>
            <w:top w:w="0" w:type="dxa"/>
            <w:left w:w="0" w:type="dxa"/>
            <w:bottom w:w="0" w:type="dxa"/>
            <w:right w:w="0" w:type="dxa"/>
          </w:tblCellMar>
        </w:tblPrEx>
        <w:trPr>
          <w:trHeight w:val="367"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机油过滤器</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302"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柴油过滤器</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368"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空气过滤器</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470"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蓄电池</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341"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机油</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升</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289"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润滑油</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kg</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289" w:hRule="atLeast"/>
        </w:trPr>
        <w:tc>
          <w:tcPr>
            <w:tcW w:w="319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冷冻液</w:t>
            </w:r>
          </w:p>
        </w:tc>
        <w:tc>
          <w:tcPr>
            <w:tcW w:w="763"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升</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470" w:hRule="atLeast"/>
        </w:trPr>
        <w:tc>
          <w:tcPr>
            <w:tcW w:w="3958" w:type="dxa"/>
            <w:gridSpan w:val="2"/>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255"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tc>
      </w:tr>
    </w:tbl>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1.报价应是最终用户验收合格后的总价，此报价含税，含运费，含安装费等各项费用</w:t>
      </w:r>
      <w:r>
        <w:rPr>
          <w:rFonts w:hint="eastAsia" w:ascii="宋体" w:hAnsi="宋体" w:eastAsia="宋体" w:cs="宋体"/>
          <w:color w:val="auto"/>
          <w:kern w:val="0"/>
          <w:sz w:val="24"/>
          <w:szCs w:val="24"/>
          <w:highlight w:val="none"/>
          <w:lang w:eastAsia="zh-CN"/>
        </w:rPr>
        <w:t>以及</w:t>
      </w:r>
      <w:r>
        <w:rPr>
          <w:rFonts w:hint="eastAsia" w:ascii="宋体" w:hAnsi="宋体" w:eastAsia="宋体" w:cs="宋体"/>
          <w:color w:val="auto"/>
          <w:kern w:val="0"/>
          <w:sz w:val="24"/>
          <w:szCs w:val="24"/>
          <w:highlight w:val="none"/>
        </w:rPr>
        <w:t>采购文件规定的其它费用。</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2.“报价一览表”为多页的，每页均需由法定代表人或授权代表签字并盖投标人印章。</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3.“报价一览表”需单独密封。</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pPr>
        <w:keepNext w:val="0"/>
        <w:keepLines w:val="0"/>
        <w:pageBreakBefore w:val="0"/>
        <w:widowControl/>
        <w:kinsoku/>
        <w:wordWrap/>
        <w:overflowPunct/>
        <w:topLinePunct w:val="0"/>
        <w:autoSpaceDE/>
        <w:autoSpaceDN/>
        <w:bidi w:val="0"/>
        <w:snapToGrid/>
        <w:spacing w:beforeAutospacing="0" w:afterAutospacing="0"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2-2</w:t>
      </w:r>
    </w:p>
    <w:p>
      <w:pPr>
        <w:pStyle w:val="3"/>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（投标人名称）</w:t>
      </w:r>
      <w:r>
        <w:rPr>
          <w:rFonts w:hint="eastAsia" w:ascii="宋体" w:hAnsi="宋体" w:eastAsia="宋体" w:cs="宋体"/>
          <w:color w:val="auto"/>
          <w:sz w:val="24"/>
          <w:szCs w:val="24"/>
          <w:highlight w:val="none"/>
          <w:u w:val="single"/>
          <w:lang w:val="zh-CN"/>
        </w:rPr>
        <w:t xml:space="preserve">           </w:t>
      </w:r>
    </w:p>
    <w:p>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项目投标活动的合法代表，以我方名义全权处理该项目有关投标、签订合同以及执行合同等一切事宜。</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pPr>
        <w:keepNext w:val="0"/>
        <w:keepLines w:val="0"/>
        <w:pageBreakBefore w:val="0"/>
        <w:kinsoku/>
        <w:wordWrap/>
        <w:overflowPunct/>
        <w:topLinePunct w:val="0"/>
        <w:autoSpaceDE/>
        <w:autoSpaceDN/>
        <w:bidi w:val="0"/>
        <w:snapToGrid/>
        <w:spacing w:beforeAutospacing="0" w:afterAutospacing="0"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eepNext w:val="0"/>
        <w:keepLines w:val="0"/>
        <w:pageBreakBefore w:val="0"/>
        <w:numPr>
          <w:ilvl w:val="0"/>
          <w:numId w:val="2"/>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10"/>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pPr>
        <w:pStyle w:val="8"/>
        <w:keepNext w:val="0"/>
        <w:keepLines w:val="0"/>
        <w:pageBreakBefore w:val="0"/>
        <w:kinsoku/>
        <w:wordWrap/>
        <w:overflowPunct/>
        <w:topLinePunct w:val="0"/>
        <w:autoSpaceDE/>
        <w:autoSpaceDN/>
        <w:bidi w:val="0"/>
        <w:spacing w:beforeAutospacing="0" w:afterAutospacing="0"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w:t>
      </w:r>
    </w:p>
    <w:p>
      <w:pPr>
        <w:pStyle w:val="8"/>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pPr>
        <w:pStyle w:val="8"/>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pPr>
        <w:pStyle w:val="8"/>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pPr>
        <w:keepNext w:val="0"/>
        <w:keepLines w:val="0"/>
        <w:pageBreakBefore w:val="0"/>
        <w:numPr>
          <w:ilvl w:val="0"/>
          <w:numId w:val="3"/>
        </w:numPr>
        <w:kinsoku/>
        <w:wordWrap/>
        <w:overflowPunct/>
        <w:topLinePunct w:val="0"/>
        <w:autoSpaceDE/>
        <w:autoSpaceDN/>
        <w:bidi w:val="0"/>
        <w:spacing w:beforeAutospacing="0" w:afterAutospacing="0" w:line="360" w:lineRule="auto"/>
        <w:ind w:left="420" w:leftChars="0" w:hanging="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投标供应商法人代表或委托代理人（承诺人）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投标供应商：（公章）  </w:t>
      </w:r>
    </w:p>
    <w:p>
      <w:pPr>
        <w:pStyle w:val="8"/>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bookmarkStart w:id="3" w:name="_GoBack"/>
      <w:bookmarkEnd w:id="3"/>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b/>
          <w:bCs/>
          <w:color w:val="auto"/>
          <w:sz w:val="24"/>
          <w:szCs w:val="24"/>
          <w:highlight w:val="none"/>
        </w:rPr>
      </w:pPr>
    </w:p>
    <w:p>
      <w:pPr>
        <w:pStyle w:val="10"/>
        <w:keepNext w:val="0"/>
        <w:keepLines w:val="0"/>
        <w:pageBreakBefore w:val="0"/>
        <w:kinsoku/>
        <w:overflowPunct/>
        <w:topLinePunct w:val="0"/>
        <w:bidi w:val="0"/>
        <w:spacing w:line="360" w:lineRule="auto"/>
        <w:ind w:left="0" w:leftChars="0" w:firstLine="0" w:firstLineChars="0"/>
        <w:rPr>
          <w:rFonts w:hint="eastAsia" w:ascii="宋体" w:hAnsi="宋体" w:eastAsia="宋体" w:cs="宋体"/>
          <w:b/>
          <w:bCs/>
          <w:color w:val="auto"/>
          <w:sz w:val="24"/>
          <w:szCs w:val="24"/>
          <w:highlight w:val="none"/>
          <w:lang w:val="en-US" w:eastAsia="zh-CN"/>
        </w:rPr>
      </w:pPr>
    </w:p>
    <w:p>
      <w:pPr>
        <w:pStyle w:val="26"/>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2-4</w:t>
      </w:r>
    </w:p>
    <w:p>
      <w:pPr>
        <w:pStyle w:val="26"/>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四、参加本次磋商采购活动，不存在和其他供应商在同一合同项下的采购项目中，同时委托同一个自然人、同一家庭的人员、同一单位的人员作为代理人的行为。</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10"/>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2-5</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right="-92" w:rightChars="-44"/>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sz w:val="24"/>
          <w:szCs w:val="24"/>
          <w:highlight w:val="none"/>
        </w:rPr>
        <w:t>（20</w:t>
      </w:r>
      <w:r>
        <w:rPr>
          <w:rFonts w:hint="eastAsia" w:ascii="宋体" w:hAnsi="宋体" w:eastAsia="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1月1日</w:t>
      </w:r>
      <w:r>
        <w:rPr>
          <w:rFonts w:hint="eastAsia" w:ascii="宋体" w:hAnsi="宋体" w:eastAsia="宋体" w:cs="宋体"/>
          <w:b w:val="0"/>
          <w:bCs w:val="0"/>
          <w:sz w:val="24"/>
          <w:szCs w:val="24"/>
          <w:highlight w:val="none"/>
        </w:rPr>
        <w:t>至今）</w:t>
      </w:r>
      <w:r>
        <w:rPr>
          <w:rFonts w:hint="eastAsia" w:ascii="宋体" w:hAnsi="宋体" w:eastAsia="宋体" w:cs="宋体"/>
          <w:b w:val="0"/>
          <w:bCs w:val="0"/>
          <w:sz w:val="24"/>
          <w:szCs w:val="24"/>
          <w:highlight w:val="none"/>
          <w:lang w:val="en-US" w:eastAsia="zh-CN"/>
        </w:rPr>
        <w:t>类似业绩</w:t>
      </w:r>
      <w:r>
        <w:rPr>
          <w:rFonts w:hint="eastAsia" w:ascii="宋体" w:hAnsi="宋体" w:eastAsia="宋体" w:cs="宋体"/>
          <w:b w:val="0"/>
          <w:bCs w:val="0"/>
          <w:sz w:val="24"/>
          <w:szCs w:val="24"/>
          <w:highlight w:val="none"/>
        </w:rPr>
        <w:t>一览表</w:t>
      </w:r>
    </w:p>
    <w:tbl>
      <w:tblPr>
        <w:tblStyle w:val="19"/>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26"/>
        <w:gridCol w:w="1669"/>
        <w:gridCol w:w="1387"/>
        <w:gridCol w:w="1411"/>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16"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926"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用户</w:t>
            </w:r>
            <w:r>
              <w:rPr>
                <w:rFonts w:hint="eastAsia" w:ascii="宋体" w:hAnsi="宋体" w:eastAsia="宋体" w:cs="宋体"/>
                <w:sz w:val="24"/>
                <w:szCs w:val="24"/>
                <w:highlight w:val="none"/>
              </w:rPr>
              <w:t>名称</w:t>
            </w:r>
          </w:p>
        </w:tc>
        <w:tc>
          <w:tcPr>
            <w:tcW w:w="1669"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1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926"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669" w:type="dxa"/>
            <w:noWrap/>
            <w:vAlign w:val="center"/>
          </w:tcPr>
          <w:p>
            <w:pPr>
              <w:keepNext w:val="0"/>
              <w:keepLines w:val="0"/>
              <w:pageBreakBefore w:val="0"/>
              <w:kinsoku/>
              <w:overflowPunct/>
              <w:topLinePunct w:val="0"/>
              <w:bidi w:val="0"/>
              <w:spacing w:line="360" w:lineRule="auto"/>
              <w:rPr>
                <w:rFonts w:hint="eastAsia" w:ascii="宋体" w:hAnsi="宋体" w:eastAsia="宋体" w:cs="宋体"/>
                <w:sz w:val="24"/>
                <w:szCs w:val="24"/>
                <w:highlight w:val="none"/>
              </w:rPr>
            </w:pPr>
          </w:p>
        </w:tc>
        <w:tc>
          <w:tcPr>
            <w:tcW w:w="1387" w:type="dxa"/>
            <w:noWrap/>
            <w:vAlign w:val="center"/>
          </w:tcPr>
          <w:p>
            <w:pPr>
              <w:keepNext w:val="0"/>
              <w:keepLines w:val="0"/>
              <w:pageBreakBefore w:val="0"/>
              <w:kinsoku/>
              <w:overflowPunct/>
              <w:topLinePunct w:val="0"/>
              <w:bidi w:val="0"/>
              <w:spacing w:line="360" w:lineRule="auto"/>
              <w:ind w:left="-80" w:leftChars="-38"/>
              <w:jc w:val="center"/>
              <w:rPr>
                <w:rFonts w:hint="eastAsia" w:ascii="宋体" w:hAnsi="宋体" w:eastAsia="宋体" w:cs="宋体"/>
                <w:sz w:val="24"/>
                <w:szCs w:val="24"/>
                <w:highlight w:val="none"/>
              </w:rPr>
            </w:pPr>
          </w:p>
        </w:tc>
        <w:tc>
          <w:tcPr>
            <w:tcW w:w="1411" w:type="dxa"/>
            <w:noWrap/>
            <w:vAlign w:val="center"/>
          </w:tcPr>
          <w:p>
            <w:pPr>
              <w:keepNext w:val="0"/>
              <w:keepLines w:val="0"/>
              <w:pageBreakBefore w:val="0"/>
              <w:kinsoku/>
              <w:overflowPunct/>
              <w:topLinePunct w:val="0"/>
              <w:bidi w:val="0"/>
              <w:spacing w:line="360" w:lineRule="auto"/>
              <w:jc w:val="center"/>
              <w:rPr>
                <w:rFonts w:hint="eastAsia" w:ascii="宋体" w:hAnsi="宋体" w:eastAsia="宋体" w:cs="宋体"/>
                <w:sz w:val="24"/>
                <w:szCs w:val="24"/>
                <w:highlight w:val="none"/>
              </w:rPr>
            </w:pPr>
          </w:p>
        </w:tc>
        <w:tc>
          <w:tcPr>
            <w:tcW w:w="1650" w:type="dxa"/>
            <w:noWrap/>
            <w:vAlign w:val="center"/>
          </w:tcPr>
          <w:p>
            <w:pPr>
              <w:pStyle w:val="13"/>
              <w:keepNext w:val="0"/>
              <w:keepLines w:val="0"/>
              <w:pageBreakBefore w:val="0"/>
              <w:pBdr>
                <w:bottom w:val="none" w:color="auto" w:sz="0" w:space="0"/>
              </w:pBdr>
              <w:tabs>
                <w:tab w:val="left" w:pos="420"/>
              </w:tabs>
              <w:kinsoku/>
              <w:overflowPunct/>
              <w:topLinePunct w:val="0"/>
              <w:bidi w:val="0"/>
              <w:snapToGrid/>
              <w:spacing w:line="360" w:lineRule="auto"/>
              <w:rPr>
                <w:rFonts w:hint="eastAsia" w:ascii="宋体" w:hAnsi="宋体" w:eastAsia="宋体" w:cs="宋体"/>
                <w:sz w:val="24"/>
                <w:szCs w:val="24"/>
                <w:highlight w:val="none"/>
              </w:rPr>
            </w:pPr>
          </w:p>
        </w:tc>
      </w:tr>
    </w:tbl>
    <w:p>
      <w:pPr>
        <w:pStyle w:val="16"/>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keepNext w:val="0"/>
        <w:keepLines w:val="0"/>
        <w:pageBreakBefore w:val="0"/>
        <w:kinsoku/>
        <w:overflowPunct/>
        <w:topLinePunct w:val="0"/>
        <w:bidi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注：附业绩须提供合同扫描件并加盖公章。</w:t>
      </w:r>
    </w:p>
    <w:p>
      <w:pPr>
        <w:keepNext w:val="0"/>
        <w:keepLines w:val="0"/>
        <w:pageBreakBefore w:val="0"/>
        <w:widowControl/>
        <w:shd w:val="clear" w:color="auto" w:fill="FFFFFF"/>
        <w:kinsoku/>
        <w:wordWrap w:val="0"/>
        <w:overflowPunct/>
        <w:topLinePunct w:val="0"/>
        <w:bidi w:val="0"/>
        <w:spacing w:line="360" w:lineRule="auto"/>
        <w:jc w:val="left"/>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（投标人全称）  </w:t>
      </w:r>
      <w:r>
        <w:rPr>
          <w:rFonts w:hint="eastAsia" w:ascii="宋体" w:hAnsi="宋体" w:eastAsia="宋体" w:cs="宋体"/>
          <w:color w:val="auto"/>
          <w:sz w:val="24"/>
          <w:szCs w:val="24"/>
          <w:highlight w:val="none"/>
        </w:rPr>
        <w:t>（加盖公章）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（签</w:t>
      </w:r>
      <w:r>
        <w:rPr>
          <w:rFonts w:hint="eastAsia" w:ascii="宋体" w:hAnsi="宋体" w:eastAsia="宋体" w:cs="宋体"/>
          <w:color w:val="auto"/>
          <w:sz w:val="24"/>
          <w:szCs w:val="24"/>
          <w:highlight w:val="none"/>
          <w:u w:val="single"/>
          <w:lang w:val="en-US" w:eastAsia="zh-CN"/>
        </w:rPr>
        <w:t>字</w:t>
      </w:r>
      <w:r>
        <w:rPr>
          <w:rFonts w:hint="eastAsia" w:ascii="宋体" w:hAnsi="宋体" w:eastAsia="宋体" w:cs="宋体"/>
          <w:color w:val="auto"/>
          <w:sz w:val="24"/>
          <w:szCs w:val="24"/>
          <w:highlight w:val="none"/>
          <w:u w:val="single"/>
        </w:rPr>
        <w:t xml:space="preserve">或盖章）   </w:t>
      </w:r>
    </w:p>
    <w:p>
      <w:pPr>
        <w:pStyle w:val="25"/>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kinsoku/>
        <w:overflowPunct/>
        <w:topLinePunct w:val="0"/>
        <w:bidi w:val="0"/>
        <w:snapToGrid w:val="0"/>
        <w:spacing w:line="360" w:lineRule="auto"/>
        <w:textAlignment w:val="baseline"/>
        <w:rPr>
          <w:rFonts w:hint="eastAsia" w:ascii="宋体" w:hAnsi="宋体" w:eastAsia="宋体" w:cs="宋体"/>
          <w:color w:val="auto"/>
          <w:sz w:val="24"/>
          <w:szCs w:val="24"/>
          <w:highlight w:val="none"/>
        </w:rPr>
      </w:pPr>
    </w:p>
    <w:p>
      <w:pPr>
        <w:pStyle w:val="10"/>
        <w:keepNext w:val="0"/>
        <w:keepLines w:val="0"/>
        <w:pageBreakBefore w:val="0"/>
        <w:kinsoku/>
        <w:overflowPunct/>
        <w:topLinePunct w:val="0"/>
        <w:bidi w:val="0"/>
        <w:spacing w:line="360" w:lineRule="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投标文件装订顺序</w:t>
      </w:r>
    </w:p>
    <w:p>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pPr>
        <w:keepNext w:val="0"/>
        <w:keepLines w:val="0"/>
        <w:pageBreakBefore w:val="0"/>
        <w:numPr>
          <w:ilvl w:val="0"/>
          <w:numId w:val="4"/>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val="en-US" w:eastAsia="zh-CN"/>
        </w:rPr>
        <w:t>文件及相关承诺函</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pPr>
        <w:keepNext w:val="0"/>
        <w:keepLines w:val="0"/>
        <w:pageBreakBefore w:val="0"/>
        <w:numPr>
          <w:ilvl w:val="0"/>
          <w:numId w:val="4"/>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7.投标人认为需要提供的其它文件</w:t>
      </w:r>
    </w:p>
    <w:p>
      <w:pPr>
        <w:keepNext w:val="0"/>
        <w:keepLines w:val="0"/>
        <w:pageBreakBefore w:val="0"/>
        <w:numPr>
          <w:ilvl w:val="0"/>
          <w:numId w:val="4"/>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lang w:val="en-US" w:eastAsia="zh-CN"/>
        </w:rPr>
        <w:t>8.</w:t>
      </w:r>
      <w:r>
        <w:rPr>
          <w:rFonts w:hint="eastAsia" w:ascii="宋体" w:hAnsi="宋体" w:eastAsia="宋体" w:cs="宋体"/>
          <w:bCs/>
          <w:color w:val="auto"/>
          <w:spacing w:val="8"/>
          <w:sz w:val="24"/>
          <w:szCs w:val="24"/>
          <w:highlight w:val="none"/>
        </w:rPr>
        <w:t>封底</w:t>
      </w:r>
    </w:p>
    <w:p>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六、</w:t>
      </w:r>
      <w:r>
        <w:rPr>
          <w:rFonts w:hint="eastAsia" w:ascii="宋体" w:hAnsi="宋体" w:cs="宋体"/>
          <w:b w:val="0"/>
          <w:i w:val="0"/>
          <w:caps w:val="0"/>
          <w:color w:val="auto"/>
          <w:spacing w:val="0"/>
          <w:w w:val="100"/>
          <w:sz w:val="24"/>
          <w:szCs w:val="24"/>
          <w:highlight w:val="none"/>
          <w:lang w:val="en-US" w:eastAsia="zh-CN"/>
        </w:rPr>
        <w:t>项目</w:t>
      </w:r>
      <w:r>
        <w:rPr>
          <w:rFonts w:hint="eastAsia" w:ascii="宋体" w:hAnsi="宋体" w:eastAsia="宋体" w:cs="宋体"/>
          <w:b w:val="0"/>
          <w:i w:val="0"/>
          <w:caps w:val="0"/>
          <w:color w:val="auto"/>
          <w:spacing w:val="0"/>
          <w:w w:val="100"/>
          <w:sz w:val="24"/>
          <w:szCs w:val="24"/>
          <w:highlight w:val="none"/>
        </w:rPr>
        <w:t xml:space="preserve">名称：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w:t>
      </w:r>
      <w:r>
        <w:rPr>
          <w:rFonts w:hint="eastAsia" w:ascii="宋体" w:hAnsi="宋体" w:eastAsia="宋体" w:cs="宋体"/>
          <w:b w:val="0"/>
          <w:i w:val="0"/>
          <w:caps w:val="0"/>
          <w:color w:val="auto"/>
          <w:spacing w:val="0"/>
          <w:w w:val="100"/>
          <w:sz w:val="24"/>
          <w:szCs w:val="24"/>
          <w:highlight w:val="none"/>
          <w:lang w:val="en-US" w:eastAsia="zh-CN"/>
        </w:rPr>
        <w:t>投标文件</w:t>
      </w:r>
      <w:r>
        <w:rPr>
          <w:rFonts w:hint="eastAsia" w:ascii="宋体" w:hAnsi="宋体" w:eastAsia="宋体" w:cs="宋体"/>
          <w:b w:val="0"/>
          <w:i w:val="0"/>
          <w:caps w:val="0"/>
          <w:color w:val="auto"/>
          <w:spacing w:val="0"/>
          <w:w w:val="100"/>
          <w:sz w:val="24"/>
          <w:szCs w:val="24"/>
          <w:highlight w:val="none"/>
        </w:rPr>
        <w:t>传递）</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pPr>
        <w:pStyle w:val="8"/>
        <w:keepNext w:val="0"/>
        <w:keepLines w:val="0"/>
        <w:pageBreakBefore w:val="0"/>
        <w:kinsoku/>
        <w:wordWrap/>
        <w:overflowPunct/>
        <w:topLinePunct w:val="0"/>
        <w:bidi w:val="0"/>
        <w:spacing w:before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附件5 </w:t>
      </w:r>
    </w:p>
    <w:p>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致四川省妇幼保健院：</w:t>
      </w:r>
    </w:p>
    <w:p>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pPr>
        <w:keepNext w:val="0"/>
        <w:keepLines w:val="0"/>
        <w:pageBreakBefore w:val="0"/>
        <w:kinsoku/>
        <w:wordWrap/>
        <w:overflowPunct/>
        <w:topLinePunct w:val="0"/>
        <w:bidi w:val="0"/>
        <w:spacing w:beforeAutospacing="0" w:line="360" w:lineRule="auto"/>
        <w:ind w:firstLine="6960" w:firstLineChars="2900"/>
        <w:jc w:val="left"/>
        <w:rPr>
          <w:rFonts w:hint="eastAsia" w:ascii="宋体" w:hAnsi="宋体" w:eastAsia="宋体" w:cs="宋体"/>
          <w:b/>
          <w:bCs/>
          <w:i w:val="0"/>
          <w:iCs w:val="0"/>
          <w:caps w:val="0"/>
          <w:color w:val="auto"/>
          <w:spacing w:val="0"/>
          <w:sz w:val="24"/>
          <w:szCs w:val="24"/>
          <w:highlight w:val="cyan"/>
          <w:shd w:val="clear" w:fill="FFFFFF"/>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pStyle w:val="6"/>
        <w:keepNext w:val="0"/>
        <w:keepLines w:val="0"/>
        <w:pageBreakBefore w:val="0"/>
        <w:kinsoku/>
        <w:overflowPunct/>
        <w:topLinePunct w:val="0"/>
        <w:bidi w:val="0"/>
        <w:spacing w:line="360" w:lineRule="auto"/>
        <w:rPr>
          <w:rFonts w:hint="eastAsia" w:ascii="宋体" w:hAnsi="宋体" w:eastAsia="宋体" w:cs="宋体"/>
          <w:sz w:val="24"/>
          <w:szCs w:val="24"/>
        </w:rPr>
      </w:pPr>
    </w:p>
    <w:sectPr>
      <w:headerReference r:id="rId3" w:type="default"/>
      <w:footerReference r:id="rId4" w:type="default"/>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t xml:space="preserve">第 </w:t>
                          </w:r>
                          <w:r>
                            <w:fldChar w:fldCharType="begin"/>
                          </w:r>
                          <w:r>
                            <w:instrText xml:space="preserve"> PAGE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left"/>
      <w:rPr>
        <w:rFonts w:hint="eastAsia" w:eastAsia="宋体"/>
        <w:lang w:eastAsia="zh-CN"/>
      </w:rPr>
    </w:pPr>
  </w:p>
  <w:p>
    <w:pPr>
      <w:pStyle w:val="13"/>
      <w:pBdr>
        <w:bottom w:val="none" w:color="auto" w:sz="0" w:space="0"/>
      </w:pBdr>
      <w:jc w:val="left"/>
      <w:rPr>
        <w:rFonts w:hint="eastAsia" w:eastAsia="宋体"/>
        <w:lang w:eastAsia="zh-CN"/>
      </w:rPr>
    </w:pPr>
  </w:p>
  <w:p>
    <w:pPr>
      <w:pStyle w:val="13"/>
      <w:pBdr>
        <w:bottom w:val="none" w:color="auto" w:sz="0" w:space="0"/>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2B7F8603"/>
    <w:multiLevelType w:val="singleLevel"/>
    <w:tmpl w:val="2B7F8603"/>
    <w:lvl w:ilvl="0" w:tentative="0">
      <w:start w:val="1"/>
      <w:numFmt w:val="bullet"/>
      <w:lvlText w:val=""/>
      <w:lvlJc w:val="left"/>
      <w:pPr>
        <w:ind w:left="420" w:hanging="420"/>
      </w:pPr>
      <w:rPr>
        <w:rFonts w:hint="default" w:ascii="Wingdings" w:hAnsi="Wingdings"/>
      </w:rPr>
    </w:lvl>
  </w:abstractNum>
  <w:abstractNum w:abstractNumId="2">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wZmE0ZmU3Y2M1ZWQ5MWU4OTc0ZDQ0OGMzYzM2NmMifQ=="/>
  </w:docVars>
  <w:rsids>
    <w:rsidRoot w:val="74046BF8"/>
    <w:rsid w:val="02071A61"/>
    <w:rsid w:val="02EB0DDA"/>
    <w:rsid w:val="033E7560"/>
    <w:rsid w:val="041941B5"/>
    <w:rsid w:val="04335DA6"/>
    <w:rsid w:val="05D1531A"/>
    <w:rsid w:val="06E339A6"/>
    <w:rsid w:val="07550A75"/>
    <w:rsid w:val="075F5E39"/>
    <w:rsid w:val="08914E9E"/>
    <w:rsid w:val="08D00FFA"/>
    <w:rsid w:val="09074930"/>
    <w:rsid w:val="09D05FD4"/>
    <w:rsid w:val="0A1B1736"/>
    <w:rsid w:val="0A7056FD"/>
    <w:rsid w:val="0AD57EAC"/>
    <w:rsid w:val="0CF514F6"/>
    <w:rsid w:val="0D4234FE"/>
    <w:rsid w:val="0E7E38D5"/>
    <w:rsid w:val="100B45B1"/>
    <w:rsid w:val="12FB4A33"/>
    <w:rsid w:val="13160D6D"/>
    <w:rsid w:val="142842D5"/>
    <w:rsid w:val="14705DA4"/>
    <w:rsid w:val="14770888"/>
    <w:rsid w:val="156F4137"/>
    <w:rsid w:val="16A37219"/>
    <w:rsid w:val="17191F74"/>
    <w:rsid w:val="17380D87"/>
    <w:rsid w:val="19031A95"/>
    <w:rsid w:val="19EE0799"/>
    <w:rsid w:val="1B633B7D"/>
    <w:rsid w:val="1BBD2F92"/>
    <w:rsid w:val="1C6A7DF0"/>
    <w:rsid w:val="1F215C65"/>
    <w:rsid w:val="201A2537"/>
    <w:rsid w:val="20B240CD"/>
    <w:rsid w:val="20D5619C"/>
    <w:rsid w:val="20DE5730"/>
    <w:rsid w:val="23CE4694"/>
    <w:rsid w:val="2404126F"/>
    <w:rsid w:val="24AD32BB"/>
    <w:rsid w:val="253A21D7"/>
    <w:rsid w:val="27C804BE"/>
    <w:rsid w:val="28845A50"/>
    <w:rsid w:val="29204E17"/>
    <w:rsid w:val="29364810"/>
    <w:rsid w:val="2A536CFE"/>
    <w:rsid w:val="2C144DE1"/>
    <w:rsid w:val="2D8404BB"/>
    <w:rsid w:val="2F762E69"/>
    <w:rsid w:val="30332322"/>
    <w:rsid w:val="32E12E85"/>
    <w:rsid w:val="346C3C91"/>
    <w:rsid w:val="349A16DA"/>
    <w:rsid w:val="363C0689"/>
    <w:rsid w:val="3690566F"/>
    <w:rsid w:val="37F93E62"/>
    <w:rsid w:val="3898558D"/>
    <w:rsid w:val="38EA6674"/>
    <w:rsid w:val="3B544C6D"/>
    <w:rsid w:val="3C3E7065"/>
    <w:rsid w:val="3EC02D98"/>
    <w:rsid w:val="3FA17103"/>
    <w:rsid w:val="40E83987"/>
    <w:rsid w:val="412C177C"/>
    <w:rsid w:val="414C199F"/>
    <w:rsid w:val="41C01EA5"/>
    <w:rsid w:val="41F078EE"/>
    <w:rsid w:val="42AE53DA"/>
    <w:rsid w:val="43281342"/>
    <w:rsid w:val="437A4019"/>
    <w:rsid w:val="43E87076"/>
    <w:rsid w:val="43FB3B18"/>
    <w:rsid w:val="45846253"/>
    <w:rsid w:val="472552CA"/>
    <w:rsid w:val="47D81561"/>
    <w:rsid w:val="4875266D"/>
    <w:rsid w:val="48F42CAF"/>
    <w:rsid w:val="49796A18"/>
    <w:rsid w:val="49BD3C89"/>
    <w:rsid w:val="4ABD16FD"/>
    <w:rsid w:val="4B366F25"/>
    <w:rsid w:val="4B9B14EB"/>
    <w:rsid w:val="4C282A7E"/>
    <w:rsid w:val="4CCA2FC8"/>
    <w:rsid w:val="4DF61D74"/>
    <w:rsid w:val="4E125E21"/>
    <w:rsid w:val="4E9E77F7"/>
    <w:rsid w:val="4F2C1DF1"/>
    <w:rsid w:val="4F5703EE"/>
    <w:rsid w:val="513C39C1"/>
    <w:rsid w:val="51580123"/>
    <w:rsid w:val="51673FD8"/>
    <w:rsid w:val="51F77D06"/>
    <w:rsid w:val="542947A2"/>
    <w:rsid w:val="54E90046"/>
    <w:rsid w:val="553B6208"/>
    <w:rsid w:val="55B50A63"/>
    <w:rsid w:val="55ED4B8A"/>
    <w:rsid w:val="56424E12"/>
    <w:rsid w:val="56BC6CDA"/>
    <w:rsid w:val="56E60816"/>
    <w:rsid w:val="58B0040F"/>
    <w:rsid w:val="58BC5ADA"/>
    <w:rsid w:val="593309E8"/>
    <w:rsid w:val="5A8A5953"/>
    <w:rsid w:val="5B455E49"/>
    <w:rsid w:val="5B62446F"/>
    <w:rsid w:val="5B6E2A65"/>
    <w:rsid w:val="5CBB0641"/>
    <w:rsid w:val="5D1E59F1"/>
    <w:rsid w:val="5D367666"/>
    <w:rsid w:val="5DE91920"/>
    <w:rsid w:val="5F087B79"/>
    <w:rsid w:val="5F7601AD"/>
    <w:rsid w:val="5FC53852"/>
    <w:rsid w:val="5FE01DDB"/>
    <w:rsid w:val="605807A0"/>
    <w:rsid w:val="634D79F0"/>
    <w:rsid w:val="63910247"/>
    <w:rsid w:val="643B43E5"/>
    <w:rsid w:val="64BF421D"/>
    <w:rsid w:val="65522D16"/>
    <w:rsid w:val="66491460"/>
    <w:rsid w:val="668B6666"/>
    <w:rsid w:val="683722F0"/>
    <w:rsid w:val="68702FE3"/>
    <w:rsid w:val="689F3DCE"/>
    <w:rsid w:val="68D07D74"/>
    <w:rsid w:val="69166805"/>
    <w:rsid w:val="69326925"/>
    <w:rsid w:val="6D040A33"/>
    <w:rsid w:val="6D3276C6"/>
    <w:rsid w:val="6DDB5FB0"/>
    <w:rsid w:val="6EB557D6"/>
    <w:rsid w:val="6F8240C3"/>
    <w:rsid w:val="6F95081D"/>
    <w:rsid w:val="6FD06991"/>
    <w:rsid w:val="71211781"/>
    <w:rsid w:val="731E21D2"/>
    <w:rsid w:val="73E24175"/>
    <w:rsid w:val="74046BF8"/>
    <w:rsid w:val="75D9228C"/>
    <w:rsid w:val="7ACE3009"/>
    <w:rsid w:val="7AD9139A"/>
    <w:rsid w:val="7B1E510C"/>
    <w:rsid w:val="7BFE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0" w:after="20" w:line="416" w:lineRule="auto"/>
      <w:outlineLvl w:val="2"/>
    </w:pPr>
    <w:rPr>
      <w:b/>
      <w:bCs/>
      <w:szCs w:val="32"/>
    </w:rPr>
  </w:style>
  <w:style w:type="paragraph" w:styleId="5">
    <w:name w:val="heading 5"/>
    <w:basedOn w:val="1"/>
    <w:next w:val="1"/>
    <w:unhideWhenUsed/>
    <w:qFormat/>
    <w:uiPriority w:val="0"/>
    <w:pPr>
      <w:keepNext/>
      <w:keepLines/>
      <w:spacing w:before="40" w:after="50" w:line="376" w:lineRule="auto"/>
      <w:outlineLvl w:val="4"/>
    </w:pPr>
    <w:rPr>
      <w:b/>
      <w:bCs/>
      <w:sz w:val="21"/>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unhideWhenUsed/>
    <w:uiPriority w:val="99"/>
    <w:pPr>
      <w:jc w:val="left"/>
    </w:pPr>
  </w:style>
  <w:style w:type="paragraph" w:styleId="8">
    <w:name w:val="Body Text"/>
    <w:basedOn w:val="1"/>
    <w:next w:val="1"/>
    <w:qFormat/>
    <w:uiPriority w:val="0"/>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spacing w:line="460" w:lineRule="exact"/>
      <w:ind w:firstLine="567"/>
    </w:pPr>
    <w:rPr>
      <w:rFonts w:ascii="宋体" w:hAnsi="Courier New" w:eastAsia="仿宋_GB2312"/>
      <w:sz w:val="28"/>
      <w:szCs w:val="20"/>
    </w:rPr>
  </w:style>
  <w:style w:type="paragraph" w:styleId="11">
    <w:name w:val="Body Text Indent 2"/>
    <w:basedOn w:val="1"/>
    <w:next w:val="12"/>
    <w:qFormat/>
    <w:uiPriority w:val="0"/>
    <w:pPr>
      <w:ind w:firstLine="540" w:firstLineChars="257"/>
    </w:pPr>
  </w:style>
  <w:style w:type="paragraph" w:customStyle="1" w:styleId="1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3">
    <w:name w:val="header"/>
    <w:basedOn w:val="1"/>
    <w:unhideWhenUsed/>
    <w:qFormat/>
    <w:uiPriority w:val="99"/>
    <w:pPr>
      <w:tabs>
        <w:tab w:val="center" w:pos="4153"/>
        <w:tab w:val="right" w:pos="8306"/>
      </w:tabs>
      <w:snapToGrid w:val="0"/>
      <w:jc w:val="center"/>
    </w:pPr>
    <w:rPr>
      <w:sz w:val="18"/>
      <w:szCs w:val="18"/>
    </w:rPr>
  </w:style>
  <w:style w:type="paragraph" w:styleId="14">
    <w:name w:val="toc 1"/>
    <w:basedOn w:val="1"/>
    <w:next w:val="1"/>
    <w:qFormat/>
    <w:uiPriority w:val="0"/>
    <w:pPr>
      <w:spacing w:line="180" w:lineRule="auto"/>
      <w:jc w:val="center"/>
    </w:pPr>
    <w:rPr>
      <w:sz w:val="30"/>
    </w:rPr>
  </w:style>
  <w:style w:type="paragraph" w:styleId="15">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16">
    <w:name w:val="footnote text"/>
    <w:basedOn w:val="1"/>
    <w:qFormat/>
    <w:uiPriority w:val="99"/>
    <w:pPr>
      <w:snapToGrid w:val="0"/>
      <w:jc w:val="left"/>
    </w:pPr>
    <w:rPr>
      <w:rFonts w:ascii="宋体" w:hAnsi="Times New Roman" w:eastAsia="宋体" w:cs="Times New Roman"/>
      <w:kern w:val="0"/>
      <w:sz w:val="18"/>
      <w:szCs w:val="18"/>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qFormat/>
    <w:uiPriority w:val="0"/>
    <w:pPr>
      <w:ind w:firstLine="420"/>
    </w:pPr>
  </w:style>
  <w:style w:type="table" w:styleId="20">
    <w:name w:val="Table Grid"/>
    <w:basedOn w:val="19"/>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标题 5（有编号）（绿盟科技）"/>
    <w:basedOn w:val="1"/>
    <w:next w:val="2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表格1"/>
    <w:qFormat/>
    <w:uiPriority w:val="0"/>
    <w:pPr>
      <w:widowControl w:val="0"/>
      <w:wordWrap w:val="0"/>
      <w:autoSpaceDE w:val="0"/>
      <w:autoSpaceDN w:val="0"/>
      <w:spacing w:line="360" w:lineRule="exact"/>
      <w:jc w:val="both"/>
    </w:pPr>
    <w:rPr>
      <w:rFonts w:ascii="宋体" w:hAnsi="Times New Roman" w:eastAsia="宋体" w:cs="Times New Roman"/>
      <w:kern w:val="0"/>
      <w:sz w:val="24"/>
      <w:szCs w:val="20"/>
      <w:lang w:val="en-US" w:eastAsia="zh-CN" w:bidi="ar-SA"/>
    </w:r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4918</Words>
  <Characters>5089</Characters>
  <Lines>0</Lines>
  <Paragraphs>0</Paragraphs>
  <TotalTime>2</TotalTime>
  <ScaleCrop>false</ScaleCrop>
  <LinksUpToDate>false</LinksUpToDate>
  <CharactersWithSpaces>5439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2025-03-28T00:39:00Z</dcterms:created>
  <dc:creator>罗珊珊</dc:creator>
  <cp:lastModifiedBy>hasee</cp:lastModifiedBy>
  <cp:lastPrinted>2025-05-23T07:31:00Z</cp:lastPrinted>
  <dcterms:modified xsi:type="dcterms:W3CDTF">2026-05-13T00:40:57Z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6BFDD3A51B454AF588B9D661C01DBAEE_13</vt:lpwstr>
  </property>
  <property fmtid="{D5CDD505-2E9C-101B-9397-08002B2CF9AE}" pid="4" name="KSOTemplateDocerSaveRecord">
    <vt:lpwstr>eyJoZGlkIjoiODcwZmE0ZmU3Y2M1ZWQ5MWU4OTc0ZDQ0OGMzYzM2NmMiLCJ1c2VySWQiOiIxMzE0MjM0OTg5In0=</vt:lpwstr>
  </property>
</Properties>
</file>