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7C573">
      <w:pPr>
        <w:spacing w:line="560" w:lineRule="exact"/>
        <w:ind w:firstLine="0" w:firstLineChars="0"/>
        <w:rPr>
          <w:rFonts w:ascii="仿宋_GB2312" w:eastAsia="仿宋_GB2312"/>
          <w:color w:val="000000"/>
          <w:sz w:val="32"/>
          <w:szCs w:val="32"/>
        </w:rPr>
      </w:pPr>
      <w:r>
        <w:rPr>
          <w:rFonts w:hint="eastAsia" w:ascii="仿宋_GB2312" w:eastAsia="仿宋_GB2312"/>
          <w:color w:val="000000"/>
          <w:sz w:val="32"/>
          <w:szCs w:val="32"/>
        </w:rPr>
        <w:t>附件1</w:t>
      </w:r>
    </w:p>
    <w:p w14:paraId="0654B272">
      <w:pPr>
        <w:spacing w:line="560" w:lineRule="exact"/>
        <w:ind w:firstLine="0" w:firstLineChars="0"/>
        <w:jc w:val="center"/>
        <w:rPr>
          <w:rFonts w:ascii="华光小标宋_CNKI" w:hAnsi="华光小标宋_CNKI" w:eastAsia="华光小标宋_CNKI"/>
          <w:color w:val="000000"/>
          <w:sz w:val="32"/>
          <w:szCs w:val="32"/>
        </w:rPr>
      </w:pPr>
      <w:r>
        <w:rPr>
          <w:rFonts w:hint="eastAsia" w:ascii="华光小标宋_CNKI" w:hAnsi="华光小标宋_CNKI" w:eastAsia="华光小标宋_CNKI" w:cs="宋体"/>
          <w:bCs/>
          <w:sz w:val="44"/>
          <w:szCs w:val="44"/>
        </w:rPr>
        <w:t>四川省妇幼保健院（四川省妇女儿童医院）天府院区二期工程建设项目人防工程防护设备质量检测服务（补充检测）要求</w:t>
      </w:r>
    </w:p>
    <w:p w14:paraId="6BA20658">
      <w:pPr>
        <w:spacing w:line="560" w:lineRule="exact"/>
        <w:ind w:firstLine="643"/>
        <w:rPr>
          <w:rFonts w:ascii="仿宋_GB2312" w:eastAsia="仿宋_GB2312"/>
          <w:b/>
          <w:bCs/>
          <w:color w:val="000000"/>
          <w:sz w:val="32"/>
          <w:szCs w:val="32"/>
        </w:rPr>
      </w:pPr>
    </w:p>
    <w:p w14:paraId="689E0CEF">
      <w:pPr>
        <w:spacing w:line="560" w:lineRule="exact"/>
        <w:ind w:firstLine="643"/>
        <w:rPr>
          <w:rFonts w:ascii="仿宋_GB2312" w:eastAsia="仿宋_GB2312"/>
          <w:b/>
          <w:bCs/>
          <w:color w:val="000000"/>
          <w:sz w:val="32"/>
          <w:szCs w:val="32"/>
        </w:rPr>
      </w:pPr>
      <w:r>
        <w:rPr>
          <w:rFonts w:hint="eastAsia" w:ascii="仿宋_GB2312" w:eastAsia="仿宋_GB2312"/>
          <w:b/>
          <w:bCs/>
          <w:color w:val="000000"/>
          <w:sz w:val="32"/>
          <w:szCs w:val="32"/>
        </w:rPr>
        <w:t>一、项目概述</w:t>
      </w:r>
    </w:p>
    <w:p w14:paraId="03DDC1EF">
      <w:pPr>
        <w:widowControl/>
        <w:jc w:val="both"/>
        <w:textAlignment w:val="center"/>
        <w:rPr>
          <w:rFonts w:hint="eastAsia" w:ascii="宋体" w:hAnsi="宋体" w:eastAsia="宋体" w:cs="宋体"/>
          <w:color w:val="000000"/>
          <w:kern w:val="0"/>
          <w:sz w:val="20"/>
          <w:szCs w:val="20"/>
          <w:lang w:val="en-US" w:eastAsia="zh-CN" w:bidi="ar"/>
          <w14:ligatures w14:val="none"/>
        </w:rPr>
      </w:pPr>
      <w:r>
        <w:rPr>
          <w:rFonts w:hint="eastAsia" w:ascii="宋体" w:hAnsi="宋体" w:eastAsia="宋体" w:cs="宋体"/>
          <w:color w:val="000000"/>
          <w:kern w:val="0"/>
          <w:sz w:val="20"/>
          <w:szCs w:val="20"/>
          <w:lang w:val="en-US" w:eastAsia="zh-CN" w:bidi="ar"/>
          <w14:ligatures w14:val="none"/>
        </w:rPr>
        <w:t>1.名称：四川省妇幼保健院（四川省妇女儿童医院）天府院区二期工程建设项目人防工程防护设备质量检测.</w:t>
      </w:r>
    </w:p>
    <w:p w14:paraId="6529A6B8">
      <w:pPr>
        <w:widowControl/>
        <w:jc w:val="both"/>
        <w:textAlignment w:val="center"/>
        <w:rPr>
          <w:rFonts w:hint="eastAsia" w:ascii="宋体" w:hAnsi="宋体" w:eastAsia="宋体" w:cs="宋体"/>
          <w:color w:val="000000"/>
          <w:kern w:val="0"/>
          <w:sz w:val="20"/>
          <w:szCs w:val="20"/>
          <w:lang w:val="en-US" w:eastAsia="zh-CN" w:bidi="ar"/>
          <w14:ligatures w14:val="none"/>
        </w:rPr>
      </w:pPr>
      <w:r>
        <w:rPr>
          <w:rFonts w:hint="eastAsia" w:ascii="宋体" w:hAnsi="宋体" w:eastAsia="宋体" w:cs="宋体"/>
          <w:color w:val="000000"/>
          <w:kern w:val="0"/>
          <w:sz w:val="20"/>
          <w:szCs w:val="20"/>
          <w:lang w:val="en-US" w:eastAsia="zh-CN" w:bidi="ar"/>
          <w14:ligatures w14:val="none"/>
        </w:rPr>
        <w:t>2.资料递交位置：四川省成都市双流区岐黄二路1515号四川省妇幼保健院天府院区-综合保障楼</w:t>
      </w:r>
    </w:p>
    <w:p w14:paraId="7577310E">
      <w:pPr>
        <w:widowControl/>
        <w:jc w:val="both"/>
        <w:textAlignment w:val="center"/>
        <w:rPr>
          <w:rFonts w:hint="eastAsia" w:ascii="宋体" w:hAnsi="宋体" w:eastAsia="宋体" w:cs="宋体"/>
          <w:color w:val="000000"/>
          <w:kern w:val="0"/>
          <w:sz w:val="20"/>
          <w:szCs w:val="20"/>
          <w:lang w:val="en-US" w:eastAsia="zh-CN" w:bidi="ar"/>
          <w14:ligatures w14:val="none"/>
        </w:rPr>
      </w:pPr>
      <w:r>
        <w:rPr>
          <w:rFonts w:hint="eastAsia" w:ascii="宋体" w:hAnsi="宋体" w:eastAsia="宋体" w:cs="宋体"/>
          <w:color w:val="000000"/>
          <w:kern w:val="0"/>
          <w:sz w:val="20"/>
          <w:szCs w:val="20"/>
          <w:lang w:val="en-US" w:eastAsia="zh-CN" w:bidi="ar"/>
          <w14:ligatures w14:val="none"/>
        </w:rPr>
        <w:t>3.项目位置：成都市双流区岐黄二路1515号</w:t>
      </w:r>
    </w:p>
    <w:p w14:paraId="7130E232">
      <w:pPr>
        <w:widowControl/>
        <w:jc w:val="both"/>
        <w:textAlignment w:val="center"/>
        <w:rPr>
          <w:rFonts w:hint="eastAsia" w:ascii="仿宋_GB2312" w:hAnsi="仿宋_GB2312" w:eastAsia="仿宋_GB2312" w:cs="仿宋_GB2312"/>
          <w:sz w:val="32"/>
          <w:szCs w:val="32"/>
        </w:rPr>
      </w:pPr>
      <w:r>
        <w:rPr>
          <w:rFonts w:hint="eastAsia" w:ascii="宋体" w:hAnsi="宋体" w:eastAsia="宋体" w:cs="宋体"/>
          <w:color w:val="000000"/>
          <w:kern w:val="0"/>
          <w:sz w:val="20"/>
          <w:szCs w:val="20"/>
          <w:lang w:val="en-US" w:eastAsia="zh-CN" w:bidi="ar"/>
          <w14:ligatures w14:val="none"/>
        </w:rPr>
        <w:t>4.工程项目概况：四川省妇幼保健院（四川省妇女儿童医院）天府院区二期工程建设项目总规划净用地面积69598.22㎡，其中二期工程项目净用地面积约为16300㎡，二期批复总建筑面79975㎡，其中地上51968㎡，地下28007㎡(其中人防面积约：8090㎡)</w:t>
      </w:r>
      <w:r>
        <w:rPr>
          <w:rFonts w:hint="eastAsia" w:ascii="宋体" w:hAnsi="宋体" w:cs="宋体"/>
          <w:color w:val="000000"/>
          <w:kern w:val="0"/>
          <w:sz w:val="20"/>
          <w:szCs w:val="20"/>
          <w:lang w:val="en-US" w:eastAsia="zh-CN" w:bidi="ar"/>
          <w14:ligatures w14:val="none"/>
        </w:rPr>
        <w:t>，共4个人防防护单元</w:t>
      </w:r>
      <w:r>
        <w:rPr>
          <w:rFonts w:hint="eastAsia" w:ascii="宋体" w:hAnsi="宋体" w:eastAsia="宋体" w:cs="宋体"/>
          <w:color w:val="000000"/>
          <w:kern w:val="0"/>
          <w:sz w:val="20"/>
          <w:szCs w:val="20"/>
          <w:lang w:val="en-US" w:eastAsia="zh-CN" w:bidi="ar"/>
          <w14:ligatures w14:val="none"/>
        </w:rPr>
        <w:t>。包括新建门诊住院综合楼、科教楼、地下人防急救医院、设备机房、车库等，配套建设道路、景观、室外管线等公用附属设施，配置洗衣房及制氧中心设备等。二期门诊住院综合楼位于一期门诊住院综合楼西北方向，并与其接壤，该楼初步规划设置地上12层（总建筑面积约36000㎡），地下2层（总建筑面积约28000㎡）。二期科教楼位于现一期行政后勤综合楼北侧，初步确定地上建筑面积约16000㎡，共建设11层。</w:t>
      </w:r>
    </w:p>
    <w:p w14:paraId="7A127FC9">
      <w:pPr>
        <w:spacing w:line="560" w:lineRule="exact"/>
        <w:ind w:firstLine="640"/>
        <w:rPr>
          <w:rFonts w:hint="eastAsia" w:ascii="宋体" w:hAnsi="宋体" w:eastAsia="宋体" w:cs="宋体"/>
          <w:b/>
          <w:color w:val="000000"/>
          <w:sz w:val="32"/>
          <w:szCs w:val="32"/>
        </w:rPr>
      </w:pPr>
      <w:r>
        <w:rPr>
          <w:rFonts w:hint="eastAsia" w:ascii="仿宋_GB2312" w:eastAsia="仿宋_GB2312"/>
          <w:b/>
          <w:bCs/>
          <w:color w:val="000000"/>
          <w:sz w:val="32"/>
          <w:szCs w:val="32"/>
          <w:lang w:val="en-US" w:eastAsia="zh-CN"/>
        </w:rPr>
        <w:t>二</w:t>
      </w:r>
      <w:r>
        <w:rPr>
          <w:rFonts w:hint="eastAsia" w:ascii="仿宋_GB2312" w:eastAsia="仿宋_GB2312"/>
          <w:b/>
          <w:bCs/>
          <w:color w:val="000000"/>
          <w:sz w:val="32"/>
          <w:szCs w:val="32"/>
        </w:rPr>
        <w:t>、</w:t>
      </w:r>
      <w:r>
        <w:rPr>
          <w:rFonts w:hint="eastAsia" w:ascii="宋体" w:hAnsi="宋体" w:eastAsia="宋体" w:cs="宋体"/>
          <w:b/>
          <w:color w:val="000000"/>
          <w:sz w:val="32"/>
          <w:szCs w:val="32"/>
        </w:rPr>
        <w:t>预算及采购清单</w:t>
      </w:r>
    </w:p>
    <w:p w14:paraId="5E594631">
      <w:pPr>
        <w:pStyle w:val="17"/>
        <w:numPr>
          <w:ilvl w:val="0"/>
          <w:numId w:val="1"/>
        </w:numPr>
        <w:adjustRightInd w:val="0"/>
        <w:snapToGrid w:val="0"/>
        <w:spacing w:before="156" w:beforeLines="50" w:after="156" w:afterLines="50"/>
        <w:ind w:left="0" w:firstLine="400" w:firstLineChars="200"/>
        <w:jc w:val="left"/>
        <w:outlineLvl w:val="0"/>
        <w:rPr>
          <w:rFonts w:hint="eastAsia" w:ascii="宋体" w:hAnsi="宋体" w:eastAsia="宋体" w:cs="宋体"/>
          <w:color w:val="000000"/>
          <w:kern w:val="0"/>
          <w:sz w:val="20"/>
          <w:szCs w:val="20"/>
          <w:lang w:val="en-US" w:eastAsia="zh-CN" w:bidi="ar"/>
          <w14:ligatures w14:val="none"/>
        </w:rPr>
      </w:pPr>
      <w:r>
        <w:rPr>
          <w:rFonts w:hint="eastAsia" w:ascii="宋体" w:hAnsi="宋体" w:eastAsia="宋体" w:cs="宋体"/>
          <w:color w:val="000000"/>
          <w:kern w:val="0"/>
          <w:sz w:val="20"/>
          <w:szCs w:val="20"/>
          <w:lang w:val="en-US" w:eastAsia="zh-CN" w:bidi="ar"/>
          <w14:ligatures w14:val="none"/>
        </w:rPr>
        <w:t>最高限价：3.96万元</w:t>
      </w:r>
    </w:p>
    <w:p w14:paraId="7E1AA32E">
      <w:pPr>
        <w:pStyle w:val="17"/>
        <w:numPr>
          <w:ilvl w:val="0"/>
          <w:numId w:val="1"/>
        </w:numPr>
        <w:adjustRightInd w:val="0"/>
        <w:snapToGrid w:val="0"/>
        <w:spacing w:before="156" w:beforeLines="50" w:after="156" w:afterLines="50"/>
        <w:ind w:left="0" w:firstLine="400" w:firstLineChars="200"/>
        <w:jc w:val="left"/>
        <w:outlineLvl w:val="0"/>
        <w:rPr>
          <w:rFonts w:hint="eastAsia" w:ascii="宋体" w:hAnsi="宋体" w:eastAsia="宋体" w:cs="宋体"/>
          <w:color w:val="000000"/>
          <w:kern w:val="0"/>
          <w:sz w:val="20"/>
          <w:szCs w:val="20"/>
          <w:lang w:val="en-US" w:eastAsia="zh-CN" w:bidi="ar"/>
          <w14:ligatures w14:val="none"/>
        </w:rPr>
      </w:pPr>
      <w:r>
        <w:rPr>
          <w:rFonts w:hint="eastAsia" w:ascii="宋体" w:hAnsi="宋体" w:eastAsia="宋体" w:cs="宋体"/>
          <w:color w:val="000000"/>
          <w:kern w:val="0"/>
          <w:sz w:val="20"/>
          <w:szCs w:val="20"/>
          <w:lang w:val="en-US" w:eastAsia="zh-CN" w:bidi="ar"/>
          <w14:ligatures w14:val="none"/>
        </w:rPr>
        <w:t>采购清单</w:t>
      </w:r>
    </w:p>
    <w:tbl>
      <w:tblPr>
        <w:tblStyle w:val="10"/>
        <w:tblW w:w="8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3645"/>
        <w:gridCol w:w="765"/>
        <w:gridCol w:w="690"/>
        <w:gridCol w:w="2344"/>
      </w:tblGrid>
      <w:tr w14:paraId="46E2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94" w:type="dxa"/>
            <w:vAlign w:val="center"/>
          </w:tcPr>
          <w:p w14:paraId="3519BD33">
            <w:pPr>
              <w:widowControl/>
              <w:adjustRightInd w:val="0"/>
              <w:snapToGrid w:val="0"/>
              <w:spacing w:line="300" w:lineRule="exact"/>
              <w:ind w:left="0" w:leftChars="0" w:firstLine="0" w:firstLineChars="0"/>
              <w:contextualSpacing/>
              <w:jc w:val="both"/>
              <w:rPr>
                <w:rFonts w:hint="eastAsia" w:ascii="宋体" w:hAnsi="宋体" w:eastAsia="宋体" w:cs="宋体"/>
                <w:b/>
                <w:bCs/>
                <w:color w:val="000000"/>
                <w:kern w:val="0"/>
                <w:sz w:val="20"/>
                <w:szCs w:val="21"/>
                <w14:ligatures w14:val="none"/>
              </w:rPr>
            </w:pPr>
            <w:r>
              <w:rPr>
                <w:rFonts w:hint="eastAsia" w:ascii="宋体" w:hAnsi="宋体" w:eastAsia="宋体" w:cs="宋体"/>
                <w:b/>
                <w:bCs/>
                <w:color w:val="000000"/>
                <w:kern w:val="0"/>
                <w:sz w:val="20"/>
                <w:szCs w:val="21"/>
                <w14:ligatures w14:val="none"/>
              </w:rPr>
              <w:t>序号</w:t>
            </w:r>
          </w:p>
        </w:tc>
        <w:tc>
          <w:tcPr>
            <w:tcW w:w="3645" w:type="dxa"/>
            <w:vAlign w:val="center"/>
          </w:tcPr>
          <w:p w14:paraId="2C068828">
            <w:pPr>
              <w:widowControl/>
              <w:adjustRightInd w:val="0"/>
              <w:snapToGrid w:val="0"/>
              <w:spacing w:line="300" w:lineRule="exact"/>
              <w:contextualSpacing/>
              <w:jc w:val="center"/>
              <w:rPr>
                <w:rFonts w:hint="eastAsia" w:ascii="宋体" w:hAnsi="宋体" w:eastAsia="宋体" w:cs="宋体"/>
                <w:b/>
                <w:bCs/>
                <w:color w:val="000000"/>
                <w:kern w:val="0"/>
                <w:sz w:val="20"/>
                <w:szCs w:val="21"/>
                <w14:ligatures w14:val="none"/>
              </w:rPr>
            </w:pPr>
            <w:r>
              <w:rPr>
                <w:rFonts w:hint="eastAsia" w:ascii="宋体" w:hAnsi="宋体" w:eastAsia="宋体" w:cs="宋体"/>
                <w:b/>
                <w:bCs/>
                <w:color w:val="000000"/>
                <w:kern w:val="0"/>
                <w:sz w:val="20"/>
                <w:szCs w:val="21"/>
                <w14:ligatures w14:val="none"/>
              </w:rPr>
              <w:t>采购清单</w:t>
            </w:r>
          </w:p>
        </w:tc>
        <w:tc>
          <w:tcPr>
            <w:tcW w:w="765" w:type="dxa"/>
            <w:vAlign w:val="center"/>
          </w:tcPr>
          <w:p w14:paraId="13EECFBB">
            <w:pPr>
              <w:widowControl/>
              <w:adjustRightInd w:val="0"/>
              <w:snapToGrid w:val="0"/>
              <w:spacing w:line="300" w:lineRule="exact"/>
              <w:ind w:left="0" w:leftChars="0" w:firstLine="0" w:firstLineChars="0"/>
              <w:contextualSpacing/>
              <w:jc w:val="both"/>
              <w:rPr>
                <w:rFonts w:hint="eastAsia" w:ascii="宋体" w:hAnsi="宋体" w:eastAsia="宋体" w:cs="宋体"/>
                <w:b/>
                <w:bCs/>
                <w:color w:val="000000"/>
                <w:kern w:val="0"/>
                <w:sz w:val="20"/>
                <w:szCs w:val="21"/>
                <w14:ligatures w14:val="none"/>
              </w:rPr>
            </w:pPr>
            <w:r>
              <w:rPr>
                <w:rFonts w:hint="eastAsia" w:ascii="宋体" w:hAnsi="宋体" w:eastAsia="宋体" w:cs="宋体"/>
                <w:b/>
                <w:bCs/>
                <w:color w:val="000000"/>
                <w:kern w:val="0"/>
                <w:sz w:val="20"/>
                <w:szCs w:val="21"/>
                <w14:ligatures w14:val="none"/>
              </w:rPr>
              <w:t>单位</w:t>
            </w:r>
          </w:p>
        </w:tc>
        <w:tc>
          <w:tcPr>
            <w:tcW w:w="690" w:type="dxa"/>
            <w:vAlign w:val="center"/>
          </w:tcPr>
          <w:p w14:paraId="7ACD8DE0">
            <w:pPr>
              <w:widowControl/>
              <w:adjustRightInd w:val="0"/>
              <w:snapToGrid w:val="0"/>
              <w:spacing w:line="300" w:lineRule="exact"/>
              <w:ind w:left="0" w:leftChars="0" w:firstLine="0" w:firstLineChars="0"/>
              <w:contextualSpacing/>
              <w:jc w:val="both"/>
              <w:rPr>
                <w:rFonts w:hint="eastAsia" w:ascii="宋体" w:hAnsi="宋体" w:eastAsia="宋体" w:cs="宋体"/>
                <w:b/>
                <w:bCs/>
                <w:color w:val="000000"/>
                <w:kern w:val="0"/>
                <w:sz w:val="20"/>
                <w:szCs w:val="21"/>
                <w14:ligatures w14:val="none"/>
              </w:rPr>
            </w:pPr>
            <w:r>
              <w:rPr>
                <w:rFonts w:hint="eastAsia" w:ascii="宋体" w:hAnsi="宋体" w:eastAsia="宋体" w:cs="宋体"/>
                <w:b/>
                <w:bCs/>
                <w:color w:val="000000"/>
                <w:kern w:val="0"/>
                <w:sz w:val="20"/>
                <w:szCs w:val="21"/>
                <w14:ligatures w14:val="none"/>
              </w:rPr>
              <w:t>数量</w:t>
            </w:r>
          </w:p>
        </w:tc>
        <w:tc>
          <w:tcPr>
            <w:tcW w:w="2344" w:type="dxa"/>
            <w:vAlign w:val="center"/>
          </w:tcPr>
          <w:p w14:paraId="497096B4">
            <w:pPr>
              <w:widowControl/>
              <w:adjustRightInd w:val="0"/>
              <w:snapToGrid w:val="0"/>
              <w:spacing w:line="300" w:lineRule="exact"/>
              <w:contextualSpacing/>
              <w:jc w:val="center"/>
              <w:rPr>
                <w:rFonts w:hint="eastAsia" w:ascii="宋体" w:hAnsi="宋体" w:eastAsia="宋体" w:cs="宋体"/>
                <w:b/>
                <w:bCs/>
                <w:color w:val="000000"/>
                <w:kern w:val="0"/>
                <w:sz w:val="20"/>
                <w:szCs w:val="21"/>
                <w14:ligatures w14:val="none"/>
              </w:rPr>
            </w:pPr>
            <w:r>
              <w:rPr>
                <w:rFonts w:hint="eastAsia" w:ascii="宋体" w:hAnsi="宋体" w:eastAsia="宋体" w:cs="宋体"/>
                <w:b/>
                <w:bCs/>
                <w:color w:val="000000"/>
                <w:kern w:val="0"/>
                <w:sz w:val="20"/>
                <w:szCs w:val="21"/>
                <w14:ligatures w14:val="none"/>
              </w:rPr>
              <w:t>单价限价（元）</w:t>
            </w:r>
          </w:p>
        </w:tc>
      </w:tr>
      <w:tr w14:paraId="4B5D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4" w:type="dxa"/>
            <w:vAlign w:val="center"/>
          </w:tcPr>
          <w:p w14:paraId="31C882C6">
            <w:pPr>
              <w:widowControl/>
              <w:adjustRightInd w:val="0"/>
              <w:snapToGrid w:val="0"/>
              <w:spacing w:line="300" w:lineRule="exact"/>
              <w:contextualSpacing/>
              <w:jc w:val="center"/>
              <w:rPr>
                <w:rFonts w:hint="eastAsia" w:ascii="宋体" w:hAnsi="宋体" w:eastAsia="宋体" w:cs="宋体"/>
                <w:color w:val="000000"/>
                <w:kern w:val="0"/>
                <w:sz w:val="20"/>
                <w:szCs w:val="21"/>
                <w14:ligatures w14:val="none"/>
              </w:rPr>
            </w:pPr>
            <w:r>
              <w:rPr>
                <w:rFonts w:hint="eastAsia" w:ascii="宋体" w:hAnsi="宋体" w:eastAsia="宋体" w:cs="宋体"/>
                <w:color w:val="000000"/>
                <w:kern w:val="0"/>
                <w:sz w:val="20"/>
                <w:szCs w:val="21"/>
                <w14:ligatures w14:val="none"/>
              </w:rPr>
              <w:t>1</w:t>
            </w:r>
          </w:p>
        </w:tc>
        <w:tc>
          <w:tcPr>
            <w:tcW w:w="3645" w:type="dxa"/>
            <w:vAlign w:val="center"/>
          </w:tcPr>
          <w:p w14:paraId="3F14E6CB">
            <w:pPr>
              <w:widowControl/>
              <w:jc w:val="both"/>
              <w:textAlignment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lang w:val="en-US" w:eastAsia="zh-CN" w:bidi="ar"/>
                <w14:ligatures w14:val="none"/>
              </w:rPr>
              <w:t>四川省妇幼保健院（四川省妇女儿童医院）天府院区二期工程建设项目人防工程防护设备质量检测服务</w:t>
            </w:r>
            <w:r>
              <w:rPr>
                <w:rFonts w:hint="eastAsia" w:ascii="宋体" w:hAnsi="宋体" w:cs="宋体"/>
                <w:color w:val="000000"/>
                <w:kern w:val="0"/>
                <w:sz w:val="20"/>
                <w:szCs w:val="20"/>
                <w:lang w:val="en-US" w:eastAsia="zh-CN" w:bidi="ar"/>
                <w14:ligatures w14:val="none"/>
              </w:rPr>
              <w:t>（</w:t>
            </w:r>
            <w:r>
              <w:rPr>
                <w:rFonts w:hint="eastAsia" w:ascii="宋体" w:hAnsi="宋体" w:eastAsia="宋体" w:cs="宋体"/>
                <w:color w:val="000000"/>
                <w:kern w:val="0"/>
                <w:sz w:val="20"/>
                <w:szCs w:val="20"/>
                <w:lang w:val="en-US" w:eastAsia="zh-CN" w:bidi="ar"/>
                <w14:ligatures w14:val="none"/>
              </w:rPr>
              <w:t>成都市人防办于2024年7月12日发布了《成都市人民政府国防动员办公室关于《人防设备安装质量综合检测报告(格式)》调整的公告》、2025年5月23日发布了《成都市人民政府国防动员办公室关于明确人民防空防护设备产品质量检测有关事项的通知》等政策性文件，增补了如“人防通风管(排风/清洁)一气密性检测报告”等部分检测内容。</w:t>
            </w:r>
            <w:r>
              <w:rPr>
                <w:rFonts w:hint="eastAsia" w:ascii="宋体" w:hAnsi="宋体" w:cs="宋体"/>
                <w:color w:val="000000"/>
                <w:kern w:val="0"/>
                <w:sz w:val="20"/>
                <w:szCs w:val="20"/>
                <w:lang w:val="en-US" w:eastAsia="zh-CN" w:bidi="ar"/>
                <w14:ligatures w14:val="none"/>
              </w:rPr>
              <w:t>）</w:t>
            </w:r>
          </w:p>
        </w:tc>
        <w:tc>
          <w:tcPr>
            <w:tcW w:w="765" w:type="dxa"/>
            <w:vAlign w:val="center"/>
          </w:tcPr>
          <w:p w14:paraId="139C8E1F">
            <w:pPr>
              <w:widowControl/>
              <w:jc w:val="center"/>
              <w:textAlignment w:val="center"/>
              <w:rPr>
                <w:rFonts w:hint="eastAsia" w:ascii="宋体" w:hAnsi="宋体" w:eastAsia="宋体" w:cs="宋体"/>
                <w:color w:val="000000"/>
                <w:kern w:val="0"/>
                <w:sz w:val="20"/>
                <w:szCs w:val="20"/>
                <w:lang w:eastAsia="zh-CN"/>
                <w14:ligatures w14:val="none"/>
              </w:rPr>
            </w:pPr>
            <w:r>
              <w:rPr>
                <w:rFonts w:hint="eastAsia" w:ascii="宋体" w:hAnsi="宋体" w:eastAsia="宋体" w:cs="宋体"/>
                <w:color w:val="000000"/>
                <w:kern w:val="0"/>
                <w:sz w:val="20"/>
                <w:szCs w:val="20"/>
                <w:lang w:val="en-US" w:eastAsia="zh-CN"/>
                <w14:ligatures w14:val="none"/>
              </w:rPr>
              <w:t>项</w:t>
            </w:r>
          </w:p>
        </w:tc>
        <w:tc>
          <w:tcPr>
            <w:tcW w:w="690" w:type="dxa"/>
            <w:vAlign w:val="center"/>
          </w:tcPr>
          <w:p w14:paraId="03503A69">
            <w:pPr>
              <w:widowControl/>
              <w:adjustRightInd w:val="0"/>
              <w:snapToGrid w:val="0"/>
              <w:spacing w:line="300" w:lineRule="exact"/>
              <w:contextualSpacing/>
              <w:jc w:val="center"/>
              <w:rPr>
                <w:rFonts w:hint="eastAsia" w:ascii="宋体" w:hAnsi="宋体" w:eastAsia="宋体" w:cs="宋体"/>
                <w:color w:val="000000"/>
                <w:kern w:val="0"/>
                <w:sz w:val="20"/>
                <w:szCs w:val="21"/>
                <w14:ligatures w14:val="none"/>
              </w:rPr>
            </w:pPr>
            <w:r>
              <w:rPr>
                <w:rFonts w:hint="eastAsia" w:ascii="宋体" w:hAnsi="宋体" w:eastAsia="宋体" w:cs="宋体"/>
                <w:color w:val="000000"/>
                <w:kern w:val="0"/>
                <w:sz w:val="20"/>
                <w:szCs w:val="21"/>
                <w14:ligatures w14:val="none"/>
              </w:rPr>
              <w:t>1</w:t>
            </w:r>
          </w:p>
        </w:tc>
        <w:tc>
          <w:tcPr>
            <w:tcW w:w="2344" w:type="dxa"/>
            <w:vAlign w:val="center"/>
          </w:tcPr>
          <w:p w14:paraId="6500A71D">
            <w:pPr>
              <w:widowControl/>
              <w:jc w:val="center"/>
              <w:textAlignment w:val="center"/>
              <w:rPr>
                <w:rFonts w:hint="default" w:ascii="宋体" w:hAnsi="宋体" w:eastAsia="宋体" w:cs="宋体"/>
                <w:color w:val="000000"/>
                <w:kern w:val="0"/>
                <w:sz w:val="20"/>
                <w:szCs w:val="21"/>
                <w:lang w:val="en-US"/>
                <w14:ligatures w14:val="none"/>
              </w:rPr>
            </w:pPr>
            <w:r>
              <w:rPr>
                <w:rFonts w:hint="eastAsia" w:ascii="宋体" w:hAnsi="宋体" w:cs="宋体"/>
                <w:color w:val="000000"/>
                <w:kern w:val="0"/>
                <w:sz w:val="20"/>
                <w:szCs w:val="20"/>
                <w:lang w:val="en-US" w:eastAsia="zh-CN" w:bidi="ar"/>
                <w14:ligatures w14:val="none"/>
              </w:rPr>
              <w:t>39600</w:t>
            </w:r>
          </w:p>
        </w:tc>
      </w:tr>
    </w:tbl>
    <w:p w14:paraId="453B8655">
      <w:pPr>
        <w:spacing w:line="560" w:lineRule="exact"/>
        <w:ind w:firstLine="640"/>
        <w:rPr>
          <w:rFonts w:ascii="仿宋_GB2312" w:eastAsia="仿宋_GB2312"/>
          <w:color w:val="000000"/>
          <w:sz w:val="32"/>
          <w:szCs w:val="32"/>
        </w:rPr>
      </w:pPr>
    </w:p>
    <w:p w14:paraId="0E780B3B">
      <w:pPr>
        <w:spacing w:line="560" w:lineRule="exact"/>
        <w:ind w:firstLine="640"/>
        <w:rPr>
          <w:rFonts w:hint="eastAsia" w:ascii="仿宋_GB2312" w:eastAsia="仿宋_GB2312"/>
          <w:b/>
          <w:bCs/>
          <w:color w:val="000000"/>
          <w:sz w:val="32"/>
          <w:szCs w:val="32"/>
          <w:lang w:val="en-US" w:eastAsia="zh-CN"/>
        </w:rPr>
      </w:pPr>
      <w:r>
        <w:rPr>
          <w:rFonts w:hint="eastAsia" w:ascii="仿宋_GB2312" w:eastAsia="仿宋_GB2312"/>
          <w:b/>
          <w:bCs/>
          <w:color w:val="000000"/>
          <w:sz w:val="32"/>
          <w:szCs w:val="32"/>
          <w:lang w:val="en-US" w:eastAsia="zh-CN"/>
        </w:rPr>
        <w:t>三、技术要求</w:t>
      </w:r>
    </w:p>
    <w:tbl>
      <w:tblPr>
        <w:tblStyle w:val="10"/>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327"/>
        <w:gridCol w:w="6892"/>
      </w:tblGrid>
      <w:tr w14:paraId="0DE5E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14:paraId="308A7144">
            <w:pPr>
              <w:widowControl/>
              <w:adjustRightInd w:val="0"/>
              <w:snapToGrid w:val="0"/>
              <w:spacing w:line="300" w:lineRule="exact"/>
              <w:contextualSpacing/>
              <w:jc w:val="center"/>
              <w:rPr>
                <w:rFonts w:hint="eastAsia" w:ascii="宋体" w:hAnsi="宋体" w:eastAsia="宋体" w:cs="宋体"/>
                <w:color w:val="000000"/>
                <w:kern w:val="0"/>
                <w:sz w:val="20"/>
                <w:szCs w:val="21"/>
                <w14:ligatures w14:val="none"/>
              </w:rPr>
            </w:pPr>
            <w:r>
              <w:rPr>
                <w:rFonts w:hint="eastAsia" w:ascii="宋体" w:hAnsi="宋体" w:eastAsia="宋体" w:cs="宋体"/>
                <w:kern w:val="0"/>
                <w:sz w:val="20"/>
                <w:szCs w:val="21"/>
                <w14:ligatures w14:val="none"/>
              </w:rPr>
              <w:t>序号</w:t>
            </w:r>
          </w:p>
        </w:tc>
        <w:tc>
          <w:tcPr>
            <w:tcW w:w="2327" w:type="dxa"/>
            <w:vAlign w:val="center"/>
          </w:tcPr>
          <w:p w14:paraId="4A28190A">
            <w:pPr>
              <w:adjustRightInd w:val="0"/>
              <w:snapToGrid w:val="0"/>
              <w:jc w:val="center"/>
              <w:rPr>
                <w:rFonts w:hint="eastAsia" w:ascii="宋体" w:hAnsi="宋体" w:eastAsia="宋体" w:cs="宋体"/>
                <w:color w:val="000000"/>
                <w:kern w:val="0"/>
                <w:sz w:val="20"/>
                <w:szCs w:val="20"/>
                <w14:ligatures w14:val="none"/>
              </w:rPr>
            </w:pPr>
            <w:r>
              <w:rPr>
                <w:rFonts w:hint="eastAsia" w:ascii="宋体" w:hAnsi="宋体" w:eastAsia="宋体" w:cs="宋体"/>
                <w:kern w:val="0"/>
                <w:sz w:val="20"/>
                <w:szCs w:val="21"/>
                <w14:ligatures w14:val="none"/>
              </w:rPr>
              <w:t>名称</w:t>
            </w:r>
          </w:p>
        </w:tc>
        <w:tc>
          <w:tcPr>
            <w:tcW w:w="6892" w:type="dxa"/>
            <w:vAlign w:val="center"/>
          </w:tcPr>
          <w:p w14:paraId="7F557E94">
            <w:pPr>
              <w:widowControl/>
              <w:shd w:val="clear" w:color="auto" w:fill="FFFFFF"/>
              <w:jc w:val="left"/>
              <w:rPr>
                <w:rFonts w:hint="eastAsia" w:ascii="宋体" w:hAnsi="宋体" w:eastAsia="宋体" w:cs="宋体"/>
                <w:color w:val="000000"/>
                <w:kern w:val="0"/>
                <w:sz w:val="20"/>
                <w:szCs w:val="21"/>
                <w14:ligatures w14:val="none"/>
              </w:rPr>
            </w:pPr>
            <w:r>
              <w:rPr>
                <w:rFonts w:hint="eastAsia" w:ascii="宋体" w:hAnsi="宋体" w:eastAsia="宋体" w:cs="宋体"/>
                <w:kern w:val="0"/>
                <w:sz w:val="20"/>
                <w:szCs w:val="21"/>
                <w14:ligatures w14:val="none"/>
              </w:rPr>
              <w:t>技术参数</w:t>
            </w:r>
          </w:p>
        </w:tc>
      </w:tr>
      <w:tr w14:paraId="35D6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14:paraId="03D1859D">
            <w:pPr>
              <w:widowControl/>
              <w:adjustRightInd w:val="0"/>
              <w:snapToGrid w:val="0"/>
              <w:spacing w:line="300" w:lineRule="exact"/>
              <w:contextualSpacing/>
              <w:jc w:val="center"/>
              <w:rPr>
                <w:rFonts w:hint="eastAsia" w:ascii="宋体" w:hAnsi="宋体" w:eastAsia="宋体" w:cs="宋体"/>
                <w:kern w:val="0"/>
                <w:sz w:val="20"/>
                <w:szCs w:val="21"/>
                <w14:ligatures w14:val="none"/>
              </w:rPr>
            </w:pPr>
            <w:r>
              <w:rPr>
                <w:rFonts w:hint="eastAsia" w:ascii="宋体" w:hAnsi="宋体" w:eastAsia="宋体" w:cs="宋体"/>
                <w:color w:val="000000"/>
                <w:kern w:val="0"/>
                <w:sz w:val="20"/>
                <w:szCs w:val="21"/>
                <w14:ligatures w14:val="none"/>
              </w:rPr>
              <w:t>4</w:t>
            </w:r>
          </w:p>
        </w:tc>
        <w:tc>
          <w:tcPr>
            <w:tcW w:w="2327" w:type="dxa"/>
            <w:vAlign w:val="center"/>
          </w:tcPr>
          <w:p w14:paraId="17FF8D50">
            <w:pPr>
              <w:widowControl/>
              <w:shd w:val="clear" w:color="auto" w:fill="FFFFFF"/>
              <w:jc w:val="left"/>
              <w:rPr>
                <w:rFonts w:hint="default" w:ascii="宋体" w:hAnsi="宋体" w:eastAsia="宋体" w:cs="宋体"/>
                <w:color w:val="000000"/>
                <w:kern w:val="0"/>
                <w:sz w:val="20"/>
                <w:szCs w:val="21"/>
                <w:lang w:val="en-US" w:eastAsia="zh-CN"/>
                <w14:ligatures w14:val="none"/>
              </w:rPr>
            </w:pPr>
            <w:r>
              <w:rPr>
                <w:rFonts w:hint="eastAsia" w:hAnsi="宋体" w:eastAsia="宋体" w:cs="宋体"/>
                <w:b/>
                <w:kern w:val="0"/>
                <w:sz w:val="24"/>
                <w:szCs w:val="21"/>
                <w14:ligatures w14:val="none"/>
              </w:rPr>
              <w:t>★</w:t>
            </w:r>
            <w:r>
              <w:rPr>
                <w:rFonts w:hint="eastAsia" w:ascii="宋体" w:hAnsi="宋体" w:cs="宋体"/>
                <w:color w:val="000000"/>
                <w:kern w:val="0"/>
                <w:sz w:val="20"/>
                <w:szCs w:val="21"/>
                <w:lang w:val="en-US" w:eastAsia="zh-CN"/>
                <w14:ligatures w14:val="none"/>
              </w:rPr>
              <w:t>检测</w:t>
            </w:r>
            <w:r>
              <w:rPr>
                <w:rFonts w:hint="eastAsia" w:ascii="宋体" w:hAnsi="宋体" w:eastAsia="宋体" w:cs="宋体"/>
                <w:color w:val="000000"/>
                <w:kern w:val="0"/>
                <w:sz w:val="20"/>
                <w:szCs w:val="21"/>
                <w:lang w:val="en-US" w:eastAsia="zh-CN"/>
                <w14:ligatures w14:val="none"/>
              </w:rPr>
              <w:t>要求</w:t>
            </w:r>
          </w:p>
        </w:tc>
        <w:tc>
          <w:tcPr>
            <w:tcW w:w="6892" w:type="dxa"/>
            <w:vAlign w:val="center"/>
          </w:tcPr>
          <w:p w14:paraId="1E98A8D3">
            <w:pPr>
              <w:widowControl/>
              <w:jc w:val="both"/>
              <w:textAlignment w:val="center"/>
              <w:rPr>
                <w:rFonts w:hint="eastAsia" w:ascii="宋体" w:hAnsi="宋体" w:eastAsia="宋体" w:cs="宋体"/>
                <w:color w:val="000000"/>
                <w:kern w:val="0"/>
                <w:sz w:val="20"/>
                <w:szCs w:val="20"/>
                <w:lang w:val="en-US" w:eastAsia="zh-CN" w:bidi="ar"/>
                <w14:ligatures w14:val="none"/>
              </w:rPr>
            </w:pPr>
            <w:r>
              <w:rPr>
                <w:rFonts w:hint="eastAsia" w:ascii="宋体" w:hAnsi="宋体" w:cs="宋体"/>
                <w:color w:val="000000"/>
                <w:kern w:val="0"/>
                <w:sz w:val="20"/>
                <w:szCs w:val="20"/>
                <w:lang w:val="en-US" w:eastAsia="zh-CN" w:bidi="ar"/>
                <w14:ligatures w14:val="none"/>
              </w:rPr>
              <w:t>（1）</w:t>
            </w:r>
            <w:r>
              <w:rPr>
                <w:rFonts w:hint="eastAsia" w:ascii="宋体" w:hAnsi="宋体" w:eastAsia="宋体" w:cs="宋体"/>
                <w:color w:val="000000"/>
                <w:kern w:val="0"/>
                <w:sz w:val="20"/>
                <w:szCs w:val="20"/>
                <w:lang w:val="en-US" w:eastAsia="zh-CN" w:bidi="ar"/>
                <w14:ligatures w14:val="none"/>
              </w:rPr>
              <w:t>检测内容包括：按照相关法律法规、政策文件、图纸、“人防通风管(排风/清洁)一气密性检测报告”等要求的全部人防检测项目，满足相关政府、质检等部门要求。（2023年7月24日以来，相关人防主管部门要求增加的人防检测内容）。</w:t>
            </w:r>
          </w:p>
          <w:p w14:paraId="2FC1E95B">
            <w:pPr>
              <w:widowControl/>
              <w:jc w:val="both"/>
              <w:textAlignment w:val="center"/>
              <w:rPr>
                <w:rFonts w:hint="eastAsia" w:ascii="宋体" w:hAnsi="宋体" w:eastAsia="宋体" w:cs="宋体"/>
                <w:color w:val="000000"/>
                <w:kern w:val="0"/>
                <w:sz w:val="20"/>
                <w:szCs w:val="20"/>
                <w:lang w:val="en-US" w:eastAsia="zh-CN" w:bidi="ar"/>
                <w14:ligatures w14:val="none"/>
              </w:rPr>
            </w:pPr>
            <w:r>
              <w:rPr>
                <w:rFonts w:hint="eastAsia" w:ascii="宋体" w:hAnsi="宋体" w:eastAsia="宋体" w:cs="宋体"/>
                <w:color w:val="000000"/>
                <w:kern w:val="0"/>
                <w:sz w:val="20"/>
                <w:szCs w:val="20"/>
                <w:lang w:val="en-US" w:eastAsia="zh-CN" w:bidi="ar"/>
                <w14:ligatures w14:val="none"/>
              </w:rPr>
              <w:t>（2）根据甲方提供的委托信息，在检测资质许可范围内，对委托的防护设备产品进行检测，并按相应技术标准规范，及时出具检测报告。</w:t>
            </w:r>
          </w:p>
          <w:p w14:paraId="00AD004E">
            <w:pPr>
              <w:widowControl/>
              <w:jc w:val="both"/>
              <w:textAlignment w:val="center"/>
              <w:rPr>
                <w:rFonts w:hint="eastAsia" w:ascii="宋体" w:hAnsi="宋体" w:eastAsia="宋体" w:cs="宋体"/>
                <w:color w:val="000000"/>
                <w:kern w:val="0"/>
                <w:sz w:val="20"/>
                <w:szCs w:val="20"/>
                <w:lang w:val="en-US" w:eastAsia="zh-CN" w:bidi="ar"/>
                <w14:ligatures w14:val="none"/>
              </w:rPr>
            </w:pPr>
            <w:r>
              <w:rPr>
                <w:rFonts w:hint="eastAsia" w:ascii="宋体" w:hAnsi="宋体" w:eastAsia="宋体" w:cs="宋体"/>
                <w:color w:val="000000"/>
                <w:kern w:val="0"/>
                <w:sz w:val="20"/>
                <w:szCs w:val="20"/>
                <w:lang w:val="en-US" w:eastAsia="zh-CN" w:bidi="ar"/>
                <w14:ligatures w14:val="none"/>
              </w:rPr>
              <w:t>（3）乙方独立地实施符合国家标准的检测，并依据相应的标准规范对检测结果进行客观、公正、科学、准确的判定。</w:t>
            </w:r>
          </w:p>
          <w:p w14:paraId="08797F27">
            <w:pPr>
              <w:widowControl/>
              <w:jc w:val="both"/>
              <w:textAlignment w:val="center"/>
              <w:rPr>
                <w:rFonts w:hint="eastAsia" w:ascii="宋体" w:hAnsi="宋体" w:eastAsia="宋体" w:cs="宋体"/>
                <w:color w:val="000000"/>
                <w:kern w:val="0"/>
                <w:sz w:val="20"/>
                <w:szCs w:val="20"/>
                <w:lang w:val="zh-CN" w:eastAsia="zh-CN" w:bidi="ar"/>
                <w14:ligatures w14:val="none"/>
              </w:rPr>
            </w:pPr>
            <w:r>
              <w:rPr>
                <w:rFonts w:hint="eastAsia" w:ascii="宋体" w:hAnsi="宋体" w:eastAsia="宋体" w:cs="宋体"/>
                <w:color w:val="000000"/>
                <w:kern w:val="0"/>
                <w:sz w:val="20"/>
                <w:szCs w:val="20"/>
                <w:lang w:val="en-US" w:eastAsia="zh-CN" w:bidi="ar"/>
                <w14:ligatures w14:val="none"/>
              </w:rPr>
              <w:t>（4）按规范、标准中规定有检测时限的，本着以规范、标准规定的时限为原则，安排检测。</w:t>
            </w:r>
          </w:p>
          <w:p w14:paraId="6427646C">
            <w:pPr>
              <w:widowControl/>
              <w:jc w:val="both"/>
              <w:textAlignment w:val="center"/>
              <w:rPr>
                <w:rFonts w:hint="eastAsia" w:ascii="宋体" w:hAnsi="宋体" w:eastAsia="宋体" w:cs="宋体"/>
                <w:color w:val="000000"/>
                <w:kern w:val="0"/>
                <w:sz w:val="20"/>
                <w:szCs w:val="20"/>
                <w:lang w:val="en-US" w:eastAsia="zh-CN" w:bidi="ar"/>
                <w14:ligatures w14:val="none"/>
              </w:rPr>
            </w:pPr>
            <w:r>
              <w:rPr>
                <w:rFonts w:hint="eastAsia" w:ascii="宋体" w:hAnsi="宋体" w:eastAsia="宋体" w:cs="宋体"/>
                <w:color w:val="000000"/>
                <w:kern w:val="0"/>
                <w:sz w:val="20"/>
                <w:szCs w:val="20"/>
                <w:lang w:val="en-US" w:eastAsia="zh-CN" w:bidi="ar"/>
                <w14:ligatures w14:val="none"/>
              </w:rPr>
              <w:t>（</w:t>
            </w:r>
            <w:r>
              <w:rPr>
                <w:rFonts w:hint="eastAsia" w:ascii="宋体" w:hAnsi="宋体" w:cs="宋体"/>
                <w:color w:val="000000"/>
                <w:kern w:val="0"/>
                <w:sz w:val="20"/>
                <w:szCs w:val="20"/>
                <w:lang w:val="en-US" w:eastAsia="zh-CN" w:bidi="ar"/>
                <w14:ligatures w14:val="none"/>
              </w:rPr>
              <w:t>5</w:t>
            </w:r>
            <w:r>
              <w:rPr>
                <w:rFonts w:hint="eastAsia" w:ascii="宋体" w:hAnsi="宋体" w:eastAsia="宋体" w:cs="宋体"/>
                <w:color w:val="000000"/>
                <w:kern w:val="0"/>
                <w:sz w:val="20"/>
                <w:szCs w:val="20"/>
                <w:lang w:val="en-US" w:eastAsia="zh-CN" w:bidi="ar"/>
                <w14:ligatures w14:val="none"/>
              </w:rPr>
              <w:t>）出具的检测报告必须符合国家规范要求，各类印章齐全，检测人、审核人、授权签字人均应签字，否则报告无效。</w:t>
            </w:r>
          </w:p>
          <w:p w14:paraId="1F1EFC11">
            <w:pPr>
              <w:widowControl/>
              <w:jc w:val="both"/>
              <w:textAlignment w:val="center"/>
              <w:rPr>
                <w:rFonts w:hint="eastAsia" w:ascii="宋体" w:hAnsi="宋体" w:eastAsia="宋体" w:cs="宋体"/>
                <w:color w:val="000000"/>
                <w:kern w:val="0"/>
                <w:sz w:val="20"/>
                <w:szCs w:val="20"/>
                <w:lang w:val="en-US" w:eastAsia="zh-CN" w:bidi="ar"/>
                <w14:ligatures w14:val="none"/>
              </w:rPr>
            </w:pPr>
            <w:r>
              <w:rPr>
                <w:rFonts w:hint="eastAsia" w:ascii="宋体" w:hAnsi="宋体" w:eastAsia="宋体" w:cs="宋体"/>
                <w:color w:val="000000"/>
                <w:kern w:val="0"/>
                <w:sz w:val="20"/>
                <w:szCs w:val="20"/>
                <w:lang w:val="en-US" w:eastAsia="zh-CN" w:bidi="ar"/>
                <w14:ligatures w14:val="none"/>
              </w:rPr>
              <w:t>（</w:t>
            </w:r>
            <w:r>
              <w:rPr>
                <w:rFonts w:hint="eastAsia" w:ascii="宋体" w:hAnsi="宋体" w:cs="宋体"/>
                <w:color w:val="000000"/>
                <w:kern w:val="0"/>
                <w:sz w:val="20"/>
                <w:szCs w:val="20"/>
                <w:lang w:val="en-US" w:eastAsia="zh-CN" w:bidi="ar"/>
                <w14:ligatures w14:val="none"/>
              </w:rPr>
              <w:t>6</w:t>
            </w:r>
            <w:r>
              <w:rPr>
                <w:rFonts w:hint="eastAsia" w:ascii="宋体" w:hAnsi="宋体" w:eastAsia="宋体" w:cs="宋体"/>
                <w:color w:val="000000"/>
                <w:kern w:val="0"/>
                <w:sz w:val="20"/>
                <w:szCs w:val="20"/>
                <w:lang w:val="en-US" w:eastAsia="zh-CN" w:bidi="ar"/>
                <w14:ligatures w14:val="none"/>
              </w:rPr>
              <w:t>）检测结果需要按照人防主管部门相关要求形成报告，并能满足报审要求。</w:t>
            </w:r>
          </w:p>
        </w:tc>
      </w:tr>
    </w:tbl>
    <w:p w14:paraId="704EC006">
      <w:pPr>
        <w:spacing w:line="560" w:lineRule="exact"/>
        <w:ind w:firstLine="640"/>
        <w:rPr>
          <w:rFonts w:hint="eastAsia" w:ascii="仿宋_GB2312" w:eastAsia="仿宋_GB2312"/>
          <w:b/>
          <w:bCs/>
          <w:color w:val="000000"/>
          <w:sz w:val="32"/>
          <w:szCs w:val="32"/>
          <w:lang w:val="en-US" w:eastAsia="zh-CN"/>
        </w:rPr>
      </w:pPr>
    </w:p>
    <w:p w14:paraId="255AF81D">
      <w:pPr>
        <w:spacing w:line="560" w:lineRule="exact"/>
        <w:ind w:firstLine="640"/>
        <w:rPr>
          <w:rFonts w:hint="eastAsia" w:ascii="仿宋_GB2312" w:eastAsia="仿宋_GB2312"/>
          <w:b/>
          <w:bCs/>
          <w:color w:val="000000"/>
          <w:sz w:val="32"/>
          <w:szCs w:val="32"/>
          <w:lang w:val="en-US" w:eastAsia="zh-CN"/>
        </w:rPr>
      </w:pPr>
      <w:bookmarkStart w:id="0" w:name="_Toc294017670"/>
      <w:bookmarkStart w:id="1" w:name="_Toc439847859"/>
      <w:bookmarkStart w:id="2" w:name="_Toc329876873"/>
      <w:bookmarkStart w:id="3" w:name="_Toc373841013"/>
      <w:bookmarkStart w:id="4" w:name="_Toc152042308"/>
      <w:bookmarkStart w:id="5" w:name="_Toc144974500"/>
      <w:bookmarkStart w:id="6" w:name="_Toc152045532"/>
      <w:r>
        <w:rPr>
          <w:rFonts w:hint="eastAsia" w:ascii="仿宋_GB2312" w:eastAsia="仿宋_GB2312"/>
          <w:b/>
          <w:bCs/>
          <w:color w:val="000000"/>
          <w:sz w:val="32"/>
          <w:szCs w:val="32"/>
          <w:lang w:val="en-US" w:eastAsia="zh-CN"/>
        </w:rPr>
        <w:t>四、★商务要求</w:t>
      </w:r>
    </w:p>
    <w:p w14:paraId="2DED473B">
      <w:r>
        <w:rPr>
          <w:rFonts w:hint="eastAsia"/>
        </w:rPr>
        <w:t xml:space="preserve">1．交货期及地点 </w:t>
      </w:r>
    </w:p>
    <w:p w14:paraId="02D25BFC">
      <w:r>
        <w:rPr>
          <w:rFonts w:hint="eastAsia"/>
        </w:rPr>
        <w:t>(1)</w:t>
      </w:r>
      <w:r>
        <w:rPr>
          <w:rFonts w:hint="eastAsia"/>
        </w:rPr>
        <w:tab/>
      </w:r>
      <w:r>
        <w:rPr>
          <w:rFonts w:hint="eastAsia"/>
        </w:rPr>
        <w:t>交货期：合同签订生效后，</w:t>
      </w:r>
      <w:r>
        <w:rPr>
          <w:rFonts w:hint="eastAsia"/>
          <w:lang w:val="en-US" w:eastAsia="zh-CN"/>
        </w:rPr>
        <w:t>1</w:t>
      </w:r>
      <w:r>
        <w:rPr>
          <w:rFonts w:hint="eastAsia"/>
        </w:rPr>
        <w:t>0日内</w:t>
      </w:r>
      <w:r>
        <w:rPr>
          <w:rFonts w:hint="eastAsia"/>
          <w:lang w:val="en-US" w:eastAsia="zh-CN"/>
        </w:rPr>
        <w:t>完成检测服务</w:t>
      </w:r>
      <w:r>
        <w:rPr>
          <w:rFonts w:hint="eastAsia"/>
        </w:rPr>
        <w:t xml:space="preserve">。 </w:t>
      </w:r>
    </w:p>
    <w:p w14:paraId="5B1F72D7">
      <w:r>
        <w:rPr>
          <w:rFonts w:hint="eastAsia"/>
        </w:rPr>
        <w:t>(2)</w:t>
      </w:r>
      <w:r>
        <w:rPr>
          <w:rFonts w:hint="eastAsia"/>
        </w:rPr>
        <w:tab/>
      </w:r>
      <w:r>
        <w:rPr>
          <w:rFonts w:hint="eastAsia"/>
        </w:rPr>
        <w:t>交货地点: 四川省妇幼保健院</w:t>
      </w:r>
      <w:r>
        <w:rPr>
          <w:rFonts w:hint="eastAsia"/>
          <w:lang w:val="en-US" w:eastAsia="zh-CN"/>
        </w:rPr>
        <w:t>天府院区</w:t>
      </w:r>
      <w:r>
        <w:rPr>
          <w:rFonts w:hint="eastAsia"/>
        </w:rPr>
        <w:t xml:space="preserve"> </w:t>
      </w:r>
    </w:p>
    <w:p w14:paraId="4D23A610">
      <w:r>
        <w:rPr>
          <w:rFonts w:hint="eastAsia"/>
          <w:lang w:val="en-US" w:eastAsia="zh-CN"/>
        </w:rPr>
        <w:t>2</w:t>
      </w:r>
      <w:r>
        <w:rPr>
          <w:rFonts w:hint="eastAsia"/>
        </w:rPr>
        <w:t>．报价要求</w:t>
      </w:r>
    </w:p>
    <w:p w14:paraId="6BA698BD">
      <w:r>
        <w:rPr>
          <w:rFonts w:hint="eastAsia"/>
        </w:rPr>
        <w:t>(1)</w:t>
      </w:r>
      <w:r>
        <w:rPr>
          <w:rFonts w:hint="eastAsia"/>
        </w:rPr>
        <w:tab/>
      </w:r>
      <w:r>
        <w:rPr>
          <w:rFonts w:hint="eastAsia"/>
        </w:rPr>
        <w:t>本次报价包含完成本项目的所有费用，采购人不再额外支付任何费用。</w:t>
      </w:r>
    </w:p>
    <w:p w14:paraId="713E7E32">
      <w:r>
        <w:rPr>
          <w:rFonts w:hint="eastAsia"/>
          <w:lang w:val="en-US" w:eastAsia="zh-CN"/>
        </w:rPr>
        <w:t>3</w:t>
      </w:r>
      <w:r>
        <w:rPr>
          <w:rFonts w:hint="eastAsia"/>
        </w:rPr>
        <w:t>．验收标准</w:t>
      </w:r>
    </w:p>
    <w:p w14:paraId="057C47F8">
      <w:r>
        <w:rPr>
          <w:rFonts w:hint="eastAsia"/>
        </w:rPr>
        <w:t>(1)</w:t>
      </w:r>
      <w:r>
        <w:rPr>
          <w:rFonts w:hint="eastAsia"/>
        </w:rPr>
        <w:tab/>
      </w:r>
      <w:r>
        <w:rPr>
          <w:rFonts w:hint="eastAsia"/>
          <w:lang w:val="en-US" w:eastAsia="zh-CN"/>
        </w:rPr>
        <w:t>检测符合符合项目相关实际，满足国家相关标准要求</w:t>
      </w:r>
      <w:r>
        <w:rPr>
          <w:rFonts w:hint="eastAsia"/>
        </w:rPr>
        <w:t xml:space="preserve">。 </w:t>
      </w:r>
    </w:p>
    <w:p w14:paraId="0BE195B1">
      <w:pPr>
        <w:rPr>
          <w:rFonts w:hint="eastAsia"/>
        </w:rPr>
      </w:pPr>
      <w:r>
        <w:rPr>
          <w:rFonts w:hint="eastAsia"/>
        </w:rPr>
        <w:t>(2)</w:t>
      </w:r>
      <w:r>
        <w:rPr>
          <w:rFonts w:hint="eastAsia"/>
        </w:rPr>
        <w:tab/>
      </w:r>
      <w:r>
        <w:rPr>
          <w:rFonts w:hint="eastAsia"/>
          <w:lang w:val="en-US" w:eastAsia="zh-CN"/>
        </w:rPr>
        <w:t>检测报告通过相关部门审核</w:t>
      </w:r>
      <w:r>
        <w:rPr>
          <w:rFonts w:hint="eastAsia"/>
        </w:rPr>
        <w:t>。</w:t>
      </w:r>
    </w:p>
    <w:p w14:paraId="68385B4D">
      <w:r>
        <w:rPr>
          <w:rFonts w:hint="eastAsia"/>
          <w:lang w:val="en-US" w:eastAsia="zh-CN"/>
        </w:rPr>
        <w:t>4</w:t>
      </w:r>
      <w:r>
        <w:rPr>
          <w:rFonts w:hint="eastAsia"/>
        </w:rPr>
        <w:t>．售后服务</w:t>
      </w:r>
      <w:bookmarkStart w:id="7" w:name="_GoBack"/>
      <w:bookmarkEnd w:id="7"/>
    </w:p>
    <w:p w14:paraId="4FF47B85">
      <w:r>
        <w:rPr>
          <w:rFonts w:hint="eastAsia"/>
          <w:lang w:val="en-US" w:eastAsia="zh-CN"/>
        </w:rPr>
        <w:t>自合同签订之日起至人防质量监督部门审核通过之日内，要求进行相关服务</w:t>
      </w:r>
      <w:r>
        <w:rPr>
          <w:rFonts w:hint="eastAsia"/>
        </w:rPr>
        <w:t>。</w:t>
      </w:r>
    </w:p>
    <w:bookmarkEnd w:id="0"/>
    <w:bookmarkEnd w:id="1"/>
    <w:bookmarkEnd w:id="2"/>
    <w:bookmarkEnd w:id="3"/>
    <w:bookmarkEnd w:id="4"/>
    <w:bookmarkEnd w:id="5"/>
    <w:bookmarkEnd w:id="6"/>
    <w:p w14:paraId="6EF2C245">
      <w:pPr>
        <w:spacing w:line="560" w:lineRule="exact"/>
        <w:ind w:firstLine="640"/>
        <w:rPr>
          <w:rFonts w:ascii="黑体" w:hAnsi="黑体" w:eastAsia="黑体"/>
          <w:bCs/>
          <w:color w:val="000000"/>
          <w:sz w:val="32"/>
          <w:szCs w:val="32"/>
        </w:rPr>
      </w:pPr>
      <w:r>
        <w:rPr>
          <w:rFonts w:hint="eastAsia" w:ascii="黑体" w:hAnsi="黑体" w:eastAsia="黑体"/>
          <w:bCs/>
          <w:color w:val="000000"/>
          <w:sz w:val="32"/>
          <w:szCs w:val="32"/>
          <w:lang w:val="en-US" w:eastAsia="zh-CN"/>
        </w:rPr>
        <w:t>五</w:t>
      </w:r>
      <w:r>
        <w:rPr>
          <w:rFonts w:hint="eastAsia" w:ascii="黑体" w:hAnsi="黑体" w:eastAsia="黑体"/>
          <w:bCs/>
          <w:color w:val="000000"/>
          <w:sz w:val="32"/>
          <w:szCs w:val="32"/>
        </w:rPr>
        <w:t>、</w:t>
      </w:r>
      <w:r>
        <w:rPr>
          <w:rFonts w:hint="eastAsia" w:ascii="仿宋_GB2312" w:hAnsi="仿宋_GB2312" w:eastAsia="仿宋_GB2312" w:cs="仿宋_GB2312"/>
          <w:b/>
          <w:bCs/>
          <w:color w:val="000000" w:themeColor="text1"/>
          <w:sz w:val="32"/>
          <w:szCs w:val="32"/>
          <w14:textFill>
            <w14:solidFill>
              <w14:schemeClr w14:val="tx1"/>
            </w14:solidFill>
          </w14:textFill>
        </w:rPr>
        <w:t>人防检测</w:t>
      </w:r>
      <w:r>
        <w:rPr>
          <w:rFonts w:hint="eastAsia" w:ascii="黑体" w:hAnsi="黑体" w:eastAsia="黑体"/>
          <w:b/>
          <w:bCs/>
          <w:color w:val="000000"/>
          <w:sz w:val="32"/>
          <w:szCs w:val="32"/>
        </w:rPr>
        <w:t>单</w:t>
      </w:r>
      <w:r>
        <w:rPr>
          <w:rFonts w:hint="eastAsia" w:ascii="黑体" w:hAnsi="黑体" w:eastAsia="黑体"/>
          <w:bCs/>
          <w:color w:val="000000"/>
          <w:sz w:val="32"/>
          <w:szCs w:val="32"/>
        </w:rPr>
        <w:t>位要求</w:t>
      </w:r>
    </w:p>
    <w:p w14:paraId="255B7375">
      <w:pPr>
        <w:widowControl/>
        <w:jc w:val="both"/>
        <w:textAlignment w:val="center"/>
        <w:rPr>
          <w:rFonts w:hint="eastAsia" w:ascii="宋体" w:hAnsi="宋体" w:eastAsia="宋体" w:cs="宋体"/>
          <w:color w:val="000000"/>
          <w:kern w:val="0"/>
          <w:sz w:val="20"/>
          <w:szCs w:val="20"/>
          <w:lang w:val="en-US" w:eastAsia="zh-CN" w:bidi="ar"/>
          <w14:ligatures w14:val="none"/>
        </w:rPr>
      </w:pPr>
      <w:r>
        <w:rPr>
          <w:rFonts w:hint="eastAsia" w:ascii="宋体" w:hAnsi="宋体" w:eastAsia="宋体" w:cs="宋体"/>
          <w:color w:val="000000"/>
          <w:kern w:val="0"/>
          <w:sz w:val="20"/>
          <w:szCs w:val="20"/>
          <w:lang w:val="en-US" w:eastAsia="zh-CN" w:bidi="ar"/>
          <w14:ligatures w14:val="none"/>
        </w:rPr>
        <w:t>1.参与投标的投标人必须具有独立法人资格；</w:t>
      </w:r>
    </w:p>
    <w:p w14:paraId="601A38C3">
      <w:pPr>
        <w:widowControl/>
        <w:jc w:val="both"/>
        <w:textAlignment w:val="center"/>
        <w:rPr>
          <w:rFonts w:hint="eastAsia" w:ascii="宋体" w:hAnsi="宋体" w:eastAsia="宋体" w:cs="宋体"/>
          <w:color w:val="000000"/>
          <w:kern w:val="0"/>
          <w:sz w:val="20"/>
          <w:szCs w:val="20"/>
          <w:lang w:val="en-US" w:eastAsia="zh-CN" w:bidi="ar"/>
          <w14:ligatures w14:val="none"/>
        </w:rPr>
      </w:pPr>
      <w:r>
        <w:rPr>
          <w:rFonts w:hint="eastAsia" w:ascii="宋体" w:hAnsi="宋体" w:eastAsia="宋体" w:cs="宋体"/>
          <w:color w:val="000000"/>
          <w:kern w:val="0"/>
          <w:sz w:val="20"/>
          <w:szCs w:val="20"/>
          <w:lang w:val="en-US" w:eastAsia="zh-CN" w:bidi="ar"/>
          <w14:ligatures w14:val="none"/>
        </w:rPr>
        <w:t>2.具有国家认证认可监督管理委员会监制的《检验检测机构资质认定证书》；</w:t>
      </w:r>
    </w:p>
    <w:p w14:paraId="1C44EE26">
      <w:pPr>
        <w:widowControl/>
        <w:jc w:val="both"/>
        <w:textAlignment w:val="center"/>
        <w:rPr>
          <w:rFonts w:hint="eastAsia" w:ascii="宋体" w:hAnsi="宋体" w:eastAsia="宋体" w:cs="宋体"/>
          <w:color w:val="000000"/>
          <w:kern w:val="0"/>
          <w:sz w:val="20"/>
          <w:szCs w:val="20"/>
          <w:lang w:val="en-US" w:eastAsia="zh-CN" w:bidi="ar"/>
          <w14:ligatures w14:val="none"/>
        </w:rPr>
      </w:pPr>
      <w:r>
        <w:rPr>
          <w:rFonts w:hint="eastAsia" w:ascii="宋体" w:hAnsi="宋体" w:eastAsia="宋体" w:cs="宋体"/>
          <w:color w:val="000000"/>
          <w:kern w:val="0"/>
          <w:sz w:val="20"/>
          <w:szCs w:val="20"/>
          <w:lang w:val="en-US" w:eastAsia="zh-CN" w:bidi="ar"/>
          <w14:ligatures w14:val="none"/>
        </w:rPr>
        <w:t>3.未处于财产被接管、冻结、破产状态；未处于四川省行政区域内有关行政处罚期间；未处于投标禁止期内；</w:t>
      </w:r>
    </w:p>
    <w:p w14:paraId="431A0A3E">
      <w:pPr>
        <w:widowControl/>
        <w:jc w:val="both"/>
        <w:textAlignment w:val="center"/>
        <w:rPr>
          <w:rFonts w:hint="eastAsia" w:ascii="宋体" w:hAnsi="宋体" w:eastAsia="宋体" w:cs="宋体"/>
          <w:color w:val="000000"/>
          <w:kern w:val="0"/>
          <w:sz w:val="20"/>
          <w:szCs w:val="20"/>
          <w:lang w:val="en-US" w:eastAsia="zh-CN" w:bidi="ar"/>
          <w14:ligatures w14:val="none"/>
        </w:rPr>
      </w:pPr>
      <w:r>
        <w:rPr>
          <w:rFonts w:hint="eastAsia" w:ascii="宋体" w:hAnsi="宋体" w:eastAsia="宋体" w:cs="宋体"/>
          <w:color w:val="000000"/>
          <w:kern w:val="0"/>
          <w:sz w:val="20"/>
          <w:szCs w:val="20"/>
          <w:lang w:val="en-US" w:eastAsia="zh-CN" w:bidi="ar"/>
          <w14:ligatures w14:val="none"/>
        </w:rPr>
        <w:t>4.具有良好的商业信誉和健全的财务会计制度；</w:t>
      </w:r>
    </w:p>
    <w:p w14:paraId="7610C386">
      <w:pPr>
        <w:widowControl/>
        <w:jc w:val="both"/>
        <w:textAlignment w:val="center"/>
        <w:rPr>
          <w:rFonts w:hint="eastAsia" w:ascii="宋体" w:hAnsi="宋体" w:eastAsia="宋体" w:cs="宋体"/>
          <w:color w:val="000000"/>
          <w:kern w:val="0"/>
          <w:sz w:val="20"/>
          <w:szCs w:val="20"/>
          <w:lang w:val="en-US" w:eastAsia="zh-CN" w:bidi="ar"/>
          <w14:ligatures w14:val="none"/>
        </w:rPr>
      </w:pPr>
      <w:r>
        <w:rPr>
          <w:rFonts w:hint="eastAsia" w:ascii="宋体" w:hAnsi="宋体" w:eastAsia="宋体" w:cs="宋体"/>
          <w:color w:val="000000"/>
          <w:kern w:val="0"/>
          <w:sz w:val="20"/>
          <w:szCs w:val="20"/>
          <w:lang w:val="en-US" w:eastAsia="zh-CN" w:bidi="ar"/>
          <w14:ligatures w14:val="none"/>
        </w:rPr>
        <w:t>5.在人员、设备、资金等方面具有相应的能力；</w:t>
      </w:r>
    </w:p>
    <w:p w14:paraId="779E305E">
      <w:pPr>
        <w:widowControl/>
        <w:jc w:val="both"/>
        <w:textAlignment w:val="center"/>
        <w:rPr>
          <w:rFonts w:ascii="仿宋_GB2312" w:hAnsi="Microsoft YaHei UI" w:eastAsia="仿宋_GB2312" w:cs="宋体"/>
          <w:color w:val="000000"/>
          <w:kern w:val="0"/>
          <w:sz w:val="32"/>
          <w:szCs w:val="32"/>
        </w:rPr>
      </w:pPr>
      <w:r>
        <w:rPr>
          <w:rFonts w:hint="eastAsia" w:ascii="宋体" w:hAnsi="宋体" w:eastAsia="宋体" w:cs="宋体"/>
          <w:color w:val="000000"/>
          <w:kern w:val="0"/>
          <w:sz w:val="20"/>
          <w:szCs w:val="20"/>
          <w:lang w:val="en-US" w:eastAsia="zh-CN" w:bidi="ar"/>
          <w14:ligatures w14:val="none"/>
        </w:rPr>
        <w:t>6.本次采购不接受联合体投标；</w:t>
      </w:r>
    </w:p>
    <w:sectPr>
      <w:headerReference r:id="rId6" w:type="first"/>
      <w:footerReference r:id="rId9" w:type="first"/>
      <w:footerReference r:id="rId7" w:type="default"/>
      <w:headerReference r:id="rId5" w:type="even"/>
      <w:footerReference r:id="rId8"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光小标宋_CNKI">
    <w:altName w:val="宋体"/>
    <w:panose1 w:val="00000000000000000000"/>
    <w:charset w:val="86"/>
    <w:family w:val="auto"/>
    <w:pitch w:val="default"/>
    <w:sig w:usb0="00000000" w:usb1="00000000"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462AC">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F0863">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97D36">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CFD4E">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287AD">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D1A39"/>
    <w:multiLevelType w:val="multilevel"/>
    <w:tmpl w:val="8F9D1A39"/>
    <w:lvl w:ilvl="0" w:tentative="0">
      <w:start w:val="1"/>
      <w:numFmt w:val="decimal"/>
      <w:lvlText w:val="%1."/>
      <w:lvlJc w:val="left"/>
      <w:pPr>
        <w:tabs>
          <w:tab w:val="left" w:pos="-108"/>
        </w:tabs>
        <w:ind w:left="-420"/>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0Yzk1NDRkNTkxYTliYjE5YmExODRlMDE4NWYyNWUifQ=="/>
  </w:docVars>
  <w:rsids>
    <w:rsidRoot w:val="00A231DE"/>
    <w:rsid w:val="000B7129"/>
    <w:rsid w:val="000D3535"/>
    <w:rsid w:val="001B2C5C"/>
    <w:rsid w:val="00256F7A"/>
    <w:rsid w:val="002610A0"/>
    <w:rsid w:val="0029712D"/>
    <w:rsid w:val="002D73A2"/>
    <w:rsid w:val="00300F03"/>
    <w:rsid w:val="00351774"/>
    <w:rsid w:val="00395A59"/>
    <w:rsid w:val="003D1CA5"/>
    <w:rsid w:val="00403CE8"/>
    <w:rsid w:val="004F2D2C"/>
    <w:rsid w:val="00615AED"/>
    <w:rsid w:val="00673992"/>
    <w:rsid w:val="006C43D4"/>
    <w:rsid w:val="00790113"/>
    <w:rsid w:val="007A101B"/>
    <w:rsid w:val="0096178B"/>
    <w:rsid w:val="00994C75"/>
    <w:rsid w:val="00997597"/>
    <w:rsid w:val="00A13A7E"/>
    <w:rsid w:val="00A231DE"/>
    <w:rsid w:val="00A35F21"/>
    <w:rsid w:val="00AD0AA0"/>
    <w:rsid w:val="00B55659"/>
    <w:rsid w:val="00B77683"/>
    <w:rsid w:val="00B8205C"/>
    <w:rsid w:val="00BF7086"/>
    <w:rsid w:val="00C77FCF"/>
    <w:rsid w:val="00C84C9E"/>
    <w:rsid w:val="00CA247D"/>
    <w:rsid w:val="00D06B3E"/>
    <w:rsid w:val="00D31EF7"/>
    <w:rsid w:val="00DA40A1"/>
    <w:rsid w:val="03120A31"/>
    <w:rsid w:val="04E80761"/>
    <w:rsid w:val="0FBF0A8E"/>
    <w:rsid w:val="106206CC"/>
    <w:rsid w:val="11DA3D05"/>
    <w:rsid w:val="13021412"/>
    <w:rsid w:val="15FF197D"/>
    <w:rsid w:val="16856CA3"/>
    <w:rsid w:val="18023FB5"/>
    <w:rsid w:val="1932277F"/>
    <w:rsid w:val="1AC612CA"/>
    <w:rsid w:val="1B012C5C"/>
    <w:rsid w:val="1BB624F0"/>
    <w:rsid w:val="21282395"/>
    <w:rsid w:val="21A12EBA"/>
    <w:rsid w:val="239948FE"/>
    <w:rsid w:val="24D75903"/>
    <w:rsid w:val="2A684813"/>
    <w:rsid w:val="2C2B3683"/>
    <w:rsid w:val="2CD41899"/>
    <w:rsid w:val="2FC62375"/>
    <w:rsid w:val="305C7A9C"/>
    <w:rsid w:val="3349228A"/>
    <w:rsid w:val="33685E6B"/>
    <w:rsid w:val="36FD75C1"/>
    <w:rsid w:val="37264E39"/>
    <w:rsid w:val="38690EBB"/>
    <w:rsid w:val="3B3F778A"/>
    <w:rsid w:val="3DDD4CDA"/>
    <w:rsid w:val="3EEA2F2A"/>
    <w:rsid w:val="405D61C4"/>
    <w:rsid w:val="406B6BFC"/>
    <w:rsid w:val="45A546C7"/>
    <w:rsid w:val="4BB723FD"/>
    <w:rsid w:val="4C8B3E82"/>
    <w:rsid w:val="4E343A17"/>
    <w:rsid w:val="4F2A1121"/>
    <w:rsid w:val="50AD2922"/>
    <w:rsid w:val="51EC68D0"/>
    <w:rsid w:val="54331052"/>
    <w:rsid w:val="54DF6509"/>
    <w:rsid w:val="570A6D6C"/>
    <w:rsid w:val="572B0141"/>
    <w:rsid w:val="57F64934"/>
    <w:rsid w:val="598D75DA"/>
    <w:rsid w:val="5C8D5A42"/>
    <w:rsid w:val="5D9A370D"/>
    <w:rsid w:val="614F2FC1"/>
    <w:rsid w:val="617A5F38"/>
    <w:rsid w:val="61F45CEA"/>
    <w:rsid w:val="635D7461"/>
    <w:rsid w:val="64354398"/>
    <w:rsid w:val="6843618B"/>
    <w:rsid w:val="68550B65"/>
    <w:rsid w:val="69AC5E6E"/>
    <w:rsid w:val="6F60286E"/>
    <w:rsid w:val="752D3395"/>
    <w:rsid w:val="75CD54D4"/>
    <w:rsid w:val="76DF08BF"/>
    <w:rsid w:val="78592C44"/>
    <w:rsid w:val="78941235"/>
    <w:rsid w:val="78DB5FB3"/>
    <w:rsid w:val="7A4E10D6"/>
    <w:rsid w:val="7CCB5FB8"/>
    <w:rsid w:val="7CFC4880"/>
    <w:rsid w:val="7E745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unhideWhenUsed/>
    <w:qFormat/>
    <w:uiPriority w:val="99"/>
    <w:pPr>
      <w:spacing w:after="120"/>
    </w:pPr>
  </w:style>
  <w:style w:type="paragraph" w:styleId="4">
    <w:name w:val="Body Text Indent"/>
    <w:basedOn w:val="1"/>
    <w:link w:val="14"/>
    <w:semiHidden/>
    <w:unhideWhenUsed/>
    <w:qFormat/>
    <w:uiPriority w:val="99"/>
    <w:pPr>
      <w:spacing w:after="120"/>
      <w:ind w:left="420" w:leftChars="200"/>
    </w:pPr>
  </w:style>
  <w:style w:type="paragraph" w:styleId="5">
    <w:name w:val="footer"/>
    <w:basedOn w:val="1"/>
    <w:link w:val="19"/>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table of figures"/>
    <w:basedOn w:val="1"/>
    <w:next w:val="1"/>
    <w:qFormat/>
    <w:uiPriority w:val="0"/>
    <w:pPr>
      <w:spacing w:line="240" w:lineRule="auto"/>
      <w:ind w:left="200" w:leftChars="200" w:hanging="200" w:hangingChars="200"/>
    </w:pPr>
    <w:rPr>
      <w:rFonts w:ascii="Calibri" w:hAnsi="Calibri"/>
      <w:szCs w:val="22"/>
    </w:rPr>
  </w:style>
  <w:style w:type="paragraph" w:styleId="8">
    <w:name w:val="Normal (Web)"/>
    <w:basedOn w:val="1"/>
    <w:unhideWhenUsed/>
    <w:qFormat/>
    <w:uiPriority w:val="99"/>
    <w:pPr>
      <w:widowControl/>
      <w:spacing w:before="150" w:after="150" w:line="240" w:lineRule="auto"/>
      <w:ind w:firstLine="0" w:firstLineChars="0"/>
      <w:jc w:val="left"/>
    </w:pPr>
    <w:rPr>
      <w:rFonts w:ascii="宋体" w:hAnsi="宋体" w:cs="宋体"/>
      <w:kern w:val="0"/>
      <w:sz w:val="24"/>
    </w:rPr>
  </w:style>
  <w:style w:type="table" w:styleId="10">
    <w:name w:val="Table Grid"/>
    <w:basedOn w:val="9"/>
    <w:unhideWhenUsed/>
    <w:qFormat/>
    <w:uiPriority w:val="99"/>
    <w:pPr>
      <w:widowControl w:val="0"/>
      <w:jc w:val="both"/>
    </w:pPr>
    <w:rPr>
      <w:rFonts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3">
    <w:name w:val="正文文本 Char"/>
    <w:basedOn w:val="11"/>
    <w:link w:val="3"/>
    <w:qFormat/>
    <w:uiPriority w:val="99"/>
    <w:rPr>
      <w:rFonts w:ascii="Times New Roman" w:hAnsi="Times New Roman" w:eastAsia="宋体" w:cs="Times New Roman"/>
      <w:szCs w:val="24"/>
    </w:rPr>
  </w:style>
  <w:style w:type="character" w:customStyle="1" w:styleId="14">
    <w:name w:val="正文文本缩进 Char"/>
    <w:basedOn w:val="11"/>
    <w:link w:val="4"/>
    <w:semiHidden/>
    <w:qFormat/>
    <w:uiPriority w:val="99"/>
    <w:rPr>
      <w:rFonts w:ascii="Times New Roman" w:hAnsi="Times New Roman" w:eastAsia="宋体" w:cs="Times New Roman"/>
      <w:szCs w:val="24"/>
    </w:rPr>
  </w:style>
  <w:style w:type="paragraph" w:customStyle="1" w:styleId="15">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character" w:customStyle="1" w:styleId="16">
    <w:name w:val="标题 3 Char"/>
    <w:basedOn w:val="11"/>
    <w:link w:val="2"/>
    <w:semiHidden/>
    <w:qFormat/>
    <w:uiPriority w:val="9"/>
    <w:rPr>
      <w:rFonts w:ascii="Times New Roman" w:hAnsi="Times New Roman" w:eastAsia="宋体" w:cs="Times New Roman"/>
      <w:b/>
      <w:bCs/>
      <w:sz w:val="32"/>
      <w:szCs w:val="32"/>
    </w:rPr>
  </w:style>
  <w:style w:type="paragraph" w:styleId="17">
    <w:name w:val="List Paragraph"/>
    <w:basedOn w:val="1"/>
    <w:qFormat/>
    <w:uiPriority w:val="34"/>
    <w:pPr>
      <w:ind w:firstLine="420"/>
    </w:pPr>
  </w:style>
  <w:style w:type="character" w:customStyle="1" w:styleId="18">
    <w:name w:val="页眉 Char"/>
    <w:basedOn w:val="11"/>
    <w:link w:val="6"/>
    <w:qFormat/>
    <w:uiPriority w:val="99"/>
    <w:rPr>
      <w:rFonts w:ascii="Times New Roman" w:hAnsi="Times New Roman" w:eastAsia="宋体" w:cs="Times New Roman"/>
      <w:sz w:val="18"/>
      <w:szCs w:val="18"/>
    </w:rPr>
  </w:style>
  <w:style w:type="character" w:customStyle="1" w:styleId="19">
    <w:name w:val="页脚 Char"/>
    <w:basedOn w:val="11"/>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3</Pages>
  <Words>1489</Words>
  <Characters>1581</Characters>
  <Lines>15</Lines>
  <Paragraphs>4</Paragraphs>
  <TotalTime>10</TotalTime>
  <ScaleCrop>false</ScaleCrop>
  <LinksUpToDate>false</LinksUpToDate>
  <CharactersWithSpaces>1591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2022-05-30T06:22:00Z</dcterms:created>
  <dc:creator>吴京珉</dc:creator>
  <cp:lastModifiedBy>平淡</cp:lastModifiedBy>
  <dcterms:modified xsi:type="dcterms:W3CDTF">2026-04-27T00:51:30Z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3E23C7747B1A488DBF158DC1F496026B</vt:lpwstr>
  </property>
  <property fmtid="{D5CDD505-2E9C-101B-9397-08002B2CF9AE}" pid="4" name="KSOTemplateDocerSaveRecord">
    <vt:lpwstr>eyJoZGlkIjoiYmI0Yzk1NDRkNTkxYTliYjE5YmExODRlMDE4NWYyNWUiLCJ1c2VySWQiOiIzMzk1MDY4NTYifQ==</vt:lpwstr>
  </property>
</Properties>
</file>