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附件1：</w:t>
      </w:r>
      <w:r>
        <w:rPr>
          <w:rFonts w:hint="eastAsia" w:ascii="宋体" w:hAnsi="宋体" w:eastAsia="宋体" w:cs="宋体"/>
          <w:b/>
          <w:bCs/>
          <w:color w:val="auto"/>
          <w:sz w:val="32"/>
          <w:szCs w:val="32"/>
          <w:highlight w:val="none"/>
          <w:lang w:val="en-US" w:eastAsia="zh-CN"/>
        </w:rPr>
        <w:t>采购需求</w:t>
      </w:r>
    </w:p>
    <w:p>
      <w:pPr>
        <w:pStyle w:val="2"/>
        <w:keepNext w:val="0"/>
        <w:keepLines w:val="0"/>
        <w:pageBreakBefore w:val="0"/>
        <w:widowControl w:val="0"/>
        <w:numPr>
          <w:ilvl w:val="0"/>
          <w:numId w:val="0"/>
        </w:numPr>
        <w:kinsoku/>
        <w:wordWrap/>
        <w:overflowPunct/>
        <w:topLinePunct w:val="0"/>
        <w:autoSpaceDE/>
        <w:autoSpaceDN/>
        <w:bidi w:val="0"/>
        <w:spacing w:line="360" w:lineRule="auto"/>
        <w:ind w:firstLine="560"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lang w:eastAsia="zh-CN"/>
        </w:rPr>
        <w:t>注：本文中标注“</w:t>
      </w:r>
      <w:bookmarkStart w:id="0" w:name="_Hlk202272378"/>
      <w:r>
        <w:rPr>
          <w:rFonts w:hint="eastAsia" w:ascii="宋体" w:hAnsi="宋体" w:eastAsia="宋体" w:cs="宋体"/>
          <w:color w:val="auto"/>
          <w:sz w:val="28"/>
          <w:szCs w:val="28"/>
          <w:highlight w:val="none"/>
          <w:lang w:eastAsia="zh-CN"/>
        </w:rPr>
        <w:t>★</w:t>
      </w:r>
      <w:bookmarkEnd w:id="0"/>
      <w:r>
        <w:rPr>
          <w:rFonts w:hint="eastAsia" w:ascii="宋体" w:hAnsi="宋体" w:eastAsia="宋体" w:cs="宋体"/>
          <w:color w:val="auto"/>
          <w:sz w:val="28"/>
          <w:szCs w:val="28"/>
          <w:highlight w:val="none"/>
          <w:lang w:eastAsia="zh-CN"/>
        </w:rPr>
        <w:t>”号的条款为本项目的实质性要求，供应商应全部满足，否则其投标文件作无效处理。未标识符号的条款为一般参数条款，不满足作扣分处理。</w:t>
      </w:r>
    </w:p>
    <w:p>
      <w:pPr>
        <w:pStyle w:val="2"/>
        <w:keepNext w:val="0"/>
        <w:keepLines w:val="0"/>
        <w:pageBreakBefore w:val="0"/>
        <w:widowControl w:val="0"/>
        <w:numPr>
          <w:ilvl w:val="0"/>
          <w:numId w:val="0"/>
        </w:numPr>
        <w:kinsoku/>
        <w:wordWrap/>
        <w:overflowPunct/>
        <w:topLinePunct w:val="0"/>
        <w:autoSpaceDE/>
        <w:autoSpaceDN/>
        <w:bidi w:val="0"/>
        <w:spacing w:line="360" w:lineRule="auto"/>
        <w:ind w:firstLine="562" w:firstLineChars="200"/>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kern w:val="2"/>
          <w:sz w:val="28"/>
          <w:szCs w:val="28"/>
          <w:lang w:val="en-US" w:eastAsia="zh-CN" w:bidi="ar-SA"/>
        </w:rPr>
        <w:t>一、</w:t>
      </w:r>
      <w:r>
        <w:rPr>
          <w:rFonts w:hint="eastAsia" w:ascii="宋体" w:hAnsi="宋体" w:eastAsia="宋体" w:cs="宋体"/>
          <w:b/>
          <w:color w:val="auto"/>
          <w:sz w:val="28"/>
          <w:szCs w:val="28"/>
          <w:highlight w:val="none"/>
          <w:lang w:val="en-US" w:eastAsia="zh-CN"/>
        </w:rPr>
        <w:t>项目概况</w:t>
      </w:r>
    </w:p>
    <w:p>
      <w:pPr>
        <w:pStyle w:val="17"/>
        <w:keepNext w:val="0"/>
        <w:keepLines w:val="0"/>
        <w:pageBreakBefore w:val="0"/>
        <w:widowControl w:val="0"/>
        <w:numPr>
          <w:ilvl w:val="0"/>
          <w:numId w:val="2"/>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项目名称：生殖医学中心数字化宣传推广咨询服务合作项目</w:t>
      </w:r>
    </w:p>
    <w:p>
      <w:pPr>
        <w:pStyle w:val="17"/>
        <w:keepNext w:val="0"/>
        <w:keepLines w:val="0"/>
        <w:pageBreakBefore w:val="0"/>
        <w:widowControl w:val="0"/>
        <w:numPr>
          <w:ilvl w:val="0"/>
          <w:numId w:val="2"/>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采购项目编号：2026-YWB-ZYZ-001（磋）</w:t>
      </w:r>
    </w:p>
    <w:p>
      <w:pPr>
        <w:pStyle w:val="17"/>
        <w:keepNext w:val="0"/>
        <w:keepLines w:val="0"/>
        <w:pageBreakBefore w:val="0"/>
        <w:widowControl w:val="0"/>
        <w:numPr>
          <w:ilvl w:val="0"/>
          <w:numId w:val="2"/>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预算：</w:t>
      </w:r>
      <w:r>
        <w:rPr>
          <w:rFonts w:hint="eastAsia" w:ascii="宋体" w:hAnsi="宋体" w:eastAsia="宋体" w:cs="宋体"/>
          <w:bCs/>
          <w:color w:val="auto"/>
          <w:sz w:val="28"/>
          <w:szCs w:val="28"/>
          <w:highlight w:val="none"/>
          <w:lang w:val="en-US" w:eastAsia="zh-CN"/>
        </w:rPr>
        <w:t>45</w:t>
      </w:r>
      <w:r>
        <w:rPr>
          <w:rFonts w:hint="eastAsia" w:ascii="宋体" w:hAnsi="宋体" w:eastAsia="宋体" w:cs="宋体"/>
          <w:bCs/>
          <w:color w:val="auto"/>
          <w:sz w:val="28"/>
          <w:szCs w:val="28"/>
          <w:highlight w:val="none"/>
        </w:rPr>
        <w:t>万元</w:t>
      </w:r>
    </w:p>
    <w:p>
      <w:pPr>
        <w:pStyle w:val="17"/>
        <w:keepNext w:val="0"/>
        <w:keepLines w:val="0"/>
        <w:pageBreakBefore w:val="0"/>
        <w:widowControl w:val="0"/>
        <w:numPr>
          <w:ilvl w:val="0"/>
          <w:numId w:val="2"/>
        </w:numPr>
        <w:kinsoku/>
        <w:wordWrap/>
        <w:overflowPunct/>
        <w:topLinePunct w:val="0"/>
        <w:autoSpaceDE/>
        <w:autoSpaceDN/>
        <w:bidi w:val="0"/>
        <w:adjustRightInd w:val="0"/>
        <w:spacing w:before="156" w:beforeLines="50" w:after="156" w:afterLines="50" w:line="360" w:lineRule="auto"/>
        <w:ind w:left="0" w:leftChars="0" w:firstLine="560" w:firstLineChars="200"/>
        <w:contextualSpacing/>
        <w:jc w:val="left"/>
        <w:textAlignment w:val="auto"/>
        <w:outlineLvl w:val="0"/>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lang w:val="en-US" w:eastAsia="zh-CN"/>
        </w:rPr>
        <w:t>最高限价：单项限价1800元/例</w:t>
      </w:r>
    </w:p>
    <w:p>
      <w:pPr>
        <w:pStyle w:val="2"/>
        <w:keepNext w:val="0"/>
        <w:keepLines w:val="0"/>
        <w:pageBreakBefore w:val="0"/>
        <w:widowControl w:val="0"/>
        <w:numPr>
          <w:ilvl w:val="0"/>
          <w:numId w:val="0"/>
        </w:numPr>
        <w:kinsoku/>
        <w:wordWrap/>
        <w:overflowPunct/>
        <w:topLinePunct w:val="0"/>
        <w:autoSpaceDE/>
        <w:autoSpaceDN/>
        <w:bidi w:val="0"/>
        <w:spacing w:line="360" w:lineRule="auto"/>
        <w:ind w:firstLine="562" w:firstLineChars="200"/>
        <w:textAlignment w:val="auto"/>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二、技术要求（功能和质量要求）</w:t>
      </w:r>
    </w:p>
    <w:p>
      <w:pPr>
        <w:pStyle w:val="17"/>
        <w:keepNext w:val="0"/>
        <w:keepLines w:val="0"/>
        <w:pageBreakBefore w:val="0"/>
        <w:widowControl w:val="0"/>
        <w:numPr>
          <w:ilvl w:val="0"/>
          <w:numId w:val="0"/>
        </w:numPr>
        <w:kinsoku/>
        <w:wordWrap/>
        <w:overflowPunct/>
        <w:topLinePunct w:val="0"/>
        <w:autoSpaceDE/>
        <w:autoSpaceDN/>
        <w:bidi w:val="0"/>
        <w:adjustRightInd w:val="0"/>
        <w:spacing w:before="156" w:beforeLines="50" w:after="156" w:afterLines="50" w:line="360" w:lineRule="auto"/>
        <w:ind w:leftChars="0" w:firstLine="560" w:firstLineChars="200"/>
        <w:contextualSpacing/>
        <w:jc w:val="left"/>
        <w:textAlignment w:val="auto"/>
        <w:outlineLvl w:val="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1.提供辅助生殖领域数字化科普宣传咨询。重点针对1-2个科室核心专家提供个人IP自媒体咨询辅导服务；</w:t>
      </w:r>
    </w:p>
    <w:p>
      <w:pPr>
        <w:pStyle w:val="17"/>
        <w:keepNext w:val="0"/>
        <w:keepLines w:val="0"/>
        <w:pageBreakBefore w:val="0"/>
        <w:widowControl w:val="0"/>
        <w:numPr>
          <w:ilvl w:val="0"/>
          <w:numId w:val="0"/>
        </w:numPr>
        <w:kinsoku/>
        <w:wordWrap/>
        <w:overflowPunct/>
        <w:topLinePunct w:val="0"/>
        <w:autoSpaceDE/>
        <w:autoSpaceDN/>
        <w:bidi w:val="0"/>
        <w:adjustRightInd w:val="0"/>
        <w:spacing w:before="156" w:beforeLines="50" w:after="156" w:afterLines="50" w:line="360" w:lineRule="auto"/>
        <w:ind w:leftChars="0" w:firstLine="560" w:firstLineChars="200"/>
        <w:contextualSpacing/>
        <w:jc w:val="left"/>
        <w:textAlignment w:val="auto"/>
        <w:outlineLvl w:val="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2.采取线上或线下形式，为科室人员提供新媒体相关培训；负责科室微信公众号推文的日常宣传管理；发布频次月均不少于6篇，全年不少于72篇；</w:t>
      </w:r>
    </w:p>
    <w:p>
      <w:pPr>
        <w:pStyle w:val="17"/>
        <w:keepNext w:val="0"/>
        <w:keepLines w:val="0"/>
        <w:pageBreakBefore w:val="0"/>
        <w:widowControl w:val="0"/>
        <w:numPr>
          <w:ilvl w:val="0"/>
          <w:numId w:val="0"/>
        </w:numPr>
        <w:kinsoku/>
        <w:wordWrap/>
        <w:overflowPunct/>
        <w:topLinePunct w:val="0"/>
        <w:autoSpaceDE/>
        <w:autoSpaceDN/>
        <w:bidi w:val="0"/>
        <w:adjustRightInd w:val="0"/>
        <w:spacing w:before="156" w:beforeLines="50" w:after="156" w:afterLines="50" w:line="360" w:lineRule="auto"/>
        <w:ind w:leftChars="0" w:firstLine="560" w:firstLineChars="200"/>
        <w:contextualSpacing/>
        <w:jc w:val="left"/>
        <w:textAlignment w:val="auto"/>
        <w:outlineLvl w:val="0"/>
        <w:rPr>
          <w:rFonts w:hint="default"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3.通过小红书、抖音等平台制定精准推广策略，每月发布笔记不少于8篇，形式包括图文、视频； 通过搜索等平台重点优化医院及专家标签，提升品牌关键词；</w:t>
      </w:r>
    </w:p>
    <w:p>
      <w:pPr>
        <w:pStyle w:val="17"/>
        <w:keepNext w:val="0"/>
        <w:keepLines w:val="0"/>
        <w:pageBreakBefore w:val="0"/>
        <w:widowControl w:val="0"/>
        <w:numPr>
          <w:ilvl w:val="0"/>
          <w:numId w:val="0"/>
        </w:numPr>
        <w:kinsoku/>
        <w:wordWrap/>
        <w:overflowPunct/>
        <w:topLinePunct w:val="0"/>
        <w:autoSpaceDE/>
        <w:autoSpaceDN/>
        <w:bidi w:val="0"/>
        <w:adjustRightInd w:val="0"/>
        <w:spacing w:before="156" w:beforeLines="50" w:after="156" w:afterLines="50" w:line="360" w:lineRule="auto"/>
        <w:ind w:leftChars="0" w:firstLine="560" w:firstLineChars="200"/>
        <w:contextualSpacing/>
        <w:jc w:val="left"/>
        <w:textAlignment w:val="auto"/>
        <w:outlineLvl w:val="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★4.通过私域宣传使生殖医学中心院外转诊到院进行人类辅助生殖技术的患者不少于250例/年；</w:t>
      </w:r>
    </w:p>
    <w:p>
      <w:pPr>
        <w:pStyle w:val="17"/>
        <w:keepNext w:val="0"/>
        <w:keepLines w:val="0"/>
        <w:pageBreakBefore w:val="0"/>
        <w:widowControl w:val="0"/>
        <w:numPr>
          <w:ilvl w:val="0"/>
          <w:numId w:val="0"/>
        </w:numPr>
        <w:kinsoku/>
        <w:wordWrap/>
        <w:overflowPunct/>
        <w:topLinePunct w:val="0"/>
        <w:autoSpaceDE/>
        <w:autoSpaceDN/>
        <w:bidi w:val="0"/>
        <w:adjustRightInd w:val="0"/>
        <w:spacing w:before="156" w:beforeLines="50" w:after="156" w:afterLines="50" w:line="360" w:lineRule="auto"/>
        <w:ind w:leftChars="0" w:firstLine="560" w:firstLineChars="200"/>
        <w:contextualSpacing/>
        <w:jc w:val="left"/>
        <w:textAlignment w:val="auto"/>
        <w:outlineLvl w:val="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5.创新推广模式：至少每月策划一次以患者为中心的线下活动。</w:t>
      </w:r>
    </w:p>
    <w:p>
      <w:pPr>
        <w:pStyle w:val="2"/>
        <w:keepNext w:val="0"/>
        <w:keepLines w:val="0"/>
        <w:pageBreakBefore w:val="0"/>
        <w:widowControl w:val="0"/>
        <w:numPr>
          <w:ilvl w:val="0"/>
          <w:numId w:val="0"/>
        </w:numPr>
        <w:kinsoku/>
        <w:wordWrap/>
        <w:overflowPunct/>
        <w:topLinePunct w:val="0"/>
        <w:autoSpaceDE/>
        <w:autoSpaceDN/>
        <w:bidi w:val="0"/>
        <w:spacing w:line="360" w:lineRule="auto"/>
        <w:ind w:firstLine="560" w:firstLineChars="200"/>
        <w:textAlignment w:val="auto"/>
        <w:rPr>
          <w:rFonts w:hint="eastAsia" w:ascii="宋体" w:hAnsi="宋体" w:eastAsia="宋体" w:cs="宋体"/>
          <w:b/>
          <w:color w:val="auto"/>
          <w:kern w:val="2"/>
          <w:sz w:val="28"/>
          <w:szCs w:val="28"/>
          <w:lang w:val="en-US" w:eastAsia="zh-CN" w:bidi="ar-SA"/>
        </w:rPr>
      </w:pPr>
      <w:r>
        <w:rPr>
          <w:rFonts w:hint="eastAsia" w:ascii="宋体" w:hAnsi="宋体" w:eastAsia="宋体" w:cs="宋体"/>
          <w:b w:val="0"/>
          <w:bCs/>
          <w:color w:val="auto"/>
          <w:sz w:val="28"/>
          <w:szCs w:val="28"/>
          <w:highlight w:val="none"/>
          <w:lang w:val="en-US" w:eastAsia="zh-CN"/>
        </w:rPr>
        <w:t>★</w:t>
      </w:r>
      <w:r>
        <w:rPr>
          <w:rFonts w:hint="eastAsia" w:ascii="宋体" w:hAnsi="宋体" w:eastAsia="宋体" w:cs="宋体"/>
          <w:b/>
          <w:color w:val="auto"/>
          <w:kern w:val="2"/>
          <w:sz w:val="28"/>
          <w:szCs w:val="28"/>
          <w:lang w:val="en-US" w:eastAsia="zh-CN" w:bidi="ar-SA"/>
        </w:rPr>
        <w:t>三、商务要求（商务要求全为实质性要求）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1.付款条件和方式：</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①合同签订后十五个工作日内向</w:t>
      </w:r>
      <w:r>
        <w:rPr>
          <w:rFonts w:hint="eastAsia" w:ascii="宋体" w:hAnsi="宋体" w:eastAsia="宋体" w:cs="宋体"/>
          <w:color w:val="auto"/>
          <w:sz w:val="28"/>
          <w:szCs w:val="28"/>
          <w:highlight w:val="none"/>
          <w:lang w:eastAsia="zh-CN"/>
        </w:rPr>
        <w:t>成交供应商</w:t>
      </w:r>
      <w:r>
        <w:rPr>
          <w:rFonts w:hint="eastAsia" w:ascii="宋体" w:hAnsi="宋体" w:eastAsia="宋体" w:cs="宋体"/>
          <w:color w:val="auto"/>
          <w:sz w:val="28"/>
          <w:szCs w:val="28"/>
          <w:highlight w:val="none"/>
        </w:rPr>
        <w:t>支付咨询服务费，即人民币225000元（大写：人民币贰拾贰万伍仟元整），作为本</w:t>
      </w: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的预付款。</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②合作期满15日内采购人根据</w:t>
      </w:r>
      <w:r>
        <w:rPr>
          <w:rFonts w:hint="eastAsia" w:ascii="宋体" w:hAnsi="宋体" w:eastAsia="宋体" w:cs="宋体"/>
          <w:color w:val="auto"/>
          <w:sz w:val="28"/>
          <w:szCs w:val="28"/>
          <w:highlight w:val="none"/>
          <w:lang w:eastAsia="zh-CN"/>
        </w:rPr>
        <w:t>成交供应商</w:t>
      </w:r>
      <w:r>
        <w:rPr>
          <w:rFonts w:hint="eastAsia" w:ascii="宋体" w:hAnsi="宋体" w:eastAsia="宋体" w:cs="宋体"/>
          <w:color w:val="auto"/>
          <w:sz w:val="28"/>
          <w:szCs w:val="28"/>
          <w:highlight w:val="none"/>
        </w:rPr>
        <w:t>转诊到院进行人类辅助生殖技术的患者数量进行结算，转诊数量*</w:t>
      </w:r>
      <w:r>
        <w:rPr>
          <w:rFonts w:hint="eastAsia" w:ascii="宋体" w:hAnsi="宋体" w:eastAsia="宋体" w:cs="宋体"/>
          <w:color w:val="auto"/>
          <w:sz w:val="28"/>
          <w:szCs w:val="28"/>
          <w:highlight w:val="none"/>
          <w:lang w:val="en-US" w:eastAsia="zh-CN"/>
        </w:rPr>
        <w:t>中标</w:t>
      </w:r>
      <w:r>
        <w:rPr>
          <w:rFonts w:hint="eastAsia" w:ascii="宋体" w:hAnsi="宋体" w:eastAsia="宋体" w:cs="宋体"/>
          <w:color w:val="auto"/>
          <w:sz w:val="28"/>
          <w:szCs w:val="28"/>
          <w:highlight w:val="none"/>
        </w:rPr>
        <w:t>单价（≤1800元/例）-前期预付款金额后进行支付（最终支付总金额不得超过本项目最高限价45万元）。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③如</w:t>
      </w:r>
      <w:r>
        <w:rPr>
          <w:rFonts w:hint="eastAsia" w:ascii="宋体" w:hAnsi="宋体" w:eastAsia="宋体" w:cs="宋体"/>
          <w:color w:val="auto"/>
          <w:sz w:val="28"/>
          <w:szCs w:val="28"/>
          <w:highlight w:val="none"/>
          <w:lang w:eastAsia="zh-CN"/>
        </w:rPr>
        <w:t>成交供应商</w:t>
      </w:r>
      <w:r>
        <w:rPr>
          <w:rFonts w:hint="eastAsia" w:ascii="宋体" w:hAnsi="宋体" w:eastAsia="宋体" w:cs="宋体"/>
          <w:color w:val="auto"/>
          <w:sz w:val="28"/>
          <w:szCs w:val="28"/>
          <w:highlight w:val="none"/>
        </w:rPr>
        <w:t>未完成250例患者到院建立试管婴儿档案工作量，每少1例，</w:t>
      </w:r>
      <w:r>
        <w:rPr>
          <w:rFonts w:hint="eastAsia" w:ascii="宋体" w:hAnsi="宋体" w:eastAsia="宋体" w:cs="宋体"/>
          <w:color w:val="auto"/>
          <w:sz w:val="28"/>
          <w:szCs w:val="28"/>
          <w:highlight w:val="none"/>
          <w:lang w:val="en-US" w:eastAsia="zh-CN"/>
        </w:rPr>
        <w:t>成交供应商</w:t>
      </w:r>
      <w:r>
        <w:rPr>
          <w:rFonts w:hint="eastAsia" w:ascii="宋体" w:hAnsi="宋体" w:eastAsia="宋体" w:cs="宋体"/>
          <w:color w:val="auto"/>
          <w:sz w:val="28"/>
          <w:szCs w:val="28"/>
          <w:highlight w:val="none"/>
        </w:rPr>
        <w:t>支付采购人</w:t>
      </w:r>
      <w:r>
        <w:rPr>
          <w:rFonts w:hint="eastAsia" w:ascii="宋体" w:hAnsi="宋体" w:eastAsia="宋体" w:cs="宋体"/>
          <w:color w:val="auto"/>
          <w:sz w:val="28"/>
          <w:szCs w:val="28"/>
          <w:highlight w:val="none"/>
          <w:lang w:val="en-US" w:eastAsia="zh-CN"/>
        </w:rPr>
        <w:t>中标</w:t>
      </w:r>
      <w:r>
        <w:rPr>
          <w:rFonts w:hint="eastAsia" w:ascii="宋体" w:hAnsi="宋体" w:eastAsia="宋体" w:cs="宋体"/>
          <w:color w:val="auto"/>
          <w:sz w:val="28"/>
          <w:szCs w:val="28"/>
          <w:highlight w:val="none"/>
        </w:rPr>
        <w:t>单价（≤1800元/例）的违约费，违约费累计不超过前期采购人支付的225000元预付款金额。</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2.服务地点：四川省妇幼保健院</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3.服务期：1年</w:t>
      </w:r>
      <w:r>
        <w:rPr>
          <w:rFonts w:hint="eastAsia" w:ascii="宋体" w:hAnsi="宋体" w:eastAsia="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4.采购人将每半年对成交供应商开展一次考核工作，具体考核标准及评分细则详见考核表。</w:t>
      </w: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pPr>
        <w:spacing w:line="360" w:lineRule="auto"/>
        <w:ind w:left="-424" w:leftChars="-202" w:right="-483" w:rightChars="-230"/>
        <w:jc w:val="center"/>
        <w:rPr>
          <w:rFonts w:hint="eastAsia"/>
        </w:rPr>
      </w:pPr>
      <w:r>
        <w:rPr>
          <w:rFonts w:hint="eastAsia" w:ascii="宋体" w:hAnsi="宋体" w:cs="宋体"/>
          <w:b/>
          <w:sz w:val="30"/>
          <w:szCs w:val="30"/>
        </w:rPr>
        <w:t>考核表</w:t>
      </w:r>
    </w:p>
    <w:tbl>
      <w:tblPr>
        <w:tblStyle w:val="13"/>
        <w:tblW w:w="8239" w:type="dxa"/>
        <w:tblInd w:w="78" w:type="dxa"/>
        <w:tblLayout w:type="fixed"/>
        <w:tblCellMar>
          <w:top w:w="0" w:type="dxa"/>
          <w:left w:w="108" w:type="dxa"/>
          <w:bottom w:w="0" w:type="dxa"/>
          <w:right w:w="108" w:type="dxa"/>
        </w:tblCellMar>
      </w:tblPr>
      <w:tblGrid>
        <w:gridCol w:w="1837"/>
        <w:gridCol w:w="638"/>
        <w:gridCol w:w="1885"/>
        <w:gridCol w:w="1824"/>
        <w:gridCol w:w="1254"/>
        <w:gridCol w:w="801"/>
      </w:tblGrid>
      <w:tr>
        <w:tblPrEx>
          <w:tblCellMar>
            <w:top w:w="0" w:type="dxa"/>
            <w:left w:w="108" w:type="dxa"/>
            <w:bottom w:w="0" w:type="dxa"/>
            <w:right w:w="108" w:type="dxa"/>
          </w:tblCellMar>
        </w:tblPrEx>
        <w:trPr>
          <w:trHeight w:val="354" w:hRule="atLeast"/>
        </w:trPr>
        <w:tc>
          <w:tcPr>
            <w:tcW w:w="183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项目名称</w:t>
            </w:r>
          </w:p>
        </w:tc>
        <w:tc>
          <w:tcPr>
            <w:tcW w:w="6402"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color w:val="000000"/>
                <w:sz w:val="24"/>
                <w:szCs w:val="24"/>
              </w:rPr>
              <w:t>生殖医学中心数字化宣传推广咨询服务项目</w:t>
            </w:r>
          </w:p>
        </w:tc>
      </w:tr>
      <w:tr>
        <w:tblPrEx>
          <w:tblCellMar>
            <w:top w:w="0" w:type="dxa"/>
            <w:left w:w="108" w:type="dxa"/>
            <w:bottom w:w="0" w:type="dxa"/>
            <w:right w:w="108" w:type="dxa"/>
          </w:tblCellMar>
        </w:tblPrEx>
        <w:trPr>
          <w:trHeight w:val="354" w:hRule="atLeast"/>
        </w:trPr>
        <w:tc>
          <w:tcPr>
            <w:tcW w:w="183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项目起止时间</w:t>
            </w:r>
          </w:p>
        </w:tc>
        <w:tc>
          <w:tcPr>
            <w:tcW w:w="6402"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r>
      <w:tr>
        <w:tblPrEx>
          <w:tblCellMar>
            <w:top w:w="0" w:type="dxa"/>
            <w:left w:w="108" w:type="dxa"/>
            <w:bottom w:w="0" w:type="dxa"/>
            <w:right w:w="108" w:type="dxa"/>
          </w:tblCellMar>
        </w:tblPrEx>
        <w:trPr>
          <w:trHeight w:val="354" w:hRule="atLeast"/>
        </w:trPr>
        <w:tc>
          <w:tcPr>
            <w:tcW w:w="183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项目执行公司</w:t>
            </w:r>
          </w:p>
        </w:tc>
        <w:tc>
          <w:tcPr>
            <w:tcW w:w="6402" w:type="dxa"/>
            <w:gridSpan w:val="5"/>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r>
      <w:tr>
        <w:tblPrEx>
          <w:tblCellMar>
            <w:top w:w="0" w:type="dxa"/>
            <w:left w:w="108" w:type="dxa"/>
            <w:bottom w:w="0" w:type="dxa"/>
            <w:right w:w="108" w:type="dxa"/>
          </w:tblCellMar>
        </w:tblPrEx>
        <w:trPr>
          <w:trHeight w:val="699" w:hRule="atLeast"/>
        </w:trPr>
        <w:tc>
          <w:tcPr>
            <w:tcW w:w="183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考核项目</w:t>
            </w:r>
          </w:p>
        </w:tc>
        <w:tc>
          <w:tcPr>
            <w:tcW w:w="63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分值</w:t>
            </w:r>
          </w:p>
        </w:tc>
        <w:tc>
          <w:tcPr>
            <w:tcW w:w="496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评分细则</w:t>
            </w: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分</w:t>
            </w:r>
          </w:p>
          <w:p>
            <w:pPr>
              <w:widowControl/>
              <w:spacing w:line="360" w:lineRule="exact"/>
              <w:jc w:val="center"/>
              <w:rPr>
                <w:rFonts w:hint="eastAsia" w:ascii="宋体" w:hAnsi="宋体" w:eastAsia="宋体" w:cs="宋体"/>
              </w:rPr>
            </w:pPr>
            <w:r>
              <w:rPr>
                <w:rFonts w:hint="eastAsia" w:ascii="宋体" w:hAnsi="宋体" w:eastAsia="宋体" w:cs="宋体"/>
              </w:rPr>
              <w:t>数</w:t>
            </w:r>
          </w:p>
        </w:tc>
      </w:tr>
      <w:tr>
        <w:tblPrEx>
          <w:tblCellMar>
            <w:top w:w="0" w:type="dxa"/>
            <w:left w:w="108" w:type="dxa"/>
            <w:bottom w:w="0" w:type="dxa"/>
            <w:right w:w="108" w:type="dxa"/>
          </w:tblCellMar>
        </w:tblPrEx>
        <w:trPr>
          <w:trHeight w:val="1043" w:hRule="atLeast"/>
        </w:trPr>
        <w:tc>
          <w:tcPr>
            <w:tcW w:w="1837" w:type="dxa"/>
            <w:tcBorders>
              <w:top w:val="single" w:color="auto" w:sz="4" w:space="0"/>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咨询及培训服务</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6</w:t>
            </w:r>
          </w:p>
        </w:tc>
        <w:tc>
          <w:tcPr>
            <w:tcW w:w="4963" w:type="dxa"/>
            <w:gridSpan w:val="3"/>
            <w:tcBorders>
              <w:top w:val="single" w:color="auto" w:sz="4" w:space="0"/>
              <w:left w:val="single" w:color="auto" w:sz="4" w:space="0"/>
              <w:right w:val="single" w:color="auto" w:sz="4" w:space="0"/>
            </w:tcBorders>
            <w:noWrap w:val="0"/>
            <w:vAlign w:val="top"/>
          </w:tcPr>
          <w:p>
            <w:pPr>
              <w:widowControl/>
              <w:spacing w:line="360" w:lineRule="exact"/>
              <w:jc w:val="left"/>
              <w:rPr>
                <w:rFonts w:hint="eastAsia" w:ascii="宋体" w:hAnsi="宋体" w:eastAsia="宋体" w:cs="宋体"/>
              </w:rPr>
            </w:pPr>
            <w:r>
              <w:rPr>
                <w:rFonts w:hint="eastAsia" w:ascii="宋体" w:hAnsi="宋体" w:eastAsia="宋体" w:cs="宋体"/>
              </w:rPr>
              <w:t>A、按要求提供</w:t>
            </w:r>
            <w:bookmarkStart w:id="1" w:name="OLE_LINK3"/>
            <w:bookmarkStart w:id="2" w:name="OLE_LINK4"/>
            <w:r>
              <w:rPr>
                <w:rFonts w:hint="eastAsia" w:ascii="宋体" w:hAnsi="宋体" w:eastAsia="宋体" w:cs="宋体"/>
              </w:rPr>
              <w:t>数字化宣传咨询及培训服务</w:t>
            </w:r>
            <w:bookmarkEnd w:id="1"/>
            <w:bookmarkEnd w:id="2"/>
            <w:r>
              <w:rPr>
                <w:rFonts w:hint="eastAsia" w:ascii="宋体" w:hAnsi="宋体" w:eastAsia="宋体" w:cs="宋体"/>
              </w:rPr>
              <w:t>，合同期内不少于2次（得满分）</w:t>
            </w:r>
          </w:p>
          <w:p>
            <w:pPr>
              <w:widowControl/>
              <w:spacing w:line="360" w:lineRule="exact"/>
              <w:jc w:val="left"/>
              <w:rPr>
                <w:rFonts w:hint="eastAsia" w:ascii="宋体" w:hAnsi="宋体" w:eastAsia="宋体" w:cs="宋体"/>
              </w:rPr>
            </w:pPr>
            <w:r>
              <w:rPr>
                <w:rFonts w:hint="eastAsia" w:ascii="宋体" w:hAnsi="宋体" w:eastAsia="宋体" w:cs="宋体"/>
              </w:rPr>
              <w:t>B、未按要求提供数字化宣传咨询及培训服务，合同期内每少一次扣 3 分</w:t>
            </w:r>
          </w:p>
        </w:tc>
        <w:tc>
          <w:tcPr>
            <w:tcW w:w="801" w:type="dxa"/>
            <w:tcBorders>
              <w:top w:val="single" w:color="auto" w:sz="4" w:space="0"/>
              <w:left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r>
      <w:tr>
        <w:tblPrEx>
          <w:tblCellMar>
            <w:top w:w="0" w:type="dxa"/>
            <w:left w:w="108" w:type="dxa"/>
            <w:bottom w:w="0" w:type="dxa"/>
            <w:right w:w="108" w:type="dxa"/>
          </w:tblCellMar>
        </w:tblPrEx>
        <w:trPr>
          <w:trHeight w:val="699" w:hRule="atLeast"/>
        </w:trPr>
        <w:tc>
          <w:tcPr>
            <w:tcW w:w="183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宣传推广服务</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28</w:t>
            </w:r>
          </w:p>
        </w:tc>
        <w:tc>
          <w:tcPr>
            <w:tcW w:w="496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left"/>
              <w:rPr>
                <w:rFonts w:hint="eastAsia" w:ascii="宋体" w:hAnsi="宋体" w:eastAsia="宋体" w:cs="宋体"/>
              </w:rPr>
            </w:pPr>
            <w:r>
              <w:rPr>
                <w:rFonts w:hint="eastAsia" w:ascii="宋体" w:hAnsi="宋体" w:eastAsia="宋体" w:cs="宋体"/>
              </w:rPr>
              <w:t>A.微信公众号推文发布频次每月不少于6篇；小红书、抖音等平台</w:t>
            </w:r>
            <w:r>
              <w:rPr>
                <w:rFonts w:hint="eastAsia" w:ascii="宋体" w:hAnsi="宋体" w:eastAsia="宋体" w:cs="宋体"/>
                <w:bCs/>
                <w:sz w:val="24"/>
                <w:szCs w:val="24"/>
              </w:rPr>
              <w:t>每月发布包括图文、视频的笔记不少于8篇</w:t>
            </w:r>
            <w:r>
              <w:rPr>
                <w:rFonts w:hint="eastAsia" w:ascii="宋体" w:hAnsi="宋体" w:eastAsia="宋体" w:cs="宋体"/>
              </w:rPr>
              <w:t>（得满分）</w:t>
            </w:r>
          </w:p>
          <w:p>
            <w:pPr>
              <w:widowControl/>
              <w:spacing w:line="360" w:lineRule="exact"/>
              <w:jc w:val="left"/>
              <w:rPr>
                <w:rFonts w:hint="eastAsia" w:ascii="宋体" w:hAnsi="宋体" w:eastAsia="宋体" w:cs="宋体"/>
              </w:rPr>
            </w:pPr>
            <w:r>
              <w:rPr>
                <w:rFonts w:hint="eastAsia" w:ascii="宋体" w:hAnsi="宋体" w:eastAsia="宋体" w:cs="宋体"/>
              </w:rPr>
              <w:t>B.未按要求频次发布推文和笔记，每少一篇扣2分</w:t>
            </w: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r>
      <w:tr>
        <w:tblPrEx>
          <w:tblCellMar>
            <w:top w:w="0" w:type="dxa"/>
            <w:left w:w="108" w:type="dxa"/>
            <w:bottom w:w="0" w:type="dxa"/>
            <w:right w:w="108" w:type="dxa"/>
          </w:tblCellMar>
        </w:tblPrEx>
        <w:trPr>
          <w:trHeight w:val="1248" w:hRule="atLeast"/>
        </w:trPr>
        <w:tc>
          <w:tcPr>
            <w:tcW w:w="1837" w:type="dxa"/>
            <w:tcBorders>
              <w:top w:val="single" w:color="auto" w:sz="4" w:space="0"/>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推广私域服务</w:t>
            </w:r>
          </w:p>
        </w:tc>
        <w:tc>
          <w:tcPr>
            <w:tcW w:w="638" w:type="dxa"/>
            <w:tcBorders>
              <w:top w:val="single" w:color="auto" w:sz="4" w:space="0"/>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20</w:t>
            </w:r>
          </w:p>
        </w:tc>
        <w:tc>
          <w:tcPr>
            <w:tcW w:w="4963" w:type="dxa"/>
            <w:gridSpan w:val="3"/>
            <w:tcBorders>
              <w:top w:val="single" w:color="auto" w:sz="4" w:space="0"/>
              <w:left w:val="single" w:color="auto" w:sz="4" w:space="0"/>
              <w:right w:val="single" w:color="auto" w:sz="4" w:space="0"/>
            </w:tcBorders>
            <w:noWrap w:val="0"/>
            <w:vAlign w:val="top"/>
          </w:tcPr>
          <w:p>
            <w:pPr>
              <w:widowControl/>
              <w:spacing w:line="360" w:lineRule="exact"/>
              <w:jc w:val="left"/>
              <w:rPr>
                <w:rFonts w:hint="eastAsia" w:ascii="宋体" w:hAnsi="宋体" w:eastAsia="宋体" w:cs="宋体"/>
              </w:rPr>
            </w:pPr>
            <w:r>
              <w:rPr>
                <w:rFonts w:hint="eastAsia" w:ascii="宋体" w:hAnsi="宋体" w:eastAsia="宋体" w:cs="宋体"/>
              </w:rPr>
              <w:t>A、按要求时间完成外院患者转化，数量不少于250例（得满分）</w:t>
            </w:r>
          </w:p>
          <w:p>
            <w:pPr>
              <w:widowControl/>
              <w:spacing w:line="360" w:lineRule="exact"/>
              <w:jc w:val="left"/>
              <w:rPr>
                <w:rFonts w:hint="eastAsia" w:ascii="宋体" w:hAnsi="宋体" w:eastAsia="宋体" w:cs="宋体"/>
              </w:rPr>
            </w:pPr>
            <w:r>
              <w:rPr>
                <w:rFonts w:hint="eastAsia" w:ascii="宋体" w:hAnsi="宋体" w:eastAsia="宋体" w:cs="宋体"/>
              </w:rPr>
              <w:t>B、按要求时间未达到外院患者转化数量，每少一例扣 3 分</w:t>
            </w: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r>
      <w:tr>
        <w:tblPrEx>
          <w:tblCellMar>
            <w:top w:w="0" w:type="dxa"/>
            <w:left w:w="108" w:type="dxa"/>
            <w:bottom w:w="0" w:type="dxa"/>
            <w:right w:w="108" w:type="dxa"/>
          </w:tblCellMar>
        </w:tblPrEx>
        <w:trPr>
          <w:trHeight w:val="1275" w:hRule="atLeast"/>
        </w:trPr>
        <w:tc>
          <w:tcPr>
            <w:tcW w:w="1837" w:type="dxa"/>
            <w:tcBorders>
              <w:top w:val="single" w:color="auto" w:sz="4" w:space="0"/>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驻点人员</w:t>
            </w:r>
          </w:p>
        </w:tc>
        <w:tc>
          <w:tcPr>
            <w:tcW w:w="638" w:type="dxa"/>
            <w:tcBorders>
              <w:top w:val="single" w:color="auto" w:sz="4" w:space="0"/>
              <w:left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20</w:t>
            </w:r>
          </w:p>
        </w:tc>
        <w:tc>
          <w:tcPr>
            <w:tcW w:w="4963" w:type="dxa"/>
            <w:gridSpan w:val="3"/>
            <w:tcBorders>
              <w:top w:val="single" w:color="auto" w:sz="4" w:space="0"/>
              <w:left w:val="single" w:color="auto" w:sz="4" w:space="0"/>
              <w:right w:val="single" w:color="auto" w:sz="4" w:space="0"/>
            </w:tcBorders>
            <w:noWrap w:val="0"/>
            <w:vAlign w:val="top"/>
          </w:tcPr>
          <w:p>
            <w:pPr>
              <w:widowControl/>
              <w:spacing w:line="360" w:lineRule="exact"/>
              <w:jc w:val="left"/>
              <w:rPr>
                <w:rFonts w:hint="eastAsia" w:ascii="宋体" w:hAnsi="宋体" w:eastAsia="宋体" w:cs="宋体"/>
              </w:rPr>
            </w:pPr>
            <w:r>
              <w:rPr>
                <w:rFonts w:hint="eastAsia" w:ascii="宋体" w:hAnsi="宋体" w:eastAsia="宋体" w:cs="宋体"/>
              </w:rPr>
              <w:t>A、驻点人员配置满足工作量需求，且按要求每周至少5天驻场（得满分）</w:t>
            </w:r>
          </w:p>
          <w:p>
            <w:pPr>
              <w:widowControl/>
              <w:spacing w:line="360" w:lineRule="exact"/>
              <w:jc w:val="left"/>
              <w:rPr>
                <w:rFonts w:hint="eastAsia" w:ascii="宋体" w:hAnsi="宋体" w:eastAsia="宋体" w:cs="宋体"/>
              </w:rPr>
            </w:pPr>
            <w:r>
              <w:rPr>
                <w:rFonts w:hint="eastAsia" w:ascii="宋体" w:hAnsi="宋体" w:eastAsia="宋体" w:cs="宋体"/>
              </w:rPr>
              <w:t>B、驻点人员未达每周驻场时间要求，每少一天扣4分</w:t>
            </w: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r>
      <w:tr>
        <w:tblPrEx>
          <w:tblCellMar>
            <w:top w:w="0" w:type="dxa"/>
            <w:left w:w="108" w:type="dxa"/>
            <w:bottom w:w="0" w:type="dxa"/>
            <w:right w:w="108" w:type="dxa"/>
          </w:tblCellMar>
        </w:tblPrEx>
        <w:trPr>
          <w:trHeight w:val="453" w:hRule="atLeast"/>
        </w:trPr>
        <w:tc>
          <w:tcPr>
            <w:tcW w:w="183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服务质量</w:t>
            </w:r>
          </w:p>
        </w:tc>
        <w:tc>
          <w:tcPr>
            <w:tcW w:w="6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26</w:t>
            </w:r>
          </w:p>
        </w:tc>
        <w:tc>
          <w:tcPr>
            <w:tcW w:w="4963" w:type="dxa"/>
            <w:gridSpan w:val="3"/>
            <w:tcBorders>
              <w:top w:val="single" w:color="auto" w:sz="4" w:space="0"/>
              <w:left w:val="single" w:color="auto" w:sz="4" w:space="0"/>
              <w:bottom w:val="single" w:color="auto" w:sz="4" w:space="0"/>
              <w:right w:val="single" w:color="auto" w:sz="4" w:space="0"/>
            </w:tcBorders>
            <w:noWrap w:val="0"/>
            <w:vAlign w:val="top"/>
          </w:tcPr>
          <w:p>
            <w:pPr>
              <w:widowControl/>
              <w:numPr>
                <w:ilvl w:val="0"/>
                <w:numId w:val="3"/>
              </w:numPr>
              <w:spacing w:line="360" w:lineRule="exact"/>
              <w:jc w:val="left"/>
              <w:rPr>
                <w:rFonts w:hint="eastAsia" w:ascii="宋体" w:hAnsi="宋体" w:eastAsia="宋体" w:cs="宋体"/>
              </w:rPr>
            </w:pPr>
            <w:bookmarkStart w:id="3" w:name="OLE_LINK6"/>
            <w:bookmarkStart w:id="4" w:name="OLE_LINK5"/>
            <w:r>
              <w:rPr>
                <w:rFonts w:hint="eastAsia" w:ascii="宋体" w:hAnsi="宋体" w:eastAsia="宋体" w:cs="宋体"/>
              </w:rPr>
              <w:t>有7*24小时应急响应机制并</w:t>
            </w:r>
            <w:bookmarkStart w:id="5" w:name="OLE_LINK8"/>
            <w:bookmarkStart w:id="6" w:name="OLE_LINK7"/>
            <w:r>
              <w:rPr>
                <w:rFonts w:hint="eastAsia" w:ascii="宋体" w:hAnsi="宋体" w:eastAsia="宋体" w:cs="宋体"/>
              </w:rPr>
              <w:t>在收到响应</w:t>
            </w:r>
            <w:bookmarkEnd w:id="5"/>
            <w:bookmarkEnd w:id="6"/>
            <w:r>
              <w:rPr>
                <w:rFonts w:hint="eastAsia" w:ascii="宋体" w:hAnsi="宋体" w:eastAsia="宋体" w:cs="宋体"/>
              </w:rPr>
              <w:t>1小时内给出</w:t>
            </w:r>
            <w:bookmarkEnd w:id="3"/>
            <w:bookmarkEnd w:id="4"/>
            <w:r>
              <w:rPr>
                <w:rFonts w:hint="eastAsia" w:ascii="宋体" w:hAnsi="宋体" w:eastAsia="宋体" w:cs="宋体"/>
              </w:rPr>
              <w:t>回应（得满分）</w:t>
            </w:r>
          </w:p>
          <w:p>
            <w:pPr>
              <w:pStyle w:val="2"/>
              <w:numPr>
                <w:ilvl w:val="0"/>
                <w:numId w:val="3"/>
              </w:numPr>
              <w:jc w:val="left"/>
              <w:rPr>
                <w:rFonts w:hint="eastAsia" w:ascii="宋体" w:hAnsi="宋体" w:eastAsia="宋体" w:cs="宋体"/>
                <w:sz w:val="21"/>
                <w:szCs w:val="22"/>
                <w:lang w:eastAsia="zh-CN"/>
              </w:rPr>
            </w:pPr>
            <w:bookmarkStart w:id="7" w:name="OLE_LINK9"/>
            <w:r>
              <w:rPr>
                <w:rFonts w:hint="eastAsia" w:ascii="宋体" w:hAnsi="宋体" w:eastAsia="宋体" w:cs="宋体"/>
                <w:sz w:val="21"/>
                <w:szCs w:val="22"/>
                <w:lang w:eastAsia="zh-CN"/>
              </w:rPr>
              <w:t>有7*24小时应急响应机制</w:t>
            </w:r>
            <w:bookmarkEnd w:id="7"/>
            <w:r>
              <w:rPr>
                <w:rFonts w:hint="eastAsia" w:ascii="宋体" w:hAnsi="宋体" w:eastAsia="宋体" w:cs="宋体"/>
                <w:sz w:val="21"/>
                <w:szCs w:val="22"/>
                <w:lang w:eastAsia="zh-CN"/>
              </w:rPr>
              <w:t>，并在</w:t>
            </w:r>
            <w:bookmarkStart w:id="8" w:name="OLE_LINK10"/>
            <w:r>
              <w:rPr>
                <w:rFonts w:hint="eastAsia" w:ascii="宋体" w:hAnsi="宋体" w:eastAsia="宋体" w:cs="宋体"/>
                <w:sz w:val="21"/>
                <w:szCs w:val="22"/>
                <w:lang w:eastAsia="zh-CN"/>
              </w:rPr>
              <w:t>收到响应</w:t>
            </w:r>
            <w:bookmarkEnd w:id="8"/>
            <w:r>
              <w:rPr>
                <w:rFonts w:hint="eastAsia" w:ascii="宋体" w:hAnsi="宋体" w:eastAsia="宋体" w:cs="宋体"/>
                <w:sz w:val="21"/>
                <w:szCs w:val="22"/>
                <w:lang w:eastAsia="zh-CN"/>
              </w:rPr>
              <w:t>大于1.5小时小于2小时内给出回应（得20分）</w:t>
            </w:r>
          </w:p>
          <w:p>
            <w:pPr>
              <w:numPr>
                <w:ilvl w:val="0"/>
                <w:numId w:val="3"/>
              </w:numPr>
              <w:jc w:val="left"/>
              <w:rPr>
                <w:rFonts w:hint="eastAsia" w:ascii="宋体" w:hAnsi="宋体" w:eastAsia="宋体" w:cs="宋体"/>
              </w:rPr>
            </w:pPr>
            <w:r>
              <w:rPr>
                <w:rFonts w:hint="eastAsia" w:ascii="宋体" w:hAnsi="宋体" w:eastAsia="宋体" w:cs="宋体"/>
              </w:rPr>
              <w:t>有7*24小时应急响应机制，收到响应超过2小时及以上给出回应的（得14分）</w:t>
            </w: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r>
      <w:tr>
        <w:tblPrEx>
          <w:tblCellMar>
            <w:top w:w="0" w:type="dxa"/>
            <w:left w:w="108" w:type="dxa"/>
            <w:bottom w:w="0" w:type="dxa"/>
            <w:right w:w="108" w:type="dxa"/>
          </w:tblCellMar>
        </w:tblPrEx>
        <w:trPr>
          <w:trHeight w:val="699" w:hRule="atLeast"/>
        </w:trPr>
        <w:tc>
          <w:tcPr>
            <w:tcW w:w="183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rPr>
            </w:pPr>
            <w:r>
              <w:rPr>
                <w:rFonts w:hint="eastAsia" w:ascii="宋体" w:hAnsi="宋体" w:eastAsia="宋体" w:cs="宋体"/>
              </w:rPr>
              <w:t>最高分 100 分</w:t>
            </w:r>
          </w:p>
        </w:tc>
        <w:tc>
          <w:tcPr>
            <w:tcW w:w="63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总</w:t>
            </w:r>
          </w:p>
          <w:p>
            <w:pPr>
              <w:widowControl/>
              <w:spacing w:line="360" w:lineRule="exact"/>
              <w:jc w:val="center"/>
              <w:rPr>
                <w:rFonts w:hint="eastAsia" w:ascii="宋体" w:hAnsi="宋体" w:eastAsia="宋体" w:cs="宋体"/>
              </w:rPr>
            </w:pPr>
            <w:r>
              <w:rPr>
                <w:rFonts w:hint="eastAsia" w:ascii="宋体" w:hAnsi="宋体" w:eastAsia="宋体" w:cs="宋体"/>
              </w:rPr>
              <w:t>分</w:t>
            </w:r>
          </w:p>
        </w:tc>
        <w:tc>
          <w:tcPr>
            <w:tcW w:w="4963"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69 分（含69分）以下为“不合格”，85 分及以上为 “优秀”，70-84 分为 “合格”。</w:t>
            </w: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r>
      <w:tr>
        <w:tblPrEx>
          <w:tblCellMar>
            <w:top w:w="0" w:type="dxa"/>
            <w:left w:w="108" w:type="dxa"/>
            <w:bottom w:w="0" w:type="dxa"/>
            <w:right w:w="108" w:type="dxa"/>
          </w:tblCellMar>
        </w:tblPrEx>
        <w:trPr>
          <w:trHeight w:val="466" w:hRule="atLeast"/>
        </w:trPr>
        <w:tc>
          <w:tcPr>
            <w:tcW w:w="183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 xml:space="preserve"> 需求科室签字：</w:t>
            </w:r>
          </w:p>
        </w:tc>
        <w:tc>
          <w:tcPr>
            <w:tcW w:w="2523"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c>
          <w:tcPr>
            <w:tcW w:w="1824"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r>
              <w:rPr>
                <w:rFonts w:hint="eastAsia" w:ascii="宋体" w:hAnsi="宋体" w:eastAsia="宋体" w:cs="宋体"/>
              </w:rPr>
              <w:t>管理部门签字：</w:t>
            </w:r>
          </w:p>
        </w:tc>
        <w:tc>
          <w:tcPr>
            <w:tcW w:w="2055"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ascii="宋体" w:hAnsi="宋体" w:eastAsia="宋体" w:cs="宋体"/>
              </w:rPr>
            </w:pPr>
          </w:p>
        </w:tc>
      </w:tr>
    </w:tbl>
    <w:p>
      <w:pPr>
        <w:spacing w:line="240" w:lineRule="exact"/>
        <w:ind w:left="-424" w:leftChars="-202" w:right="-483" w:rightChars="-230"/>
        <w:jc w:val="center"/>
        <w:rPr>
          <w:rFonts w:hint="eastAsia" w:ascii="宋体" w:hAnsi="宋体" w:cs="宋体"/>
          <w:b/>
          <w:sz w:val="24"/>
          <w:szCs w:val="24"/>
        </w:rPr>
      </w:pPr>
    </w:p>
    <w:p>
      <w:pPr>
        <w:pStyle w:val="5"/>
        <w:rPr>
          <w:rFonts w:hint="eastAsia"/>
        </w:rPr>
      </w:pPr>
    </w:p>
    <w:p>
      <w:pPr>
        <w:pStyle w:val="26"/>
      </w:pPr>
      <w:r>
        <w:rPr>
          <w:b/>
          <w:bCs/>
        </w:rPr>
        <w:t>考核总分</w:t>
      </w:r>
      <w:r>
        <w:t>：100 分</w:t>
      </w:r>
    </w:p>
    <w:p>
      <w:pPr>
        <w:rPr>
          <w:rFonts w:hint="eastAsia"/>
        </w:rPr>
      </w:pPr>
      <w:r>
        <w:rPr>
          <w:b/>
          <w:bCs/>
        </w:rPr>
        <w:t>考核说明</w:t>
      </w:r>
      <w:r>
        <w:t>：85 分及以上为 “优秀”，70-84 分为 “合格”，69 分及以下为 “不合格”</w:t>
      </w:r>
      <w:r>
        <w:rPr>
          <w:rFonts w:hint="eastAsia"/>
        </w:rPr>
        <w:t>，甲方有权单方面终止合作</w:t>
      </w:r>
      <w:r>
        <w:t>。</w:t>
      </w:r>
    </w:p>
    <w:p>
      <w:pPr>
        <w:pStyle w:val="2"/>
        <w:rPr>
          <w:rFonts w:hint="eastAsia"/>
          <w:lang w:eastAsia="zh-CN"/>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：评分实施细则</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00"/>
        <w:gridCol w:w="891"/>
        <w:gridCol w:w="4309"/>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2" w:type="dxa"/>
            <w:noWrap w:val="0"/>
            <w:vAlign w:val="center"/>
          </w:tcPr>
          <w:p>
            <w:pPr>
              <w:wordWrap w:val="0"/>
              <w:overflowPunct w:val="0"/>
              <w:topLinePunct/>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b/>
                <w:sz w:val="28"/>
                <w:szCs w:val="28"/>
              </w:rPr>
              <w:t>序号</w:t>
            </w:r>
          </w:p>
        </w:tc>
        <w:tc>
          <w:tcPr>
            <w:tcW w:w="1400" w:type="dxa"/>
            <w:noWrap w:val="0"/>
            <w:vAlign w:val="center"/>
          </w:tcPr>
          <w:p>
            <w:pPr>
              <w:wordWrap w:val="0"/>
              <w:overflowPunct w:val="0"/>
              <w:topLinePunct/>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b/>
                <w:sz w:val="28"/>
                <w:szCs w:val="28"/>
              </w:rPr>
              <w:t>评分因素</w:t>
            </w:r>
          </w:p>
        </w:tc>
        <w:tc>
          <w:tcPr>
            <w:tcW w:w="891" w:type="dxa"/>
            <w:noWrap w:val="0"/>
            <w:vAlign w:val="center"/>
          </w:tcPr>
          <w:p>
            <w:pPr>
              <w:wordWrap w:val="0"/>
              <w:overflowPunct w:val="0"/>
              <w:topLinePunct/>
              <w:spacing w:line="360" w:lineRule="auto"/>
              <w:jc w:val="center"/>
              <w:textAlignment w:val="center"/>
              <w:rPr>
                <w:rFonts w:hint="eastAsia" w:ascii="宋体" w:hAnsi="宋体" w:eastAsia="宋体" w:cs="宋体"/>
                <w:color w:val="000000"/>
                <w:sz w:val="28"/>
                <w:szCs w:val="28"/>
              </w:rPr>
            </w:pPr>
            <w:r>
              <w:rPr>
                <w:rFonts w:hint="eastAsia" w:ascii="宋体" w:hAnsi="宋体" w:eastAsia="宋体" w:cs="宋体"/>
                <w:b/>
                <w:sz w:val="28"/>
                <w:szCs w:val="28"/>
              </w:rPr>
              <w:t>分值</w:t>
            </w:r>
          </w:p>
        </w:tc>
        <w:tc>
          <w:tcPr>
            <w:tcW w:w="4309" w:type="dxa"/>
            <w:noWrap w:val="0"/>
            <w:vAlign w:val="center"/>
          </w:tcPr>
          <w:p>
            <w:pPr>
              <w:wordWrap w:val="0"/>
              <w:overflowPunct w:val="0"/>
              <w:topLinePunct/>
              <w:spacing w:line="360" w:lineRule="auto"/>
              <w:jc w:val="center"/>
              <w:textAlignment w:val="center"/>
              <w:rPr>
                <w:rFonts w:hint="eastAsia" w:ascii="宋体" w:hAnsi="宋体" w:eastAsia="宋体" w:cs="宋体"/>
                <w:b/>
                <w:sz w:val="28"/>
                <w:szCs w:val="28"/>
              </w:rPr>
            </w:pPr>
            <w:r>
              <w:rPr>
                <w:rFonts w:hint="eastAsia" w:ascii="宋体" w:hAnsi="宋体" w:eastAsia="宋体" w:cs="宋体"/>
                <w:b/>
                <w:sz w:val="28"/>
                <w:szCs w:val="28"/>
              </w:rPr>
              <w:t>评分标准</w:t>
            </w:r>
          </w:p>
        </w:tc>
        <w:tc>
          <w:tcPr>
            <w:tcW w:w="1120" w:type="dxa"/>
            <w:noWrap w:val="0"/>
            <w:vAlign w:val="center"/>
          </w:tcPr>
          <w:p>
            <w:pPr>
              <w:wordWrap w:val="0"/>
              <w:overflowPunct w:val="0"/>
              <w:topLinePunct/>
              <w:spacing w:line="360" w:lineRule="auto"/>
              <w:jc w:val="center"/>
              <w:textAlignment w:val="center"/>
              <w:rPr>
                <w:rFonts w:hint="eastAsia" w:ascii="宋体" w:hAnsi="宋体" w:eastAsia="宋体" w:cs="宋体"/>
                <w:b/>
                <w:sz w:val="28"/>
                <w:szCs w:val="28"/>
              </w:rPr>
            </w:pPr>
            <w:r>
              <w:rPr>
                <w:rFonts w:hint="eastAsia" w:ascii="宋体" w:hAnsi="宋体" w:eastAsia="宋体" w:cs="宋体"/>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02" w:type="dxa"/>
            <w:noWrap w:val="0"/>
            <w:vAlign w:val="center"/>
          </w:tcPr>
          <w:p>
            <w:pPr>
              <w:wordWrap w:val="0"/>
              <w:overflowPunct w:val="0"/>
              <w:topLinePunct/>
              <w:spacing w:line="360" w:lineRule="auto"/>
              <w:jc w:val="center"/>
              <w:textAlignment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w:t>
            </w:r>
          </w:p>
        </w:tc>
        <w:tc>
          <w:tcPr>
            <w:tcW w:w="1400" w:type="dxa"/>
            <w:noWrap w:val="0"/>
            <w:vAlign w:val="center"/>
          </w:tcPr>
          <w:p>
            <w:pPr>
              <w:wordWrap w:val="0"/>
              <w:overflowPunct w:val="0"/>
              <w:topLinePunct/>
              <w:spacing w:line="360" w:lineRule="auto"/>
              <w:jc w:val="center"/>
              <w:textAlignment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技术要求</w:t>
            </w:r>
          </w:p>
        </w:tc>
        <w:tc>
          <w:tcPr>
            <w:tcW w:w="891" w:type="dxa"/>
            <w:noWrap w:val="0"/>
            <w:vAlign w:val="center"/>
          </w:tcPr>
          <w:p>
            <w:pPr>
              <w:wordWrap w:val="0"/>
              <w:overflowPunct w:val="0"/>
              <w:topLinePunct/>
              <w:spacing w:line="360" w:lineRule="auto"/>
              <w:jc w:val="center"/>
              <w:textAlignment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5分</w:t>
            </w:r>
          </w:p>
        </w:tc>
        <w:tc>
          <w:tcPr>
            <w:tcW w:w="4309" w:type="dxa"/>
            <w:noWrap w:val="0"/>
            <w:vAlign w:val="center"/>
          </w:tcPr>
          <w:p>
            <w:pPr>
              <w:wordWrap w:val="0"/>
              <w:spacing w:line="36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供应商完全响应采购文件技术要求的得5分，每有一条不响应扣1.25分，扣完为止。</w:t>
            </w:r>
          </w:p>
        </w:tc>
        <w:tc>
          <w:tcPr>
            <w:tcW w:w="1120" w:type="dxa"/>
            <w:noWrap w:val="0"/>
            <w:vAlign w:val="center"/>
          </w:tcPr>
          <w:p>
            <w:pPr>
              <w:wordWrap w:val="0"/>
              <w:overflowPunct w:val="0"/>
              <w:topLinePunct/>
              <w:spacing w:line="360" w:lineRule="auto"/>
              <w:jc w:val="center"/>
              <w:textAlignment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02" w:type="dxa"/>
            <w:noWrap w:val="0"/>
            <w:vAlign w:val="center"/>
          </w:tcPr>
          <w:p>
            <w:pPr>
              <w:wordWrap w:val="0"/>
              <w:overflowPunct w:val="0"/>
              <w:topLinePunct/>
              <w:spacing w:line="240" w:lineRule="auto"/>
              <w:jc w:val="center"/>
              <w:textAlignment w:val="center"/>
              <w:rPr>
                <w:rFonts w:hint="eastAsia" w:ascii="宋体" w:hAnsi="宋体" w:eastAsia="宋体" w:cs="宋体"/>
                <w:b w:val="0"/>
                <w:bCs/>
                <w:sz w:val="28"/>
                <w:szCs w:val="28"/>
                <w:highlight w:val="yellow"/>
                <w:lang w:val="en-US" w:eastAsia="zh-CN"/>
              </w:rPr>
            </w:pPr>
            <w:r>
              <w:rPr>
                <w:rFonts w:hint="eastAsia" w:ascii="宋体" w:hAnsi="宋体" w:eastAsia="宋体" w:cs="宋体"/>
                <w:b w:val="0"/>
                <w:bCs/>
                <w:sz w:val="28"/>
                <w:szCs w:val="28"/>
                <w:lang w:val="en-US" w:eastAsia="zh-CN"/>
              </w:rPr>
              <w:t>2</w:t>
            </w:r>
          </w:p>
        </w:tc>
        <w:tc>
          <w:tcPr>
            <w:tcW w:w="1400" w:type="dxa"/>
            <w:noWrap w:val="0"/>
            <w:vAlign w:val="center"/>
          </w:tcPr>
          <w:p>
            <w:pPr>
              <w:wordWrap w:val="0"/>
              <w:overflowPunct w:val="0"/>
              <w:topLinePunct/>
              <w:spacing w:line="240" w:lineRule="auto"/>
              <w:jc w:val="center"/>
              <w:textAlignment w:val="center"/>
              <w:rPr>
                <w:rFonts w:hint="eastAsia" w:ascii="宋体" w:hAnsi="宋体" w:eastAsia="宋体" w:cs="宋体"/>
                <w:b w:val="0"/>
                <w:bCs/>
                <w:sz w:val="28"/>
                <w:szCs w:val="28"/>
              </w:rPr>
            </w:pPr>
            <w:r>
              <w:rPr>
                <w:rFonts w:hint="eastAsia" w:ascii="宋体" w:hAnsi="宋体" w:eastAsia="宋体" w:cs="宋体"/>
                <w:b w:val="0"/>
                <w:bCs/>
                <w:sz w:val="28"/>
                <w:szCs w:val="28"/>
              </w:rPr>
              <w:t>实施方案</w:t>
            </w:r>
          </w:p>
        </w:tc>
        <w:tc>
          <w:tcPr>
            <w:tcW w:w="891" w:type="dxa"/>
            <w:noWrap w:val="0"/>
            <w:vAlign w:val="center"/>
          </w:tcPr>
          <w:p>
            <w:pPr>
              <w:wordWrap w:val="0"/>
              <w:overflowPunct w:val="0"/>
              <w:topLinePunct/>
              <w:spacing w:line="240" w:lineRule="auto"/>
              <w:jc w:val="center"/>
              <w:textAlignment w:val="center"/>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25</w:t>
            </w:r>
            <w:r>
              <w:rPr>
                <w:rFonts w:hint="eastAsia" w:ascii="宋体" w:hAnsi="宋体" w:eastAsia="宋体" w:cs="宋体"/>
                <w:b w:val="0"/>
                <w:bCs/>
                <w:sz w:val="28"/>
                <w:szCs w:val="28"/>
              </w:rPr>
              <w:t>分</w:t>
            </w:r>
          </w:p>
        </w:tc>
        <w:tc>
          <w:tcPr>
            <w:tcW w:w="4309" w:type="dxa"/>
            <w:noWrap w:val="0"/>
            <w:vAlign w:val="center"/>
          </w:tcPr>
          <w:p>
            <w:pPr>
              <w:wordWrap w:val="0"/>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投标人针对本项目提供的服务方案，应包含①数字化科普宣传实施方案②2个专家IP孵化咨询辅导方案③科室微信公众号运营推广实施方案④精准科普推广实施方案⑤私域体验推广服务实施方案。上述5个方案的制定细则必须符合项目需求，准确把握辅助生殖数字化推广的核心要点，方案条理结构清晰，具体实施措施切实可行，无虚假、夸大、空口号内容，符合要求得 25分；每缺少一个方案扣5分，扣完为止；有实施方案但无切实可行实施细则，服务方案条理不清，每个方案只得2.5分。</w:t>
            </w:r>
          </w:p>
        </w:tc>
        <w:tc>
          <w:tcPr>
            <w:tcW w:w="1120" w:type="dxa"/>
            <w:noWrap w:val="0"/>
            <w:vAlign w:val="center"/>
          </w:tcPr>
          <w:p>
            <w:pPr>
              <w:wordWrap w:val="0"/>
              <w:overflowPunct w:val="0"/>
              <w:topLinePunct/>
              <w:spacing w:line="240" w:lineRule="auto"/>
              <w:jc w:val="center"/>
              <w:textAlignment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pPr>
              <w:wordWrap w:val="0"/>
              <w:overflowPunct w:val="0"/>
              <w:topLinePunct/>
              <w:spacing w:line="240" w:lineRule="auto"/>
              <w:jc w:val="center"/>
              <w:textAlignment w:val="center"/>
              <w:rPr>
                <w:rFonts w:hint="eastAsia" w:ascii="宋体" w:hAnsi="宋体" w:eastAsia="宋体" w:cs="宋体"/>
                <w:b w:val="0"/>
                <w:bCs/>
                <w:sz w:val="28"/>
                <w:szCs w:val="28"/>
                <w:highlight w:val="yellow"/>
              </w:rPr>
            </w:pPr>
            <w:r>
              <w:rPr>
                <w:rFonts w:hint="eastAsia" w:ascii="宋体" w:hAnsi="宋体" w:eastAsia="宋体" w:cs="宋体"/>
                <w:b w:val="0"/>
                <w:bCs/>
                <w:sz w:val="28"/>
                <w:szCs w:val="28"/>
                <w:lang w:val="en-US" w:eastAsia="zh-CN"/>
              </w:rPr>
              <w:t>3</w:t>
            </w:r>
          </w:p>
        </w:tc>
        <w:tc>
          <w:tcPr>
            <w:tcW w:w="1400" w:type="dxa"/>
            <w:noWrap w:val="0"/>
            <w:vAlign w:val="center"/>
          </w:tcPr>
          <w:p>
            <w:pPr>
              <w:wordWrap w:val="0"/>
              <w:overflowPunct w:val="0"/>
              <w:topLinePunct/>
              <w:spacing w:line="240" w:lineRule="auto"/>
              <w:jc w:val="center"/>
              <w:textAlignment w:val="center"/>
              <w:rPr>
                <w:rFonts w:hint="eastAsia" w:ascii="宋体" w:hAnsi="宋体" w:eastAsia="宋体" w:cs="宋体"/>
                <w:b w:val="0"/>
                <w:bCs/>
                <w:sz w:val="28"/>
                <w:szCs w:val="28"/>
              </w:rPr>
            </w:pPr>
            <w:r>
              <w:rPr>
                <w:rFonts w:hint="eastAsia" w:ascii="宋体" w:hAnsi="宋体" w:eastAsia="宋体" w:cs="宋体"/>
                <w:b w:val="0"/>
                <w:bCs/>
                <w:sz w:val="28"/>
                <w:szCs w:val="28"/>
              </w:rPr>
              <w:t>履约能力</w:t>
            </w:r>
          </w:p>
        </w:tc>
        <w:tc>
          <w:tcPr>
            <w:tcW w:w="891" w:type="dxa"/>
            <w:noWrap w:val="0"/>
            <w:vAlign w:val="center"/>
          </w:tcPr>
          <w:p>
            <w:pPr>
              <w:wordWrap w:val="0"/>
              <w:overflowPunct w:val="0"/>
              <w:topLinePunct/>
              <w:spacing w:line="240" w:lineRule="auto"/>
              <w:jc w:val="center"/>
              <w:textAlignment w:val="center"/>
              <w:rPr>
                <w:rFonts w:hint="eastAsia" w:ascii="宋体" w:hAnsi="宋体" w:eastAsia="宋体" w:cs="宋体"/>
                <w:b w:val="0"/>
                <w:bCs/>
                <w:sz w:val="28"/>
                <w:szCs w:val="28"/>
              </w:rPr>
            </w:pPr>
            <w:r>
              <w:rPr>
                <w:rFonts w:hint="eastAsia" w:ascii="宋体" w:hAnsi="宋体" w:eastAsia="宋体" w:cs="宋体"/>
                <w:b w:val="0"/>
                <w:bCs/>
                <w:sz w:val="28"/>
                <w:szCs w:val="28"/>
              </w:rPr>
              <w:t>20分</w:t>
            </w:r>
          </w:p>
        </w:tc>
        <w:tc>
          <w:tcPr>
            <w:tcW w:w="4309" w:type="dxa"/>
            <w:noWrap w:val="0"/>
            <w:vAlign w:val="center"/>
          </w:tcPr>
          <w:p>
            <w:pPr>
              <w:wordWrap w:val="0"/>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1.供应商具有行业数字化宣传推广类项目业绩，每提供一个得3分，最高得12分。提供合同复印件并加盖公章，否则不得分。</w:t>
            </w:r>
          </w:p>
          <w:p>
            <w:pPr>
              <w:wordWrap w:val="0"/>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2.供应商须提供具备数据监测、追踪、分析能力及平台数据分析漏斗工具的相关证明材料，证明材料需加盖公章，满足要求得8 分，未提供或仅部分功能满足要求得0 分。</w:t>
            </w:r>
          </w:p>
        </w:tc>
        <w:tc>
          <w:tcPr>
            <w:tcW w:w="1120" w:type="dxa"/>
            <w:noWrap w:val="0"/>
            <w:vAlign w:val="center"/>
          </w:tcPr>
          <w:p>
            <w:pPr>
              <w:wordWrap w:val="0"/>
              <w:overflowPunct w:val="0"/>
              <w:topLinePunct/>
              <w:spacing w:line="240" w:lineRule="auto"/>
              <w:jc w:val="center"/>
              <w:textAlignment w:val="center"/>
              <w:rPr>
                <w:rFonts w:hint="eastAsia"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cBorders>
            <w:noWrap w:val="0"/>
            <w:vAlign w:val="center"/>
          </w:tcPr>
          <w:p>
            <w:pPr>
              <w:pStyle w:val="24"/>
              <w:spacing w:line="240" w:lineRule="auto"/>
              <w:ind w:left="42"/>
              <w:jc w:val="center"/>
              <w:rPr>
                <w:rFonts w:hint="eastAsia" w:ascii="宋体" w:hAnsi="宋体" w:eastAsia="宋体" w:cs="宋体"/>
                <w:b w:val="0"/>
                <w:bCs/>
                <w:snapToGrid/>
                <w:sz w:val="28"/>
                <w:szCs w:val="28"/>
                <w:lang w:eastAsia="zh-CN"/>
              </w:rPr>
            </w:pPr>
            <w:r>
              <w:rPr>
                <w:rFonts w:hint="eastAsia" w:ascii="宋体" w:hAnsi="宋体" w:eastAsia="宋体" w:cs="宋体"/>
                <w:b w:val="0"/>
                <w:bCs/>
                <w:snapToGrid/>
                <w:sz w:val="28"/>
                <w:szCs w:val="28"/>
                <w:lang w:val="en-US" w:eastAsia="zh-CN"/>
              </w:rPr>
              <w:t>4</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11"/>
              <w:spacing w:line="24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团队配置</w:t>
            </w: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20分</w:t>
            </w:r>
          </w:p>
        </w:tc>
        <w:tc>
          <w:tcPr>
            <w:tcW w:w="4309"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供应商项目负责人具有5年及以上（包括5年）互联网数字化宣传推广经验，且具有头部互联网平台工作经历的，得10分；具有3—5年（包括3年）互联网数字化宣传推广经验且参与过数字化宣传推广项目，得5分；3年以下（不包括3年）互联网数字化宣传推广经验或无相关经验，得0分；以上内容需提供纸质版证明材料并加盖服务机构公章。</w:t>
            </w:r>
          </w:p>
          <w:p>
            <w:pPr>
              <w:wordWrap w:val="0"/>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2.核心团队需配备方案策划、内容创作、推广运营等专业人员，至少2-3人，得3分；团队配备低于2人，得0分。</w:t>
            </w:r>
          </w:p>
          <w:p>
            <w:pPr>
              <w:wordWrap w:val="0"/>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3.承诺核心团队成员在服务期限内不变动，能提供每周至少5天驻场并现场沟通，得7分；无驻场承诺得0分。</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pStyle w:val="24"/>
              <w:spacing w:line="240" w:lineRule="auto"/>
              <w:ind w:left="42"/>
              <w:jc w:val="center"/>
              <w:rPr>
                <w:rFonts w:hint="eastAsia" w:ascii="宋体" w:hAnsi="宋体" w:eastAsia="宋体" w:cs="宋体"/>
                <w:b w:val="0"/>
                <w:bCs/>
                <w:snapToGrid/>
                <w:sz w:val="28"/>
                <w:szCs w:val="28"/>
                <w:lang w:val="en-US" w:eastAsia="zh-CN"/>
              </w:rPr>
            </w:pPr>
            <w:r>
              <w:rPr>
                <w:rFonts w:hint="eastAsia" w:cs="宋体"/>
                <w:b w:val="0"/>
                <w:bCs/>
                <w:snapToGrid/>
                <w:sz w:val="28"/>
                <w:szCs w:val="28"/>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pPr>
              <w:pStyle w:val="25"/>
              <w:spacing w:line="240" w:lineRule="auto"/>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5</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4"/>
              <w:spacing w:line="240" w:lineRule="auto"/>
              <w:ind w:left="280" w:leftChars="0" w:hanging="280" w:hangingChars="100"/>
              <w:jc w:val="center"/>
              <w:rPr>
                <w:rFonts w:hint="eastAsia" w:ascii="宋体" w:hAnsi="宋体" w:eastAsia="宋体" w:cs="宋体"/>
                <w:b w:val="0"/>
                <w:bCs/>
                <w:snapToGrid/>
                <w:sz w:val="28"/>
                <w:szCs w:val="28"/>
              </w:rPr>
            </w:pPr>
            <w:r>
              <w:rPr>
                <w:rFonts w:hint="eastAsia" w:ascii="宋体" w:hAnsi="宋体" w:eastAsia="宋体" w:cs="宋体"/>
                <w:b w:val="0"/>
                <w:bCs/>
                <w:snapToGrid/>
                <w:sz w:val="28"/>
                <w:szCs w:val="28"/>
              </w:rPr>
              <w:t>服务承诺</w:t>
            </w: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10分</w:t>
            </w:r>
          </w:p>
        </w:tc>
        <w:tc>
          <w:tcPr>
            <w:tcW w:w="4309"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1.有7×24小时应急响应机制，在响应时效1小时内有回应得3分；</w:t>
            </w:r>
            <w:bookmarkStart w:id="9" w:name="OLE_LINK2"/>
            <w:bookmarkStart w:id="10" w:name="OLE_LINK1"/>
            <w:r>
              <w:rPr>
                <w:rFonts w:hint="eastAsia" w:ascii="宋体" w:hAnsi="宋体" w:eastAsia="宋体" w:cs="宋体"/>
                <w:b w:val="0"/>
                <w:bCs/>
                <w:sz w:val="28"/>
                <w:szCs w:val="28"/>
                <w:lang w:val="en-US" w:eastAsia="zh-CN"/>
              </w:rPr>
              <w:t>有7×24小时应急响应机制</w:t>
            </w:r>
            <w:bookmarkEnd w:id="9"/>
            <w:bookmarkEnd w:id="10"/>
            <w:r>
              <w:rPr>
                <w:rFonts w:hint="eastAsia" w:ascii="宋体" w:hAnsi="宋体" w:eastAsia="宋体" w:cs="宋体"/>
                <w:b w:val="0"/>
                <w:bCs/>
                <w:sz w:val="28"/>
                <w:szCs w:val="28"/>
                <w:lang w:val="en-US" w:eastAsia="zh-CN"/>
              </w:rPr>
              <w:t>，响应时效超过1.5小时得2分；有7×24小时应急响应机制，响应时效超过2小时以上或无应急响应机制得0分。</w:t>
            </w:r>
          </w:p>
          <w:p>
            <w:pPr>
              <w:wordWrap w:val="0"/>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2.对需求方工作人员提供新媒体孵化相关业务知识培训，配备具有培训资质的师资力量，提供讲师资质证（互联网营销师或全媒体运营师或电子商务师）并有培训方案的得7分；有讲师资质证无培训方案的得5分；有培训方案无讲师资质证的得2分；无培训方案且无培训师资证的得0分。（提供相关证书复印件并加盖供应商公章）</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2" w:type="dxa"/>
            <w:tcBorders>
              <w:top w:val="single" w:color="auto" w:sz="4" w:space="0"/>
              <w:left w:val="single" w:color="auto" w:sz="4" w:space="0"/>
              <w:bottom w:val="single" w:color="auto" w:sz="4" w:space="0"/>
              <w:right w:val="single" w:color="auto" w:sz="4" w:space="0"/>
            </w:tcBorders>
            <w:noWrap w:val="0"/>
            <w:vAlign w:val="center"/>
          </w:tcPr>
          <w:p>
            <w:pPr>
              <w:pStyle w:val="25"/>
              <w:spacing w:line="240" w:lineRule="auto"/>
              <w:jc w:val="center"/>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6</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Style w:val="24"/>
              <w:spacing w:line="240" w:lineRule="auto"/>
              <w:ind w:left="280" w:leftChars="0" w:hanging="280" w:hangingChars="100"/>
              <w:jc w:val="center"/>
              <w:rPr>
                <w:rFonts w:hint="eastAsia" w:ascii="宋体" w:hAnsi="宋体" w:eastAsia="宋体" w:cs="宋体"/>
                <w:b w:val="0"/>
                <w:bCs/>
                <w:snapToGrid/>
                <w:sz w:val="28"/>
                <w:szCs w:val="28"/>
              </w:rPr>
            </w:pPr>
            <w:r>
              <w:rPr>
                <w:rFonts w:hint="eastAsia" w:ascii="宋体" w:hAnsi="宋体" w:eastAsia="宋体" w:cs="宋体"/>
                <w:b w:val="0"/>
                <w:bCs/>
                <w:snapToGrid/>
                <w:sz w:val="28"/>
                <w:szCs w:val="28"/>
              </w:rPr>
              <w:t>商务报价</w:t>
            </w:r>
          </w:p>
        </w:tc>
        <w:tc>
          <w:tcPr>
            <w:tcW w:w="891"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240"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20分</w:t>
            </w:r>
          </w:p>
        </w:tc>
        <w:tc>
          <w:tcPr>
            <w:tcW w:w="4309" w:type="dxa"/>
            <w:tcBorders>
              <w:top w:val="single" w:color="auto" w:sz="4" w:space="0"/>
              <w:left w:val="single" w:color="auto" w:sz="4" w:space="0"/>
              <w:bottom w:val="single" w:color="auto" w:sz="4" w:space="0"/>
              <w:right w:val="single" w:color="auto" w:sz="4" w:space="0"/>
            </w:tcBorders>
            <w:noWrap w:val="0"/>
            <w:vAlign w:val="center"/>
          </w:tcPr>
          <w:p>
            <w:pPr>
              <w:wordWrap w:val="0"/>
              <w:spacing w:line="240" w:lineRule="auto"/>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价格分采用低价优先法计算，即满足采购文件要求且报价最低的报价为评审基准价，其价格分为满分20分。其他供应商的价格分统一按照下列公式计算：报价得分=（评审基准价/响应报价）×20。</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客观分</w:t>
            </w:r>
          </w:p>
        </w:tc>
      </w:tr>
    </w:tbl>
    <w:p>
      <w:pPr>
        <w:rPr>
          <w:rFonts w:hint="eastAsia" w:ascii="楷体_GB2312" w:hAnsi="楷体_GB2312" w:eastAsia="楷体_GB2312" w:cs="楷体_GB2312"/>
          <w:b w:val="0"/>
          <w:bCs/>
          <w:color w:val="000000"/>
          <w:sz w:val="24"/>
          <w:szCs w:val="24"/>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spacing w:line="360" w:lineRule="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附件3：</w:t>
      </w:r>
    </w:p>
    <w:p>
      <w:pPr>
        <w:spacing w:line="360" w:lineRule="auto"/>
        <w:jc w:val="center"/>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bCs/>
          <w:color w:val="auto"/>
          <w:kern w:val="0"/>
          <w:sz w:val="28"/>
          <w:szCs w:val="28"/>
          <w:highlight w:val="none"/>
          <w:shd w:val="clear" w:color="auto" w:fill="FFFFFF"/>
          <w:lang w:val="en-US" w:eastAsia="zh-CN"/>
        </w:rPr>
        <w:t>资格证明</w:t>
      </w:r>
      <w:r>
        <w:rPr>
          <w:rFonts w:hint="eastAsia" w:ascii="宋体" w:hAnsi="宋体" w:eastAsia="宋体" w:cs="宋体"/>
          <w:bCs/>
          <w:color w:val="auto"/>
          <w:kern w:val="0"/>
          <w:sz w:val="28"/>
          <w:szCs w:val="28"/>
          <w:highlight w:val="none"/>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1.封面（注明包号、</w:t>
      </w:r>
      <w:r>
        <w:rPr>
          <w:rFonts w:hint="eastAsia" w:ascii="宋体" w:hAnsi="宋体" w:eastAsia="宋体" w:cs="宋体"/>
          <w:color w:val="auto"/>
          <w:spacing w:val="8"/>
          <w:kern w:val="0"/>
          <w:sz w:val="28"/>
          <w:szCs w:val="28"/>
          <w:highlight w:val="none"/>
          <w:shd w:val="clear" w:color="auto" w:fill="FFFFFF"/>
          <w:lang w:val="en-US" w:eastAsia="zh-CN"/>
        </w:rPr>
        <w:t>项目名称</w:t>
      </w:r>
      <w:r>
        <w:rPr>
          <w:rFonts w:hint="eastAsia" w:ascii="宋体" w:hAnsi="宋体" w:eastAsia="宋体" w:cs="宋体"/>
          <w:color w:val="auto"/>
          <w:spacing w:val="8"/>
          <w:kern w:val="0"/>
          <w:sz w:val="28"/>
          <w:szCs w:val="28"/>
          <w:highlight w:val="none"/>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3.有效的营业执照（副本）复印件。</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4.</w:t>
      </w:r>
      <w:r>
        <w:rPr>
          <w:rFonts w:hint="eastAsia" w:ascii="宋体" w:hAnsi="宋体" w:eastAsia="宋体" w:cs="宋体"/>
          <w:color w:val="auto"/>
          <w:spacing w:val="8"/>
          <w:kern w:val="0"/>
          <w:sz w:val="28"/>
          <w:szCs w:val="28"/>
          <w:highlight w:val="none"/>
          <w:shd w:val="clear" w:color="auto" w:fill="FFFFFF"/>
          <w:lang w:eastAsia="zh-CN"/>
        </w:rPr>
        <w:t>授权参加本次采购活动的供应商代表证明。(供应商代表为“授权代表”时，提供授权委托书（</w:t>
      </w:r>
      <w:r>
        <w:rPr>
          <w:rFonts w:hint="eastAsia" w:ascii="宋体" w:hAnsi="宋体" w:eastAsia="宋体" w:cs="宋体"/>
          <w:color w:val="auto"/>
          <w:spacing w:val="8"/>
          <w:kern w:val="0"/>
          <w:sz w:val="28"/>
          <w:szCs w:val="28"/>
          <w:highlight w:val="none"/>
          <w:shd w:val="clear" w:color="auto" w:fill="FFFFFF"/>
          <w:lang w:val="en-US" w:eastAsia="zh-CN"/>
        </w:rPr>
        <w:t>格式见附件5-5</w:t>
      </w:r>
      <w:r>
        <w:rPr>
          <w:rFonts w:hint="eastAsia" w:ascii="宋体" w:hAnsi="宋体" w:eastAsia="宋体" w:cs="宋体"/>
          <w:color w:val="auto"/>
          <w:spacing w:val="8"/>
          <w:kern w:val="0"/>
          <w:sz w:val="28"/>
          <w:szCs w:val="28"/>
          <w:highlight w:val="none"/>
          <w:shd w:val="clear" w:color="auto" w:fill="FFFFFF"/>
          <w:lang w:eastAsia="zh-CN"/>
        </w:rPr>
        <w:t>）及</w:t>
      </w:r>
      <w:r>
        <w:rPr>
          <w:rFonts w:hint="eastAsia" w:ascii="宋体" w:hAnsi="宋体" w:eastAsia="宋体" w:cs="宋体"/>
          <w:color w:val="auto"/>
          <w:spacing w:val="8"/>
          <w:kern w:val="0"/>
          <w:sz w:val="28"/>
          <w:szCs w:val="28"/>
          <w:highlight w:val="none"/>
          <w:shd w:val="clear" w:color="auto" w:fill="FFFFFF"/>
          <w:lang w:val="en-US" w:eastAsia="zh-CN"/>
        </w:rPr>
        <w:t>双方</w:t>
      </w:r>
      <w:r>
        <w:rPr>
          <w:rFonts w:hint="eastAsia" w:ascii="宋体" w:hAnsi="宋体" w:eastAsia="宋体" w:cs="宋体"/>
          <w:color w:val="auto"/>
          <w:spacing w:val="8"/>
          <w:kern w:val="0"/>
          <w:sz w:val="28"/>
          <w:szCs w:val="28"/>
          <w:highlight w:val="none"/>
          <w:shd w:val="clear" w:color="auto" w:fill="FFFFFF"/>
          <w:lang w:eastAsia="zh-CN"/>
        </w:rPr>
        <w:t>身份证复印件；供应商代表为“法定代表人（单位负责人）”时，提供法定代表人（单位负责人）身份证</w:t>
      </w:r>
      <w:r>
        <w:rPr>
          <w:rFonts w:hint="eastAsia" w:ascii="宋体" w:hAnsi="宋体" w:eastAsia="宋体" w:cs="宋体"/>
          <w:color w:val="auto"/>
          <w:spacing w:val="8"/>
          <w:kern w:val="0"/>
          <w:sz w:val="28"/>
          <w:szCs w:val="28"/>
          <w:highlight w:val="none"/>
          <w:shd w:val="clear" w:color="auto" w:fill="FFFFFF"/>
          <w:lang w:val="en-US" w:eastAsia="zh-CN"/>
        </w:rPr>
        <w:t>明</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lang w:val="en-US" w:eastAsia="zh-CN"/>
        </w:rPr>
        <w:t>格式见附件5-6</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rPr>
        <w:t>。</w:t>
      </w:r>
    </w:p>
    <w:p>
      <w:pPr>
        <w:pStyle w:val="11"/>
        <w:widowControl/>
        <w:adjustRightInd w:val="0"/>
        <w:snapToGrid w:val="0"/>
        <w:spacing w:beforeAutospacing="0" w:afterAutospacing="0" w:line="360" w:lineRule="auto"/>
        <w:ind w:firstLine="592" w:firstLineChars="200"/>
        <w:jc w:val="both"/>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5.</w:t>
      </w:r>
      <w:r>
        <w:rPr>
          <w:rFonts w:hint="eastAsia" w:ascii="宋体" w:hAnsi="宋体" w:eastAsia="宋体" w:cs="宋体"/>
          <w:color w:val="auto"/>
          <w:sz w:val="28"/>
          <w:szCs w:val="28"/>
          <w:highlight w:val="none"/>
          <w:shd w:val="clear" w:color="auto" w:fill="FFFFFF"/>
        </w:rPr>
        <w:t>具有良好的商业信誉和健全的财务会计制度</w:t>
      </w:r>
      <w:r>
        <w:rPr>
          <w:rFonts w:hint="eastAsia" w:ascii="宋体" w:hAnsi="宋体" w:eastAsia="宋体" w:cs="宋体"/>
          <w:color w:val="auto"/>
          <w:sz w:val="28"/>
          <w:szCs w:val="28"/>
          <w:highlight w:val="none"/>
          <w:shd w:val="clear" w:color="auto" w:fill="FFFFFF"/>
          <w:lang w:eastAsia="zh-CN"/>
        </w:rPr>
        <w:t>，</w:t>
      </w:r>
      <w:r>
        <w:rPr>
          <w:rFonts w:hint="eastAsia" w:ascii="宋体" w:hAnsi="宋体" w:eastAsia="宋体" w:cs="宋体"/>
          <w:b/>
          <w:bCs/>
          <w:color w:val="auto"/>
          <w:sz w:val="28"/>
          <w:szCs w:val="28"/>
          <w:highlight w:val="none"/>
        </w:rPr>
        <w:t>提供承诺函</w:t>
      </w:r>
      <w:r>
        <w:rPr>
          <w:rFonts w:hint="eastAsia" w:ascii="宋体" w:hAnsi="宋体" w:eastAsia="宋体" w:cs="宋体"/>
          <w:b/>
          <w:bCs/>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6.具有履行合同所必须的设备和专业技术能力，</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7.具有依法缴纳税收和社会保障资金的良好记录，</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8.参加本次采购活动前三年内，在经营活动中没有重大违法记录；没有因安全事故、质量事故、违规等被政府有关部门记录，</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9.供应商负责人为同一人或者存在控股、管理关系的不同单位，均视为同一参会供应商，不得重复参加采购，</w:t>
      </w:r>
      <w:r>
        <w:rPr>
          <w:rFonts w:hint="eastAsia" w:ascii="宋体" w:hAnsi="宋体" w:eastAsia="宋体" w:cs="宋体"/>
          <w:b/>
          <w:bCs/>
          <w:color w:val="auto"/>
          <w:spacing w:val="8"/>
          <w:kern w:val="0"/>
          <w:sz w:val="28"/>
          <w:szCs w:val="28"/>
          <w:highlight w:val="none"/>
          <w:shd w:val="clear" w:color="auto" w:fill="FFFFFF"/>
          <w:lang w:val="en-US" w:eastAsia="zh-CN"/>
        </w:rPr>
        <w:t>提供承诺函</w:t>
      </w:r>
      <w:r>
        <w:rPr>
          <w:rFonts w:hint="eastAsia" w:ascii="宋体" w:hAnsi="宋体" w:eastAsia="宋体" w:cs="宋体"/>
          <w:color w:val="auto"/>
          <w:spacing w:val="8"/>
          <w:kern w:val="0"/>
          <w:sz w:val="28"/>
          <w:szCs w:val="28"/>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bCs/>
          <w:color w:val="auto"/>
          <w:kern w:val="0"/>
          <w:sz w:val="28"/>
          <w:szCs w:val="28"/>
          <w:highlight w:val="none"/>
          <w:shd w:val="clear" w:color="auto" w:fill="FFFFFF"/>
        </w:rPr>
      </w:pPr>
      <w:r>
        <w:rPr>
          <w:rFonts w:hint="eastAsia" w:ascii="宋体" w:hAnsi="宋体" w:eastAsia="宋体" w:cs="宋体"/>
          <w:bCs/>
          <w:color w:val="auto"/>
          <w:kern w:val="0"/>
          <w:sz w:val="28"/>
          <w:szCs w:val="28"/>
          <w:highlight w:val="none"/>
          <w:shd w:val="clear" w:color="auto" w:fill="FFFFFF"/>
        </w:rPr>
        <w:br w:type="page"/>
      </w: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4：</w:t>
      </w:r>
    </w:p>
    <w:p>
      <w:pPr>
        <w:widowControl/>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shd w:val="clear" w:color="auto" w:fill="FFFFFF"/>
        </w:rPr>
        <w:t>采购</w:t>
      </w:r>
      <w:r>
        <w:rPr>
          <w:rFonts w:hint="eastAsia" w:ascii="宋体" w:hAnsi="宋体" w:eastAsia="宋体" w:cs="宋体"/>
          <w:bCs/>
          <w:color w:val="auto"/>
          <w:kern w:val="0"/>
          <w:sz w:val="28"/>
          <w:szCs w:val="28"/>
          <w:highlight w:val="none"/>
          <w:shd w:val="clear" w:color="auto" w:fill="FFFFFF"/>
          <w:lang w:val="en-US" w:eastAsia="zh-CN"/>
        </w:rPr>
        <w:t>响应</w:t>
      </w:r>
      <w:r>
        <w:rPr>
          <w:rFonts w:hint="eastAsia" w:ascii="宋体" w:hAnsi="宋体" w:eastAsia="宋体" w:cs="宋体"/>
          <w:bCs/>
          <w:color w:val="auto"/>
          <w:kern w:val="0"/>
          <w:sz w:val="28"/>
          <w:szCs w:val="28"/>
          <w:highlight w:val="none"/>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1.封面（注明包号、</w:t>
      </w:r>
      <w:r>
        <w:rPr>
          <w:rFonts w:hint="eastAsia" w:ascii="宋体" w:hAnsi="宋体" w:eastAsia="宋体" w:cs="宋体"/>
          <w:color w:val="auto"/>
          <w:spacing w:val="8"/>
          <w:kern w:val="0"/>
          <w:sz w:val="28"/>
          <w:szCs w:val="28"/>
          <w:highlight w:val="none"/>
          <w:shd w:val="clear" w:color="auto" w:fill="FFFFFF"/>
          <w:lang w:val="en-US" w:eastAsia="zh-CN"/>
        </w:rPr>
        <w:t>项目名称</w:t>
      </w:r>
      <w:r>
        <w:rPr>
          <w:rFonts w:hint="eastAsia" w:ascii="宋体" w:hAnsi="宋体" w:eastAsia="宋体" w:cs="宋体"/>
          <w:color w:val="auto"/>
          <w:spacing w:val="8"/>
          <w:kern w:val="0"/>
          <w:sz w:val="28"/>
          <w:szCs w:val="28"/>
          <w:highlight w:val="none"/>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bookmarkStart w:id="11" w:name="OLE_LINK11"/>
      <w:r>
        <w:rPr>
          <w:rFonts w:hint="eastAsia" w:ascii="宋体" w:hAnsi="宋体" w:eastAsia="宋体" w:cs="宋体"/>
          <w:color w:val="auto"/>
          <w:spacing w:val="8"/>
          <w:kern w:val="0"/>
          <w:sz w:val="28"/>
          <w:szCs w:val="28"/>
          <w:highlight w:val="none"/>
          <w:shd w:val="clear" w:color="auto" w:fill="FFFFFF"/>
        </w:rPr>
        <w:t>3.报价一览表（格式见附件</w:t>
      </w:r>
      <w:r>
        <w:rPr>
          <w:rFonts w:hint="eastAsia" w:ascii="宋体" w:hAnsi="宋体" w:eastAsia="宋体" w:cs="宋体"/>
          <w:color w:val="auto"/>
          <w:spacing w:val="8"/>
          <w:kern w:val="0"/>
          <w:sz w:val="28"/>
          <w:szCs w:val="28"/>
          <w:highlight w:val="none"/>
          <w:shd w:val="clear" w:color="auto" w:fill="FFFFFF"/>
          <w:lang w:val="en-US" w:eastAsia="zh-CN"/>
        </w:rPr>
        <w:t>5-1</w:t>
      </w:r>
      <w:r>
        <w:rPr>
          <w:rFonts w:hint="eastAsia" w:ascii="宋体" w:hAnsi="宋体" w:eastAsia="宋体" w:cs="宋体"/>
          <w:color w:val="auto"/>
          <w:spacing w:val="8"/>
          <w:kern w:val="0"/>
          <w:sz w:val="28"/>
          <w:szCs w:val="28"/>
          <w:highlight w:val="none"/>
          <w:shd w:val="clear" w:color="auto" w:fill="FFFFFF"/>
        </w:rPr>
        <w:t>）。</w:t>
      </w:r>
      <w:bookmarkEnd w:id="11"/>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rPr>
        <w:t>4.技术</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rPr>
        <w:t>商务要求偏离表（格式见附件</w:t>
      </w:r>
      <w:r>
        <w:rPr>
          <w:rFonts w:hint="eastAsia" w:ascii="宋体" w:hAnsi="宋体" w:eastAsia="宋体" w:cs="宋体"/>
          <w:color w:val="auto"/>
          <w:spacing w:val="8"/>
          <w:kern w:val="0"/>
          <w:sz w:val="28"/>
          <w:szCs w:val="28"/>
          <w:highlight w:val="none"/>
          <w:shd w:val="clear" w:color="auto" w:fill="FFFFFF"/>
          <w:lang w:val="en-US" w:eastAsia="zh-CN"/>
        </w:rPr>
        <w:t>5</w:t>
      </w:r>
      <w:r>
        <w:rPr>
          <w:rFonts w:hint="eastAsia" w:ascii="宋体" w:hAnsi="宋体" w:eastAsia="宋体" w:cs="宋体"/>
          <w:color w:val="auto"/>
          <w:spacing w:val="8"/>
          <w:kern w:val="0"/>
          <w:sz w:val="28"/>
          <w:szCs w:val="28"/>
          <w:highlight w:val="none"/>
          <w:shd w:val="clear" w:color="auto" w:fill="FFFFFF"/>
        </w:rPr>
        <w:t>-</w:t>
      </w:r>
      <w:r>
        <w:rPr>
          <w:rFonts w:hint="eastAsia" w:ascii="宋体" w:hAnsi="宋体" w:eastAsia="宋体" w:cs="宋体"/>
          <w:color w:val="auto"/>
          <w:spacing w:val="8"/>
          <w:kern w:val="0"/>
          <w:sz w:val="28"/>
          <w:szCs w:val="28"/>
          <w:highlight w:val="none"/>
          <w:shd w:val="clear" w:color="auto" w:fill="FFFFFF"/>
          <w:lang w:val="en-US" w:eastAsia="zh-CN"/>
        </w:rPr>
        <w:t>3</w:t>
      </w:r>
      <w:r>
        <w:rPr>
          <w:rFonts w:hint="eastAsia" w:ascii="宋体" w:hAnsi="宋体" w:eastAsia="宋体" w:cs="宋体"/>
          <w:color w:val="auto"/>
          <w:spacing w:val="8"/>
          <w:kern w:val="0"/>
          <w:sz w:val="28"/>
          <w:szCs w:val="28"/>
          <w:highlight w:val="none"/>
          <w:shd w:val="clear" w:color="auto" w:fill="FFFFFF"/>
        </w:rPr>
        <w:t>）</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rPr>
      </w:pPr>
      <w:r>
        <w:rPr>
          <w:rFonts w:hint="eastAsia" w:ascii="宋体" w:hAnsi="宋体" w:eastAsia="宋体" w:cs="宋体"/>
          <w:color w:val="auto"/>
          <w:spacing w:val="8"/>
          <w:kern w:val="0"/>
          <w:sz w:val="28"/>
          <w:szCs w:val="28"/>
          <w:highlight w:val="none"/>
          <w:shd w:val="clear" w:color="auto" w:fill="FFFFFF"/>
          <w:lang w:val="en-US" w:eastAsia="zh-CN"/>
        </w:rPr>
        <w:t>5.</w:t>
      </w:r>
      <w:r>
        <w:rPr>
          <w:rFonts w:hint="eastAsia" w:ascii="宋体" w:hAnsi="宋体" w:eastAsia="宋体" w:cs="宋体"/>
          <w:color w:val="auto"/>
          <w:spacing w:val="8"/>
          <w:kern w:val="0"/>
          <w:sz w:val="28"/>
          <w:szCs w:val="28"/>
          <w:highlight w:val="none"/>
          <w:shd w:val="clear" w:color="auto" w:fill="FFFFFF"/>
        </w:rPr>
        <w:t>售后服务承诺</w:t>
      </w:r>
      <w:r>
        <w:rPr>
          <w:rFonts w:hint="eastAsia" w:ascii="宋体" w:hAnsi="宋体" w:eastAsia="宋体" w:cs="宋体"/>
          <w:color w:val="auto"/>
          <w:spacing w:val="8"/>
          <w:kern w:val="0"/>
          <w:sz w:val="28"/>
          <w:szCs w:val="28"/>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lang w:val="en-US" w:eastAsia="zh-CN"/>
        </w:rPr>
        <w:t>6.反商业贿赂承诺书（</w:t>
      </w:r>
      <w:r>
        <w:rPr>
          <w:rFonts w:hint="eastAsia" w:ascii="宋体" w:hAnsi="宋体" w:eastAsia="宋体" w:cs="宋体"/>
          <w:color w:val="auto"/>
          <w:spacing w:val="8"/>
          <w:kern w:val="0"/>
          <w:sz w:val="28"/>
          <w:szCs w:val="28"/>
          <w:highlight w:val="none"/>
          <w:shd w:val="clear" w:color="auto" w:fill="FFFFFF"/>
        </w:rPr>
        <w:t>格式见附件</w:t>
      </w:r>
      <w:r>
        <w:rPr>
          <w:rFonts w:hint="eastAsia" w:ascii="宋体" w:hAnsi="宋体" w:eastAsia="宋体" w:cs="宋体"/>
          <w:color w:val="auto"/>
          <w:spacing w:val="8"/>
          <w:kern w:val="0"/>
          <w:sz w:val="28"/>
          <w:szCs w:val="28"/>
          <w:highlight w:val="none"/>
          <w:shd w:val="clear" w:color="auto" w:fill="FFFFFF"/>
          <w:lang w:val="en-US" w:eastAsia="zh-CN"/>
        </w:rPr>
        <w:t>6）</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7.禁止围标、串标情况承诺函（</w:t>
      </w:r>
      <w:r>
        <w:rPr>
          <w:rFonts w:hint="eastAsia" w:ascii="宋体" w:hAnsi="宋体" w:eastAsia="宋体" w:cs="宋体"/>
          <w:color w:val="auto"/>
          <w:spacing w:val="8"/>
          <w:kern w:val="0"/>
          <w:sz w:val="28"/>
          <w:szCs w:val="28"/>
          <w:highlight w:val="none"/>
          <w:shd w:val="clear" w:color="auto" w:fill="FFFFFF"/>
        </w:rPr>
        <w:t>格式见附件</w:t>
      </w:r>
      <w:r>
        <w:rPr>
          <w:rFonts w:hint="eastAsia" w:ascii="宋体" w:hAnsi="宋体" w:eastAsia="宋体" w:cs="宋体"/>
          <w:color w:val="auto"/>
          <w:spacing w:val="8"/>
          <w:kern w:val="0"/>
          <w:sz w:val="28"/>
          <w:szCs w:val="28"/>
          <w:highlight w:val="none"/>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8.供应商遵守招标采购纪律承诺书（</w:t>
      </w:r>
      <w:r>
        <w:rPr>
          <w:rFonts w:hint="eastAsia" w:ascii="宋体" w:hAnsi="宋体" w:eastAsia="宋体" w:cs="宋体"/>
          <w:color w:val="auto"/>
          <w:spacing w:val="8"/>
          <w:kern w:val="0"/>
          <w:sz w:val="28"/>
          <w:szCs w:val="28"/>
          <w:highlight w:val="none"/>
          <w:shd w:val="clear" w:color="auto" w:fill="FFFFFF"/>
        </w:rPr>
        <w:t>格式见附件</w:t>
      </w:r>
      <w:r>
        <w:rPr>
          <w:rFonts w:hint="eastAsia" w:ascii="宋体" w:hAnsi="宋体" w:eastAsia="宋体" w:cs="宋体"/>
          <w:color w:val="auto"/>
          <w:spacing w:val="8"/>
          <w:kern w:val="0"/>
          <w:sz w:val="28"/>
          <w:szCs w:val="28"/>
          <w:highlight w:val="none"/>
          <w:shd w:val="clear" w:color="auto" w:fill="FFFFFF"/>
          <w:lang w:val="en-US" w:eastAsia="zh-CN"/>
        </w:rPr>
        <w:t>8）。</w:t>
      </w:r>
      <w:bookmarkStart w:id="12" w:name="_GoBack"/>
      <w:bookmarkEnd w:id="12"/>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lang w:val="en-US" w:eastAsia="zh-CN"/>
        </w:rPr>
        <w:t>9.行业相关</w:t>
      </w:r>
      <w:r>
        <w:rPr>
          <w:rFonts w:hint="eastAsia" w:ascii="宋体" w:hAnsi="宋体" w:eastAsia="宋体" w:cs="宋体"/>
          <w:color w:val="auto"/>
          <w:spacing w:val="8"/>
          <w:kern w:val="0"/>
          <w:sz w:val="28"/>
          <w:szCs w:val="28"/>
          <w:highlight w:val="none"/>
          <w:shd w:val="clear" w:color="auto" w:fill="FFFFFF"/>
        </w:rPr>
        <w:t>规范或标准</w:t>
      </w:r>
      <w:r>
        <w:rPr>
          <w:rFonts w:hint="eastAsia" w:ascii="宋体" w:hAnsi="宋体" w:eastAsia="宋体" w:cs="宋体"/>
          <w:color w:val="auto"/>
          <w:spacing w:val="8"/>
          <w:kern w:val="0"/>
          <w:sz w:val="28"/>
          <w:szCs w:val="28"/>
          <w:highlight w:val="none"/>
          <w:shd w:val="clear" w:color="auto" w:fill="FFFFFF"/>
          <w:lang w:eastAsia="zh-CN"/>
        </w:rPr>
        <w:t>（</w:t>
      </w:r>
      <w:r>
        <w:rPr>
          <w:rFonts w:hint="eastAsia" w:ascii="宋体" w:hAnsi="宋体" w:eastAsia="宋体" w:cs="宋体"/>
          <w:color w:val="auto"/>
          <w:spacing w:val="8"/>
          <w:kern w:val="0"/>
          <w:sz w:val="28"/>
          <w:szCs w:val="28"/>
          <w:highlight w:val="none"/>
          <w:shd w:val="clear" w:color="auto" w:fill="FFFFFF"/>
          <w:lang w:val="en-US" w:eastAsia="zh-CN"/>
        </w:rPr>
        <w:t>如有</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val="en-US" w:eastAsia="zh-CN"/>
        </w:rPr>
      </w:pPr>
      <w:r>
        <w:rPr>
          <w:rFonts w:hint="eastAsia" w:ascii="宋体" w:hAnsi="宋体" w:eastAsia="宋体" w:cs="宋体"/>
          <w:color w:val="auto"/>
          <w:spacing w:val="8"/>
          <w:kern w:val="0"/>
          <w:sz w:val="28"/>
          <w:szCs w:val="28"/>
          <w:highlight w:val="none"/>
          <w:shd w:val="clear" w:color="auto" w:fill="FFFFFF"/>
          <w:lang w:val="en-US" w:eastAsia="zh-CN"/>
        </w:rPr>
        <w:t>10.供应商认为需要提供的其它资料</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92" w:firstLineChars="200"/>
        <w:textAlignment w:val="auto"/>
        <w:rPr>
          <w:rFonts w:hint="eastAsia" w:ascii="宋体" w:hAnsi="宋体" w:eastAsia="宋体" w:cs="宋体"/>
          <w:color w:val="auto"/>
          <w:spacing w:val="8"/>
          <w:kern w:val="0"/>
          <w:sz w:val="28"/>
          <w:szCs w:val="28"/>
          <w:highlight w:val="none"/>
          <w:shd w:val="clear" w:color="auto" w:fill="FFFFFF"/>
          <w:lang w:eastAsia="zh-CN"/>
        </w:rPr>
      </w:pPr>
      <w:r>
        <w:rPr>
          <w:rFonts w:hint="eastAsia" w:ascii="宋体" w:hAnsi="宋体" w:eastAsia="宋体" w:cs="宋体"/>
          <w:color w:val="auto"/>
          <w:spacing w:val="8"/>
          <w:kern w:val="0"/>
          <w:sz w:val="28"/>
          <w:szCs w:val="28"/>
          <w:highlight w:val="none"/>
          <w:shd w:val="clear" w:color="auto" w:fill="FFFFFF"/>
          <w:lang w:val="en-US" w:eastAsia="zh-CN"/>
        </w:rPr>
        <w:t>11.</w:t>
      </w:r>
      <w:r>
        <w:rPr>
          <w:rFonts w:hint="eastAsia" w:ascii="宋体" w:hAnsi="宋体" w:eastAsia="宋体" w:cs="宋体"/>
          <w:color w:val="auto"/>
          <w:spacing w:val="8"/>
          <w:kern w:val="0"/>
          <w:sz w:val="28"/>
          <w:szCs w:val="28"/>
          <w:highlight w:val="none"/>
          <w:shd w:val="clear" w:color="auto" w:fill="FFFFFF"/>
        </w:rPr>
        <w:t>封底</w:t>
      </w:r>
      <w:r>
        <w:rPr>
          <w:rFonts w:hint="eastAsia" w:ascii="宋体" w:hAnsi="宋体" w:eastAsia="宋体" w:cs="宋体"/>
          <w:color w:val="auto"/>
          <w:spacing w:val="8"/>
          <w:kern w:val="0"/>
          <w:sz w:val="28"/>
          <w:szCs w:val="28"/>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t>注：请务必按以上顺序装订资料，如有非中文资料，请同时提供中文翻译件。</w:t>
      </w:r>
    </w:p>
    <w:p>
      <w:pPr>
        <w:pStyle w:val="6"/>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color w:val="auto"/>
          <w:kern w:val="0"/>
          <w:sz w:val="28"/>
          <w:szCs w:val="28"/>
          <w:highlight w:val="none"/>
          <w:shd w:val="clear" w:color="auto" w:fill="FFFFFF"/>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8"/>
          <w:szCs w:val="28"/>
          <w:highlight w:val="none"/>
        </w:rPr>
      </w:pPr>
    </w:p>
    <w:p>
      <w:pPr>
        <w:adjustRightInd w:val="0"/>
        <w:snapToGrid w:val="0"/>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rPr>
        <w:t>：主要表格</w:t>
      </w:r>
      <w:r>
        <w:rPr>
          <w:rFonts w:hint="eastAsia" w:ascii="宋体" w:hAnsi="宋体" w:eastAsia="宋体" w:cs="宋体"/>
          <w:b/>
          <w:bCs/>
          <w:color w:val="auto"/>
          <w:sz w:val="32"/>
          <w:szCs w:val="32"/>
          <w:highlight w:val="none"/>
          <w:lang w:val="en-US" w:eastAsia="zh-CN"/>
        </w:rPr>
        <w:t>格式</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u w:val="none"/>
          <w:lang w:val="en-US" w:eastAsia="zh-CN"/>
        </w:rPr>
        <w:t>生殖医学中心数字化宣传推广咨询服务合作项目</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报价一览表</w:t>
      </w:r>
    </w:p>
    <w:tbl>
      <w:tblPr>
        <w:tblStyle w:val="13"/>
        <w:tblW w:w="10784" w:type="dxa"/>
        <w:jc w:val="center"/>
        <w:tblLayout w:type="fixed"/>
        <w:tblCellMar>
          <w:top w:w="0" w:type="dxa"/>
          <w:left w:w="0" w:type="dxa"/>
          <w:bottom w:w="0" w:type="dxa"/>
          <w:right w:w="0" w:type="dxa"/>
        </w:tblCellMar>
      </w:tblPr>
      <w:tblGrid>
        <w:gridCol w:w="423"/>
        <w:gridCol w:w="2071"/>
        <w:gridCol w:w="903"/>
        <w:gridCol w:w="2227"/>
        <w:gridCol w:w="1036"/>
        <w:gridCol w:w="1887"/>
        <w:gridCol w:w="2237"/>
      </w:tblGrid>
      <w:tr>
        <w:tblPrEx>
          <w:tblCellMar>
            <w:top w:w="0" w:type="dxa"/>
            <w:left w:w="0" w:type="dxa"/>
            <w:bottom w:w="0" w:type="dxa"/>
            <w:right w:w="0" w:type="dxa"/>
          </w:tblCellMar>
        </w:tblPrEx>
        <w:trPr>
          <w:trHeight w:val="771"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序号</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0"/>
                <w:sz w:val="28"/>
                <w:szCs w:val="28"/>
                <w:highlight w:val="none"/>
                <w:lang w:val="en-US" w:eastAsia="zh-CN" w:bidi="ar"/>
              </w:rPr>
              <w:t>标的名称</w:t>
            </w:r>
          </w:p>
        </w:tc>
        <w:tc>
          <w:tcPr>
            <w:tcW w:w="90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数量</w:t>
            </w:r>
          </w:p>
        </w:tc>
        <w:tc>
          <w:tcPr>
            <w:tcW w:w="222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color w:val="auto"/>
                <w:sz w:val="28"/>
                <w:szCs w:val="28"/>
                <w:highlight w:val="none"/>
                <w:lang w:val="en-US" w:eastAsia="zh-CN"/>
              </w:rPr>
              <w:t>单价</w:t>
            </w:r>
            <w:r>
              <w:rPr>
                <w:rFonts w:hint="eastAsia" w:ascii="宋体" w:hAnsi="宋体" w:eastAsia="宋体" w:cs="宋体"/>
                <w:b/>
                <w:color w:val="auto"/>
                <w:sz w:val="28"/>
                <w:szCs w:val="28"/>
                <w:highlight w:val="none"/>
              </w:rPr>
              <w:t>限价（元）</w:t>
            </w:r>
          </w:p>
        </w:tc>
        <w:tc>
          <w:tcPr>
            <w:tcW w:w="103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sz w:val="28"/>
                <w:szCs w:val="28"/>
                <w:highlight w:val="none"/>
                <w:vertAlign w:val="baseline"/>
                <w:lang w:val="en-US" w:eastAsia="zh-CN"/>
              </w:rPr>
              <w:t>单位</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8"/>
                <w:szCs w:val="28"/>
                <w:highlight w:val="none"/>
                <w:lang w:val="en-US" w:eastAsia="zh-CN"/>
              </w:rPr>
              <w:t>品牌/规格型号（如有）</w:t>
            </w: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val="en-US" w:eastAsia="zh-CN" w:bidi="ar"/>
              </w:rPr>
              <w:t>单价报价</w:t>
            </w:r>
            <w:r>
              <w:rPr>
                <w:rFonts w:hint="eastAsia" w:ascii="宋体" w:hAnsi="宋体" w:eastAsia="宋体" w:cs="宋体"/>
                <w:b/>
                <w:bCs/>
                <w:color w:val="auto"/>
                <w:kern w:val="0"/>
                <w:sz w:val="28"/>
                <w:szCs w:val="28"/>
                <w:highlight w:val="none"/>
                <w:lang w:bidi="ar"/>
              </w:rPr>
              <w:t>（元）</w:t>
            </w:r>
          </w:p>
        </w:tc>
      </w:tr>
      <w:tr>
        <w:tblPrEx>
          <w:tblCellMar>
            <w:top w:w="0" w:type="dxa"/>
            <w:left w:w="0" w:type="dxa"/>
            <w:bottom w:w="0" w:type="dxa"/>
            <w:right w:w="0" w:type="dxa"/>
          </w:tblCellMar>
        </w:tblPrEx>
        <w:trPr>
          <w:trHeight w:val="743"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vertAlign w:val="baseline"/>
                <w:lang w:val="en-US" w:eastAsia="zh-CN"/>
              </w:rPr>
              <w:t>1</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生殖医学中心数字化宣传推广咨询服务合作项目</w:t>
            </w:r>
          </w:p>
        </w:tc>
        <w:tc>
          <w:tcPr>
            <w:tcW w:w="90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lang w:val="en-US" w:eastAsia="zh-CN"/>
              </w:rPr>
              <w:t>1</w:t>
            </w:r>
          </w:p>
        </w:tc>
        <w:tc>
          <w:tcPr>
            <w:tcW w:w="222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1800元/例</w:t>
            </w:r>
          </w:p>
        </w:tc>
        <w:tc>
          <w:tcPr>
            <w:tcW w:w="103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项</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bidi="ar"/>
              </w:rPr>
            </w:pPr>
          </w:p>
        </w:tc>
      </w:tr>
      <w:tr>
        <w:tblPrEx>
          <w:tblCellMar>
            <w:top w:w="0" w:type="dxa"/>
            <w:left w:w="0" w:type="dxa"/>
            <w:bottom w:w="0" w:type="dxa"/>
            <w:right w:w="0" w:type="dxa"/>
          </w:tblCellMar>
        </w:tblPrEx>
        <w:trPr>
          <w:trHeight w:val="711" w:hRule="atLeast"/>
          <w:jc w:val="center"/>
        </w:trPr>
        <w:tc>
          <w:tcPr>
            <w:tcW w:w="107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7665"/>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报价合计：</w:t>
            </w:r>
            <w:r>
              <w:rPr>
                <w:rFonts w:hint="eastAsia" w:ascii="宋体" w:hAnsi="宋体" w:eastAsia="宋体" w:cs="宋体"/>
                <w:sz w:val="24"/>
                <w:szCs w:val="24"/>
                <w:highlight w:val="none"/>
                <w:lang w:val="en-US" w:eastAsia="zh-CN"/>
              </w:rPr>
              <w:t>人民币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tc>
      </w:tr>
    </w:tbl>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1.报价应是最终用户验收合格后的总价，包括设备运输、保险、代理、安装调试、培训、税费、系统集成费用和采购文件规定的其它费用。</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2.“报价表”为多页的，每页均需由法定代表人或授权代表签字并盖</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印章。</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3.单价报价超过单价最高限价的为无效报价，供应商响应文件将作无效响应处理。</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供应商名称：（盖章）</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pPr>
        <w:spacing w:line="360" w:lineRule="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br w:type="page"/>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u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u w:val="none"/>
          <w:lang w:val="en-US" w:eastAsia="zh-CN"/>
        </w:rPr>
        <w:t>生殖医学中心数字化宣传推广咨询服务合作项目</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最后报价表</w:t>
      </w:r>
    </w:p>
    <w:tbl>
      <w:tblPr>
        <w:tblStyle w:val="13"/>
        <w:tblW w:w="10784" w:type="dxa"/>
        <w:jc w:val="center"/>
        <w:tblLayout w:type="fixed"/>
        <w:tblCellMar>
          <w:top w:w="0" w:type="dxa"/>
          <w:left w:w="0" w:type="dxa"/>
          <w:bottom w:w="0" w:type="dxa"/>
          <w:right w:w="0" w:type="dxa"/>
        </w:tblCellMar>
      </w:tblPr>
      <w:tblGrid>
        <w:gridCol w:w="423"/>
        <w:gridCol w:w="2071"/>
        <w:gridCol w:w="903"/>
        <w:gridCol w:w="2227"/>
        <w:gridCol w:w="1036"/>
        <w:gridCol w:w="1887"/>
        <w:gridCol w:w="2237"/>
      </w:tblGrid>
      <w:tr>
        <w:tblPrEx>
          <w:tblCellMar>
            <w:top w:w="0" w:type="dxa"/>
            <w:left w:w="0" w:type="dxa"/>
            <w:bottom w:w="0" w:type="dxa"/>
            <w:right w:w="0" w:type="dxa"/>
          </w:tblCellMar>
        </w:tblPrEx>
        <w:trPr>
          <w:trHeight w:val="771"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序号</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kern w:val="0"/>
                <w:sz w:val="28"/>
                <w:szCs w:val="28"/>
                <w:highlight w:val="none"/>
                <w:lang w:val="en-US" w:eastAsia="zh-CN" w:bidi="ar"/>
              </w:rPr>
              <w:t>标的名称</w:t>
            </w:r>
          </w:p>
        </w:tc>
        <w:tc>
          <w:tcPr>
            <w:tcW w:w="90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数量</w:t>
            </w:r>
          </w:p>
        </w:tc>
        <w:tc>
          <w:tcPr>
            <w:tcW w:w="222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color w:val="auto"/>
                <w:sz w:val="28"/>
                <w:szCs w:val="28"/>
                <w:highlight w:val="none"/>
                <w:lang w:val="en-US" w:eastAsia="zh-CN"/>
              </w:rPr>
              <w:t>单价</w:t>
            </w:r>
            <w:r>
              <w:rPr>
                <w:rFonts w:hint="eastAsia" w:ascii="宋体" w:hAnsi="宋体" w:eastAsia="宋体" w:cs="宋体"/>
                <w:b/>
                <w:color w:val="auto"/>
                <w:sz w:val="28"/>
                <w:szCs w:val="28"/>
                <w:highlight w:val="none"/>
              </w:rPr>
              <w:t>限价（元）</w:t>
            </w:r>
          </w:p>
        </w:tc>
        <w:tc>
          <w:tcPr>
            <w:tcW w:w="103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sz w:val="28"/>
                <w:szCs w:val="28"/>
                <w:highlight w:val="none"/>
                <w:vertAlign w:val="baseline"/>
                <w:lang w:val="en-US" w:eastAsia="zh-CN"/>
              </w:rPr>
              <w:t>单位</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8"/>
                <w:szCs w:val="28"/>
                <w:highlight w:val="none"/>
                <w:lang w:val="en-US" w:eastAsia="zh-CN"/>
              </w:rPr>
              <w:t>品牌/规格型号（如有）</w:t>
            </w: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val="en-US" w:eastAsia="zh-CN" w:bidi="ar"/>
              </w:rPr>
              <w:t>单价报价</w:t>
            </w:r>
            <w:r>
              <w:rPr>
                <w:rFonts w:hint="eastAsia" w:ascii="宋体" w:hAnsi="宋体" w:eastAsia="宋体" w:cs="宋体"/>
                <w:b/>
                <w:bCs/>
                <w:color w:val="auto"/>
                <w:kern w:val="0"/>
                <w:sz w:val="28"/>
                <w:szCs w:val="28"/>
                <w:highlight w:val="none"/>
                <w:lang w:bidi="ar"/>
              </w:rPr>
              <w:t>（元）</w:t>
            </w:r>
          </w:p>
        </w:tc>
      </w:tr>
      <w:tr>
        <w:tblPrEx>
          <w:tblCellMar>
            <w:top w:w="0" w:type="dxa"/>
            <w:left w:w="0" w:type="dxa"/>
            <w:bottom w:w="0" w:type="dxa"/>
            <w:right w:w="0" w:type="dxa"/>
          </w:tblCellMar>
        </w:tblPrEx>
        <w:trPr>
          <w:trHeight w:val="743"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vertAlign w:val="baseline"/>
                <w:lang w:val="en-US" w:eastAsia="zh-CN"/>
              </w:rPr>
              <w:t>1</w:t>
            </w:r>
          </w:p>
        </w:tc>
        <w:tc>
          <w:tcPr>
            <w:tcW w:w="2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生殖医学中心数字化宣传推广咨询服务合作项目</w:t>
            </w:r>
          </w:p>
        </w:tc>
        <w:tc>
          <w:tcPr>
            <w:tcW w:w="903"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lang w:val="en-US" w:eastAsia="zh-CN"/>
              </w:rPr>
              <w:t>1</w:t>
            </w:r>
          </w:p>
        </w:tc>
        <w:tc>
          <w:tcPr>
            <w:tcW w:w="222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1800元/例</w:t>
            </w:r>
          </w:p>
        </w:tc>
        <w:tc>
          <w:tcPr>
            <w:tcW w:w="1036"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spacing w:line="44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项</w:t>
            </w:r>
          </w:p>
        </w:tc>
        <w:tc>
          <w:tcPr>
            <w:tcW w:w="18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after="0" w:line="360" w:lineRule="auto"/>
              <w:jc w:val="center"/>
              <w:rPr>
                <w:rFonts w:hint="eastAsia" w:ascii="宋体" w:hAnsi="宋体" w:eastAsia="宋体" w:cs="宋体"/>
                <w:color w:val="auto"/>
                <w:kern w:val="2"/>
                <w:sz w:val="24"/>
                <w:szCs w:val="24"/>
                <w:highlight w:val="none"/>
                <w:lang w:val="en-US" w:eastAsia="zh-CN" w:bidi="ar-SA"/>
              </w:rPr>
            </w:pPr>
          </w:p>
        </w:tc>
        <w:tc>
          <w:tcPr>
            <w:tcW w:w="223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highlight w:val="none"/>
                <w:lang w:bidi="ar"/>
              </w:rPr>
            </w:pPr>
          </w:p>
        </w:tc>
      </w:tr>
      <w:tr>
        <w:tblPrEx>
          <w:tblCellMar>
            <w:top w:w="0" w:type="dxa"/>
            <w:left w:w="0" w:type="dxa"/>
            <w:bottom w:w="0" w:type="dxa"/>
            <w:right w:w="0" w:type="dxa"/>
          </w:tblCellMar>
        </w:tblPrEx>
        <w:trPr>
          <w:trHeight w:val="711" w:hRule="atLeast"/>
          <w:jc w:val="center"/>
        </w:trPr>
        <w:tc>
          <w:tcPr>
            <w:tcW w:w="107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7665"/>
              </w:tabs>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报价合计：</w:t>
            </w:r>
            <w:r>
              <w:rPr>
                <w:rFonts w:hint="eastAsia" w:ascii="宋体" w:hAnsi="宋体" w:eastAsia="宋体" w:cs="宋体"/>
                <w:sz w:val="24"/>
                <w:szCs w:val="24"/>
                <w:highlight w:val="none"/>
                <w:lang w:val="en-US" w:eastAsia="zh-CN"/>
              </w:rPr>
              <w:t>人民币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tc>
      </w:tr>
    </w:tbl>
    <w:p>
      <w:pPr>
        <w:pStyle w:val="9"/>
        <w:rPr>
          <w:rFonts w:hint="eastAsia"/>
        </w:rPr>
      </w:pP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1.报价应是最终用户验收合格后的总价，包括设备运输、保险、代理、安装调试、培训、税费、系统集成费用和采购文件规定的其它费用。</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2.“报价表”为多页的，每页均需由法定代表人或授权代表签字并盖</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印章。</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3.单价报价超过单价最高限价的为无效报价，供应商响应文件将作无效响应处理。</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4.两轮（若有）以上报价的，供应商在未提高响应文件中承诺的产品及其服务质量的情况下，其最后报价不得高于对该项目之前的报价</w:t>
      </w:r>
      <w:r>
        <w:rPr>
          <w:rFonts w:hint="eastAsia" w:ascii="宋体" w:hAnsi="宋体" w:eastAsia="宋体" w:cs="宋体"/>
          <w:color w:val="auto"/>
          <w:kern w:val="0"/>
          <w:sz w:val="28"/>
          <w:szCs w:val="28"/>
          <w:highlight w:val="none"/>
          <w:lang w:eastAsia="zh-CN"/>
        </w:rPr>
        <w:t>。</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最后</w:t>
      </w:r>
      <w:r>
        <w:rPr>
          <w:rFonts w:hint="eastAsia" w:ascii="宋体" w:hAnsi="宋体" w:eastAsia="宋体" w:cs="宋体"/>
          <w:color w:val="auto"/>
          <w:kern w:val="0"/>
          <w:sz w:val="28"/>
          <w:szCs w:val="28"/>
          <w:highlight w:val="none"/>
        </w:rPr>
        <w:t>报价表”需单独密封。</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供应商名称：（盖章）</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p>
    <w:p>
      <w:pPr>
        <w:widowControl/>
        <w:shd w:val="clear" w:color="auto" w:fill="FFFFFF"/>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技术、商务要求</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表</w:t>
      </w:r>
    </w:p>
    <w:tbl>
      <w:tblPr>
        <w:tblStyle w:val="13"/>
        <w:tblW w:w="0" w:type="auto"/>
        <w:jc w:val="center"/>
        <w:tblLayout w:type="autofit"/>
        <w:tblCellMar>
          <w:top w:w="0" w:type="dxa"/>
          <w:left w:w="0" w:type="dxa"/>
          <w:bottom w:w="0" w:type="dxa"/>
          <w:right w:w="0" w:type="dxa"/>
        </w:tblCellMar>
      </w:tblPr>
      <w:tblGrid>
        <w:gridCol w:w="1061"/>
        <w:gridCol w:w="2298"/>
        <w:gridCol w:w="2298"/>
        <w:gridCol w:w="2865"/>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采购文件</w:t>
            </w:r>
            <w:r>
              <w:rPr>
                <w:rFonts w:hint="eastAsia" w:ascii="宋体" w:hAnsi="宋体" w:eastAsia="宋体" w:cs="宋体"/>
                <w:color w:val="auto"/>
                <w:kern w:val="0"/>
                <w:sz w:val="28"/>
                <w:szCs w:val="28"/>
                <w:highlight w:val="none"/>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供应商</w:t>
            </w:r>
            <w:r>
              <w:rPr>
                <w:rFonts w:hint="eastAsia" w:ascii="宋体" w:hAnsi="宋体" w:eastAsia="宋体" w:cs="宋体"/>
                <w:color w:val="auto"/>
                <w:kern w:val="0"/>
                <w:sz w:val="28"/>
                <w:szCs w:val="28"/>
                <w:highlight w:val="none"/>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bl>
    <w:p>
      <w:pPr>
        <w:widowControl/>
        <w:shd w:val="clear" w:color="auto" w:fill="FFFFFF"/>
        <w:wordWrap w:val="0"/>
        <w:spacing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1.供应商根据</w:t>
      </w:r>
      <w:r>
        <w:rPr>
          <w:rFonts w:hint="eastAsia" w:ascii="宋体" w:hAnsi="宋体" w:eastAsia="宋体" w:cs="宋体"/>
          <w:color w:val="auto"/>
          <w:kern w:val="0"/>
          <w:sz w:val="28"/>
          <w:szCs w:val="28"/>
          <w:highlight w:val="none"/>
          <w:lang w:val="en-US" w:eastAsia="zh-CN"/>
        </w:rPr>
        <w:t>附件1“采购需求”中的</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技术要求”“商务要求”</w:t>
      </w:r>
      <w:r>
        <w:rPr>
          <w:rFonts w:hint="eastAsia" w:ascii="宋体" w:hAnsi="宋体" w:eastAsia="宋体" w:cs="宋体"/>
          <w:color w:val="auto"/>
          <w:kern w:val="0"/>
          <w:sz w:val="28"/>
          <w:szCs w:val="28"/>
          <w:highlight w:val="none"/>
        </w:rPr>
        <w:t>，对应进行填写。未单独填写的条款，视为默认响应。</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2.若无偏离，可在偏离情况中填“/”；若有偏离，需在偏离情况中进行说明；</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3.若“</w:t>
      </w:r>
      <w:r>
        <w:rPr>
          <w:rFonts w:hint="eastAsia" w:ascii="宋体" w:hAnsi="宋体" w:eastAsia="宋体" w:cs="宋体"/>
          <w:color w:val="auto"/>
          <w:kern w:val="0"/>
          <w:sz w:val="28"/>
          <w:szCs w:val="28"/>
          <w:highlight w:val="none"/>
          <w:lang w:val="en-US" w:eastAsia="zh-CN"/>
        </w:rPr>
        <w:t>技术要求</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“商务要求”</w:t>
      </w:r>
      <w:r>
        <w:rPr>
          <w:rFonts w:hint="eastAsia" w:ascii="宋体" w:hAnsi="宋体" w:eastAsia="宋体" w:cs="宋体"/>
          <w:color w:val="auto"/>
          <w:kern w:val="0"/>
          <w:sz w:val="28"/>
          <w:szCs w:val="28"/>
          <w:highlight w:val="none"/>
        </w:rPr>
        <w:t>要求提供证明材料，需按要求提供证明材料。</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供应商名称：XXXX（盖单位公章）</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pPr>
        <w:widowControl/>
        <w:shd w:val="clear" w:color="auto" w:fill="FFFFFF"/>
        <w:wordWrap w:val="0"/>
        <w:spacing w:line="360" w:lineRule="auto"/>
        <w:ind w:firstLine="3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pPr>
        <w:spacing w:line="360" w:lineRule="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br w:type="page"/>
      </w:r>
    </w:p>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rPr>
        <w:t>：</w:t>
      </w:r>
    </w:p>
    <w:p>
      <w:pPr>
        <w:widowControl/>
        <w:shd w:val="clear" w:color="auto" w:fill="FFFFFF"/>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用户情况表</w:t>
      </w:r>
    </w:p>
    <w:tbl>
      <w:tblPr>
        <w:tblStyle w:val="13"/>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tc>
      </w:tr>
    </w:tbl>
    <w:p>
      <w:pPr>
        <w:widowControl/>
        <w:shd w:val="clear" w:color="auto" w:fill="FFFFFF"/>
        <w:wordWrap w:val="0"/>
        <w:spacing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pPr>
        <w:widowControl/>
        <w:shd w:val="clear" w:color="auto" w:fill="FFFFFF"/>
        <w:wordWrap w:val="0"/>
        <w:spacing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pPr>
        <w:widowControl/>
        <w:shd w:val="clear" w:color="auto" w:fill="FFFFFF"/>
        <w:wordWrap w:val="0"/>
        <w:spacing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法定代表人或授权代表签字：</w:t>
      </w:r>
    </w:p>
    <w:p>
      <w:pPr>
        <w:widowControl/>
        <w:shd w:val="clear" w:color="auto" w:fill="FFFFFF"/>
        <w:wordWrap w:val="0"/>
        <w:spacing w:line="360" w:lineRule="auto"/>
        <w:ind w:firstLine="449"/>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eastAsia="宋体" w:cs="宋体"/>
          <w:b/>
          <w:bCs/>
          <w:color w:val="auto"/>
          <w:kern w:val="0"/>
          <w:sz w:val="28"/>
          <w:szCs w:val="28"/>
          <w:highlight w:val="none"/>
        </w:rPr>
        <w:t>:</w:t>
      </w:r>
    </w:p>
    <w:p>
      <w:pPr>
        <w:spacing w:line="360" w:lineRule="auto"/>
        <w:rPr>
          <w:rFonts w:hint="eastAsia" w:ascii="宋体" w:hAnsi="宋体" w:eastAsia="宋体" w:cs="宋体"/>
          <w:b/>
          <w:bCs/>
          <w:color w:val="auto"/>
          <w:kern w:val="0"/>
          <w:sz w:val="28"/>
          <w:szCs w:val="28"/>
          <w:highlight w:val="none"/>
          <w:shd w:val="clear" w:color="auto" w:fill="FFFFFF"/>
        </w:rPr>
      </w:pPr>
      <w:r>
        <w:rPr>
          <w:rFonts w:hint="eastAsia" w:ascii="宋体" w:hAnsi="宋体" w:eastAsia="宋体" w:cs="宋体"/>
          <w:b/>
          <w:bCs/>
          <w:color w:val="auto"/>
          <w:kern w:val="0"/>
          <w:sz w:val="28"/>
          <w:szCs w:val="28"/>
          <w:highlight w:val="none"/>
          <w:shd w:val="clear" w:color="auto" w:fill="FFFFFF"/>
        </w:rPr>
        <w:br w:type="page"/>
      </w:r>
    </w:p>
    <w:p>
      <w:pPr>
        <w:pStyle w:val="20"/>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w:t>
      </w:r>
      <w:r>
        <w:rPr>
          <w:rFonts w:hint="eastAsia"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p>
    <w:p>
      <w:pPr>
        <w:pStyle w:val="20"/>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授权委托书</w:t>
      </w:r>
    </w:p>
    <w:p>
      <w:pPr>
        <w:pStyle w:val="20"/>
        <w:pageBreakBefore w:val="0"/>
        <w:kinsoku/>
        <w:wordWrap/>
        <w:overflowPunct/>
        <w:topLinePunct w:val="0"/>
        <w:bidi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四川省妇幼保健院</w:t>
      </w:r>
      <w:r>
        <w:rPr>
          <w:rFonts w:hint="eastAsia" w:ascii="宋体" w:hAnsi="宋体" w:eastAsia="宋体" w:cs="宋体"/>
          <w:color w:val="auto"/>
          <w:sz w:val="28"/>
          <w:szCs w:val="28"/>
          <w:highlight w:val="none"/>
        </w:rPr>
        <w:t>：</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（姓名）系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（供应商名称）的法定代表人（单位负责人），现委托</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（姓名）为我方代理人。代理人在本次采购中所签署的一切文件和处理的一切有关事宜，我公司（单位）均予承认，所产生的法律后果均由我公司（单位）承担。</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委托期限：自本授权委托书签署之日起至响应文件有效期届满之日止。代理人无转委托权。</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供应商名称：XXXX（盖单位公章）</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法定代表人（单位负责人）（签字或加盖个人名章）：XXXX。</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授权代表（代理人）签字：XXXX。</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    期：XXXX。</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法定代表人（单位负责人）有效期内的居民身份证正反面</w:t>
      </w:r>
    </w:p>
    <w:tbl>
      <w:tblPr>
        <w:tblStyle w:val="13"/>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c>
          <w:tcPr>
            <w:tcW w:w="2875"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r>
    </w:tbl>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授权代表（代理人）</w:t>
      </w:r>
      <w:r>
        <w:rPr>
          <w:rFonts w:hint="eastAsia" w:ascii="宋体" w:hAnsi="宋体" w:eastAsia="宋体" w:cs="宋体"/>
          <w:color w:val="auto"/>
          <w:sz w:val="28"/>
          <w:szCs w:val="28"/>
          <w:highlight w:val="none"/>
          <w:lang w:val="en-US" w:eastAsia="zh-CN"/>
        </w:rPr>
        <w:t>有效期内的居民身份证正反面</w:t>
      </w:r>
    </w:p>
    <w:tbl>
      <w:tblPr>
        <w:tblStyle w:val="13"/>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c>
          <w:tcPr>
            <w:tcW w:w="2875"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r>
    </w:tbl>
    <w:p>
      <w:pPr>
        <w:spacing w:line="360" w:lineRule="auto"/>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注：</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提供有效期内的身份证明材料，例如居民身份证或户口本或军官证或护照等；</w:t>
      </w:r>
    </w:p>
    <w:p>
      <w:pPr>
        <w:spacing w:line="360" w:lineRule="auto"/>
        <w:ind w:firstLine="840" w:firstLineChars="3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若提供居民身份证，须为正、反面复印件。</w:t>
      </w:r>
    </w:p>
    <w:p>
      <w:pPr>
        <w:widowControl/>
        <w:shd w:val="clear" w:color="auto" w:fill="FFFFFF"/>
        <w:wordWrap w:val="0"/>
        <w:spacing w:line="360" w:lineRule="auto"/>
        <w:ind w:left="480" w:hanging="3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★说明：上述证明文件附有法定代表人、被授权代表身份证复印件（</w:t>
      </w:r>
      <w:r>
        <w:rPr>
          <w:rFonts w:hint="eastAsia" w:ascii="宋体" w:hAnsi="宋体" w:eastAsia="宋体" w:cs="宋体"/>
          <w:color w:val="auto"/>
          <w:kern w:val="0"/>
          <w:sz w:val="28"/>
          <w:szCs w:val="28"/>
          <w:highlight w:val="none"/>
          <w:lang w:val="en-US" w:eastAsia="zh-CN"/>
        </w:rPr>
        <w:t>双方签字并</w:t>
      </w:r>
      <w:r>
        <w:rPr>
          <w:rFonts w:hint="eastAsia" w:ascii="宋体" w:hAnsi="宋体" w:eastAsia="宋体" w:cs="宋体"/>
          <w:color w:val="auto"/>
          <w:kern w:val="0"/>
          <w:sz w:val="28"/>
          <w:szCs w:val="28"/>
          <w:highlight w:val="none"/>
        </w:rPr>
        <w:t>加盖公章）时才能生效。</w:t>
      </w:r>
    </w:p>
    <w:p>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kern w:val="0"/>
          <w:sz w:val="28"/>
          <w:szCs w:val="28"/>
          <w:highlight w:val="none"/>
        </w:rPr>
        <w:t>附件</w:t>
      </w:r>
      <w:r>
        <w:rPr>
          <w:rFonts w:hint="eastAsia"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rPr>
        <w:t>：</w:t>
      </w:r>
    </w:p>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2" w:firstLineChars="200"/>
        <w:jc w:val="center"/>
        <w:textAlignment w:val="auto"/>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法定代表人（单位负责人）身份证明</w:t>
      </w:r>
    </w:p>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四川省妇幼保健院</w:t>
      </w:r>
      <w:r>
        <w:rPr>
          <w:rFonts w:hint="eastAsia" w:ascii="宋体" w:hAnsi="宋体" w:eastAsia="宋体" w:cs="宋体"/>
          <w:color w:val="auto"/>
          <w:sz w:val="28"/>
          <w:szCs w:val="28"/>
          <w:highlight w:val="none"/>
        </w:rPr>
        <w:t>：</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（姓名）系</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（供应商名称）的法定代表人（单位负责人）（职务</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特此证明。</w:t>
      </w:r>
    </w:p>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宋体" w:hAnsi="宋体" w:eastAsia="宋体" w:cs="宋体"/>
          <w:color w:val="auto"/>
          <w:sz w:val="28"/>
          <w:szCs w:val="28"/>
          <w:highlight w:val="none"/>
          <w:lang w:val="en-US" w:eastAsia="zh-CN"/>
        </w:rPr>
      </w:pP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供应商名称：XXXX（盖单位公章）</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法定代表人（单位负责人）（签字或加盖个人名章）：XXXX。</w:t>
      </w: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    期：XXXX。</w:t>
      </w:r>
    </w:p>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left"/>
        <w:textAlignment w:val="auto"/>
        <w:outlineLvl w:val="9"/>
        <w:rPr>
          <w:rFonts w:hint="eastAsia" w:ascii="宋体" w:hAnsi="宋体" w:eastAsia="宋体" w:cs="宋体"/>
          <w:b w:val="0"/>
          <w:bCs w:val="0"/>
          <w:color w:val="auto"/>
          <w:sz w:val="28"/>
          <w:szCs w:val="28"/>
          <w:highlight w:val="none"/>
          <w:u w:val="none"/>
          <w:lang w:val="en-US" w:eastAsia="zh-CN"/>
        </w:rPr>
      </w:pPr>
    </w:p>
    <w:p>
      <w:pPr>
        <w:pStyle w:val="2"/>
        <w:keepNext w:val="0"/>
        <w:keepLines w:val="0"/>
        <w:pageBreakBefore w:val="0"/>
        <w:kinsoku/>
        <w:wordWrap/>
        <w:overflowPunct/>
        <w:topLinePunct w:val="0"/>
        <w:autoSpaceDE/>
        <w:autoSpaceDN/>
        <w:bidi w:val="0"/>
        <w:adjustRightInd/>
        <w:snapToGrid/>
        <w:spacing w:line="360" w:lineRule="auto"/>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法定代表人（单位负责人）有效期内的居民身份证正反面</w:t>
      </w:r>
    </w:p>
    <w:tbl>
      <w:tblPr>
        <w:tblStyle w:val="13"/>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c>
          <w:tcPr>
            <w:tcW w:w="3398" w:type="dxa"/>
            <w:noWrap w:val="0"/>
            <w:vAlign w:val="top"/>
          </w:tcPr>
          <w:p>
            <w:pPr>
              <w:tabs>
                <w:tab w:val="left" w:pos="5580"/>
              </w:tabs>
              <w:spacing w:line="360" w:lineRule="auto"/>
              <w:jc w:val="left"/>
              <w:rPr>
                <w:rFonts w:hint="eastAsia" w:ascii="宋体" w:hAnsi="宋体" w:eastAsia="宋体" w:cs="宋体"/>
                <w:color w:val="auto"/>
                <w:sz w:val="28"/>
                <w:szCs w:val="28"/>
                <w:highlight w:val="none"/>
              </w:rPr>
            </w:pPr>
          </w:p>
        </w:tc>
      </w:tr>
    </w:tbl>
    <w:p>
      <w:pPr>
        <w:pStyle w:val="11"/>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562" w:firstLineChars="200"/>
        <w:jc w:val="left"/>
        <w:textAlignment w:val="auto"/>
        <w:outlineLvl w:val="9"/>
        <w:rPr>
          <w:rFonts w:hint="eastAsia" w:ascii="宋体" w:hAnsi="宋体" w:eastAsia="宋体" w:cs="宋体"/>
          <w:b/>
          <w:bCs/>
          <w:i w:val="0"/>
          <w:iCs w:val="0"/>
          <w:color w:val="auto"/>
          <w:sz w:val="28"/>
          <w:szCs w:val="28"/>
          <w:highlight w:val="none"/>
          <w:u w:val="none"/>
          <w:lang w:val="en-US" w:eastAsia="zh-CN"/>
        </w:rPr>
      </w:pPr>
    </w:p>
    <w:p>
      <w:pPr>
        <w:spacing w:line="360" w:lineRule="auto"/>
        <w:rPr>
          <w:rFonts w:hint="eastAsia" w:ascii="宋体" w:hAnsi="宋体" w:eastAsia="宋体" w:cs="宋体"/>
          <w:b/>
          <w:bCs/>
          <w:color w:val="auto"/>
          <w:kern w:val="0"/>
          <w:sz w:val="28"/>
          <w:szCs w:val="28"/>
          <w:highlight w:val="none"/>
        </w:rPr>
      </w:pPr>
      <w:r>
        <w:rPr>
          <w:rFonts w:hint="eastAsia" w:ascii="宋体" w:hAnsi="宋体" w:eastAsia="宋体" w:cs="宋体"/>
          <w:color w:val="auto"/>
          <w:sz w:val="28"/>
          <w:szCs w:val="28"/>
          <w:highlight w:val="none"/>
          <w:lang w:eastAsia="zh-CN"/>
        </w:rPr>
        <w:t>注：</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提供有效期内的身份证明材料，例如居民身份证或户口本或军官证或护照等；</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若提供居民身份证，须为正、反面复印件。</w:t>
      </w:r>
    </w:p>
    <w:p>
      <w:pPr>
        <w:pStyle w:val="21"/>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7</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val="en-US" w:eastAsia="zh-CN"/>
        </w:rPr>
        <w:t>承诺函</w:t>
      </w:r>
    </w:p>
    <w:p>
      <w:pPr>
        <w:pStyle w:val="21"/>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四川省妇幼保健院：</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本供应商</w:t>
      </w:r>
      <w:r>
        <w:rPr>
          <w:rFonts w:hint="eastAsia" w:ascii="宋体" w:hAnsi="宋体" w:eastAsia="宋体" w:cs="宋体"/>
          <w:color w:val="auto"/>
          <w:sz w:val="28"/>
          <w:szCs w:val="28"/>
          <w:highlight w:val="none"/>
          <w:u w:val="single"/>
        </w:rPr>
        <w:t xml:space="preserve">      （供应商全称）        </w:t>
      </w:r>
      <w:r>
        <w:rPr>
          <w:rFonts w:hint="eastAsia" w:ascii="宋体" w:hAnsi="宋体" w:eastAsia="宋体" w:cs="宋体"/>
          <w:color w:val="auto"/>
          <w:sz w:val="28"/>
          <w:szCs w:val="28"/>
          <w:highlight w:val="none"/>
        </w:rPr>
        <w:t>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）的磋商活动，现郑重承诺：</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一、具备本项目规定的条件：</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（一）具有独立承担民事责任的能力； </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（二）具有良好的商业信誉和健全的财务会计制度； </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（三）具有履行合同所必需的设备和专业技术能力； </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（四）有依法缴纳税收和社会保障资金的良好记录； </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（五）参加采购活动前三年内，在经营活动中没有重大违法记录；</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（六）法律、行政法规规定的其他条件；</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本公司对上述承诺的内容事项真实性负责。如经查实上述承诺的内容事项存在虚假，本单位愿意接受以提供虚假材料谋取成交追究法律责任。</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8"/>
          <w:szCs w:val="28"/>
          <w:highlight w:val="none"/>
        </w:rPr>
      </w:pPr>
    </w:p>
    <w:p>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（盖章）</w:t>
      </w:r>
    </w:p>
    <w:p>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w:t>
      </w:r>
      <w:r>
        <w:rPr>
          <w:rFonts w:hint="eastAsia" w:ascii="宋体" w:hAnsi="宋体" w:eastAsia="宋体" w:cs="宋体"/>
          <w:color w:val="auto"/>
          <w:sz w:val="28"/>
          <w:szCs w:val="28"/>
          <w:highlight w:val="none"/>
          <w:u w:val="single"/>
        </w:rPr>
        <w:t>签字或盖章</w:t>
      </w:r>
      <w:r>
        <w:rPr>
          <w:rFonts w:hint="eastAsia" w:ascii="宋体" w:hAnsi="宋体" w:eastAsia="宋体" w:cs="宋体"/>
          <w:color w:val="auto"/>
          <w:sz w:val="28"/>
          <w:szCs w:val="28"/>
          <w:highlight w:val="none"/>
        </w:rPr>
        <w:t>）：</w:t>
      </w:r>
    </w:p>
    <w:p>
      <w:pPr>
        <w:pageBreakBefore w:val="0"/>
        <w:kinsoku/>
        <w:overflowPunct/>
        <w:topLinePunct w:val="0"/>
        <w:autoSpaceDE/>
        <w:autoSpaceDN/>
        <w:bidi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p>
    <w:p>
      <w:pPr>
        <w:pStyle w:val="8"/>
        <w:spacing w:line="360" w:lineRule="auto"/>
        <w:rPr>
          <w:rFonts w:hint="eastAsia"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w:t>
      </w:r>
    </w:p>
    <w:p>
      <w:pPr>
        <w:keepNext w:val="0"/>
        <w:keepLines w:val="0"/>
        <w:pageBreakBefore w:val="0"/>
        <w:widowControl/>
        <w:shd w:val="clear" w:color="auto" w:fill="FFFFFF"/>
        <w:kinsoku/>
        <w:wordWrap w:val="0"/>
        <w:overflowPunct/>
        <w:topLinePunct w:val="0"/>
        <w:autoSpaceDE/>
        <w:autoSpaceDN/>
        <w:bidi w:val="0"/>
        <w:spacing w:line="360" w:lineRule="auto"/>
        <w:jc w:val="center"/>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1、不与其他</w:t>
      </w: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60" w:lineRule="auto"/>
        <w:ind w:firstLine="420"/>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六、采购物资名称：</w:t>
      </w:r>
    </w:p>
    <w:p>
      <w:pPr>
        <w:keepNext w:val="0"/>
        <w:keepLines w:val="0"/>
        <w:pageBreakBefore w:val="0"/>
        <w:widowControl/>
        <w:shd w:val="clear" w:color="auto" w:fill="FFFFFF"/>
        <w:kinsoku/>
        <w:wordWrap w:val="0"/>
        <w:overflowPunct/>
        <w:topLinePunct w:val="0"/>
        <w:autoSpaceDE/>
        <w:autoSpaceDN/>
        <w:bidi w:val="0"/>
        <w:spacing w:line="360" w:lineRule="auto"/>
        <w:jc w:val="lef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60" w:lineRule="auto"/>
        <w:ind w:firstLine="280" w:firstLineChars="1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承诺企业名称（公章）</w:t>
      </w:r>
      <w:r>
        <w:rPr>
          <w:rFonts w:hint="eastAsia" w:ascii="宋体" w:hAnsi="宋体" w:eastAsia="宋体" w:cs="宋体"/>
          <w:color w:val="auto"/>
          <w:kern w:val="0"/>
          <w:sz w:val="28"/>
          <w:szCs w:val="28"/>
          <w:highlight w:val="none"/>
          <w:lang w:eastAsia="zh-CN"/>
        </w:rPr>
        <w:t>：</w:t>
      </w:r>
    </w:p>
    <w:p>
      <w:pPr>
        <w:keepNext w:val="0"/>
        <w:keepLines w:val="0"/>
        <w:pageBreakBefore w:val="0"/>
        <w:widowControl/>
        <w:shd w:val="clear" w:color="auto" w:fill="FFFFFF"/>
        <w:kinsoku/>
        <w:wordWrap w:val="0"/>
        <w:overflowPunct/>
        <w:topLinePunct w:val="0"/>
        <w:autoSpaceDE/>
        <w:autoSpaceDN/>
        <w:bidi w:val="0"/>
        <w:spacing w:line="360" w:lineRule="auto"/>
        <w:ind w:firstLine="280" w:firstLineChars="100"/>
        <w:jc w:val="lef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法人代表或委托代理人（承诺人）</w:t>
      </w:r>
      <w:r>
        <w:rPr>
          <w:rFonts w:hint="eastAsia" w:ascii="宋体" w:hAnsi="宋体" w:eastAsia="宋体" w:cs="宋体"/>
          <w:color w:val="auto"/>
          <w:kern w:val="0"/>
          <w:sz w:val="28"/>
          <w:szCs w:val="28"/>
          <w:highlight w:val="none"/>
          <w:lang w:eastAsia="zh-CN"/>
        </w:rPr>
        <w:t>：</w:t>
      </w:r>
    </w:p>
    <w:p>
      <w:pPr>
        <w:keepNext w:val="0"/>
        <w:keepLines w:val="0"/>
        <w:pageBreakBefore w:val="0"/>
        <w:widowControl/>
        <w:shd w:val="clear" w:color="auto" w:fill="FFFFFF"/>
        <w:kinsoku/>
        <w:wordWrap w:val="0"/>
        <w:overflowPunct/>
        <w:topLinePunct w:val="0"/>
        <w:autoSpaceDE/>
        <w:autoSpaceDN/>
        <w:bidi w:val="0"/>
        <w:spacing w:line="360" w:lineRule="auto"/>
        <w:ind w:firstLine="280" w:firstLineChars="100"/>
        <w:jc w:val="left"/>
        <w:textAlignment w:val="auto"/>
        <w:rPr>
          <w:rFonts w:hint="default" w:ascii="宋体" w:hAnsi="宋体" w:eastAsia="宋体" w:cs="宋体"/>
          <w:color w:val="auto"/>
          <w:kern w:val="0"/>
          <w:sz w:val="28"/>
          <w:szCs w:val="28"/>
          <w:highlight w:val="none"/>
          <w:lang w:val="en-US" w:eastAsia="zh-CN"/>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color w:val="auto"/>
          <w:kern w:val="0"/>
          <w:sz w:val="28"/>
          <w:szCs w:val="28"/>
          <w:highlight w:val="none"/>
          <w:lang w:val="en-US" w:eastAsia="zh-CN"/>
        </w:rPr>
        <w:t>日期:</w:t>
      </w: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rPr>
        <w:t>：</w:t>
      </w:r>
    </w:p>
    <w:p>
      <w:pPr>
        <w:pStyle w:val="2"/>
        <w:spacing w:line="360" w:lineRule="auto"/>
        <w:ind w:firstLine="2108" w:firstLineChars="75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 无围标、串标行为承诺书</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1.不同供应商的投标文件由同一单位或者个人编制；</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2.不同供应商委托同一单位或者个人办理投标事宜；</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3.不同供应商的投标文件载明的项目管理成员或者联系人员为同一人；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4.不同供应商的投标文件异常一致或者投标报价呈规律性差异；</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5.不同供应商的投标文件相互混装；</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6.不同供应商的投标保证金从同一单位或者个人的账户转出；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7.不同供应商的董事、监事、高管、单位负责人为同一人或者存在控股、管理关系的不同单位参加同一采购项目；</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8.供应商之间事先约定由某一特定供应商中标、成交；</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9.供应商之间商定部分供应商放弃参加采购活动或者放弃中标、成交；</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10.法律法规界定的其他围标串标行为。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法人代表或委托代理人（承诺人）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 xml:space="preserve">：（公章）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br w:type="page"/>
      </w:r>
    </w:p>
    <w:p>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w:t>
      </w:r>
    </w:p>
    <w:p>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供应商遵守招标采购纪律承诺书</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致四川省妇幼保健院：</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我单位作为本次采购项目的供应商，根据</w:t>
      </w:r>
      <w:r>
        <w:rPr>
          <w:rFonts w:hint="eastAsia" w:ascii="宋体" w:hAnsi="宋体" w:eastAsia="宋体" w:cs="宋体"/>
          <w:color w:val="auto"/>
          <w:kern w:val="0"/>
          <w:sz w:val="28"/>
          <w:szCs w:val="28"/>
          <w:highlight w:val="none"/>
          <w:lang w:val="en-US" w:eastAsia="zh-CN"/>
        </w:rPr>
        <w:t>采购</w:t>
      </w:r>
      <w:r>
        <w:rPr>
          <w:rFonts w:hint="eastAsia" w:ascii="宋体" w:hAnsi="宋体" w:eastAsia="宋体" w:cs="宋体"/>
          <w:color w:val="auto"/>
          <w:kern w:val="0"/>
          <w:sz w:val="28"/>
          <w:szCs w:val="28"/>
          <w:highlight w:val="none"/>
        </w:rPr>
        <w:t>文件要求，现郑重承诺如下：</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二、参加本次采购活动，不得直接或者间接从采购人或者采购代理机构处获得其他供应商的相关情况并修改其投标文件或者响应文件。</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三、参加本次采购活动，不得按照采购人的授意撤换、修改投标文件或者响应文件。</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四、参加本次采购活动，不得和本次采购供应商之间协商报价、技术方案等投标文件或者响应文件的实质性内容。</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五、本次采购活动中，不存在属于同一集团、协会、商会等组织成员的供应商按照该组织要求协同参加本次采购活动。</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六、参加本次采购活动，不存在与其他供应商之间事先约定由某一特定供应商中标、成交。</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七、参加本次采购活动，不存在与其他供应商商定部分供应商放弃参加采购活动或者放弃中标、成交。</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八、参加本次采购活动，不存在我单位的投标文件或者响应文件由其他参与本项目的单位或个人编制或委托办理投标事宜。</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九、参加本次采购活动，不存在我单位与采购人之间、供应商相互之间，为谋求特定供应商中标、成交或者排斥其他供应商的其他串通行为。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十、与我方存在直接控股关系的单位为：_______________；</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存在管理关系单位为：____________________________。</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供应商名称（单位公章）：                 年    月   日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法定代表人/单位负责人或授权代表</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（签字或加盖个人名章）：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注：</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1.“负责人”是指单位法定代表人或者法律、行政法规规定代表单位行使职权的主要负责人。</w:t>
      </w:r>
    </w:p>
    <w:p>
      <w:pPr>
        <w:widowControl/>
        <w:shd w:val="clear" w:color="auto" w:fill="FFFFFF"/>
        <w:wordWrap w:val="0"/>
        <w:spacing w:line="360" w:lineRule="auto"/>
        <w:ind w:firstLine="4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360" w:lineRule="auto"/>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3.“管理关系”是指与不具有出资持股关系的单位之间存在的其他管理与被管理关系。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8E2691C-1888-431C-83AC-B4B061CC4221}"/>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2" w:fontKey="{85194C68-17EA-478C-9185-F5F73F76059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1DE8F"/>
    <w:multiLevelType w:val="singleLevel"/>
    <w:tmpl w:val="3091DE8F"/>
    <w:lvl w:ilvl="0" w:tentative="0">
      <w:start w:val="1"/>
      <w:numFmt w:val="upperLetter"/>
      <w:suff w:val="nothing"/>
      <w:lvlText w:val="%1、"/>
      <w:lvlJc w:val="left"/>
    </w:lvl>
  </w:abstractNum>
  <w:abstractNum w:abstractNumId="1">
    <w:nsid w:val="346C5CA9"/>
    <w:multiLevelType w:val="multilevel"/>
    <w:tmpl w:val="346C5CA9"/>
    <w:lvl w:ilvl="0" w:tentative="0">
      <w:start w:val="1"/>
      <w:numFmt w:val="bullet"/>
      <w:pStyle w:val="19"/>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2">
    <w:nsid w:val="6C7C5C86"/>
    <w:multiLevelType w:val="multilevel"/>
    <w:tmpl w:val="6C7C5C86"/>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68D1332"/>
    <w:rsid w:val="0F8825C6"/>
    <w:rsid w:val="13713561"/>
    <w:rsid w:val="138A4785"/>
    <w:rsid w:val="14AF0461"/>
    <w:rsid w:val="14FC0436"/>
    <w:rsid w:val="1F3031B6"/>
    <w:rsid w:val="25453D0B"/>
    <w:rsid w:val="27941805"/>
    <w:rsid w:val="295B1778"/>
    <w:rsid w:val="2AFF68BE"/>
    <w:rsid w:val="2D9368A0"/>
    <w:rsid w:val="2EC10961"/>
    <w:rsid w:val="31257CEB"/>
    <w:rsid w:val="35A76427"/>
    <w:rsid w:val="408F5EAA"/>
    <w:rsid w:val="42133C4B"/>
    <w:rsid w:val="43B277AD"/>
    <w:rsid w:val="43D67F5B"/>
    <w:rsid w:val="47E145F7"/>
    <w:rsid w:val="48C24FF6"/>
    <w:rsid w:val="4AE20F59"/>
    <w:rsid w:val="4B760B3E"/>
    <w:rsid w:val="4DB6131A"/>
    <w:rsid w:val="51220BF0"/>
    <w:rsid w:val="54B030AA"/>
    <w:rsid w:val="56271F26"/>
    <w:rsid w:val="56867584"/>
    <w:rsid w:val="597D4C6F"/>
    <w:rsid w:val="5A8D05CF"/>
    <w:rsid w:val="5DB92B5B"/>
    <w:rsid w:val="5F4A19DE"/>
    <w:rsid w:val="5FED4DAE"/>
    <w:rsid w:val="62060167"/>
    <w:rsid w:val="63B72450"/>
    <w:rsid w:val="690C3919"/>
    <w:rsid w:val="6D6B47C4"/>
    <w:rsid w:val="73345415"/>
    <w:rsid w:val="734D097C"/>
    <w:rsid w:val="76177A39"/>
    <w:rsid w:val="770402C6"/>
    <w:rsid w:val="7DA71A0B"/>
    <w:rsid w:val="7F200BF1"/>
    <w:rsid w:val="7F296FC8"/>
    <w:rsid w:val="7FE75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4">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toc 7"/>
    <w:basedOn w:val="1"/>
    <w:next w:val="1"/>
    <w:qFormat/>
    <w:uiPriority w:val="0"/>
    <w:pPr>
      <w:ind w:left="1200"/>
    </w:pPr>
    <w:rPr>
      <w:rFonts w:ascii="Calibri"/>
    </w:rPr>
  </w:style>
  <w:style w:type="paragraph" w:styleId="6">
    <w:name w:val="Normal Indent"/>
    <w:basedOn w:val="1"/>
    <w:qFormat/>
    <w:uiPriority w:val="0"/>
    <w:pPr>
      <w:ind w:firstLine="420" w:firstLineChars="200"/>
    </w:pPr>
    <w:rPr>
      <w:rFonts w:ascii="Times New Roman"/>
    </w:rPr>
  </w:style>
  <w:style w:type="paragraph" w:styleId="7">
    <w:name w:val="annotation text"/>
    <w:basedOn w:val="1"/>
    <w:semiHidden/>
    <w:unhideWhenUsed/>
    <w:qFormat/>
    <w:uiPriority w:val="0"/>
    <w:pPr>
      <w:jc w:val="left"/>
    </w:pPr>
  </w:style>
  <w:style w:type="paragraph" w:styleId="8">
    <w:name w:val="Body Text Indent 2"/>
    <w:basedOn w:val="1"/>
    <w:qFormat/>
    <w:uiPriority w:val="0"/>
    <w:pPr>
      <w:spacing w:after="120" w:afterLines="0"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2"/>
    <w:semiHidden/>
    <w:unhideWhenUsed/>
    <w:qFormat/>
    <w:uiPriority w:val="99"/>
    <w:pPr>
      <w:ind w:firstLine="420" w:firstLineChars="1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paragraph" w:styleId="17">
    <w:name w:val="List Paragraph"/>
    <w:basedOn w:val="1"/>
    <w:qFormat/>
    <w:uiPriority w:val="99"/>
    <w:pPr>
      <w:ind w:firstLine="420" w:firstLineChars="200"/>
    </w:pPr>
  </w:style>
  <w:style w:type="paragraph" w:customStyle="1" w:styleId="18">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19">
    <w:name w:val="U_编号2"/>
    <w:basedOn w:val="1"/>
    <w:qFormat/>
    <w:uiPriority w:val="0"/>
    <w:pPr>
      <w:numPr>
        <w:ilvl w:val="0"/>
        <w:numId w:val="1"/>
      </w:numPr>
      <w:spacing w:beforeLines="10" w:line="300" w:lineRule="auto"/>
      <w:ind w:left="1124"/>
    </w:pPr>
    <w:rPr>
      <w:sz w:val="24"/>
      <w:szCs w:val="20"/>
    </w:rPr>
  </w:style>
  <w:style w:type="paragraph" w:customStyle="1" w:styleId="20">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1">
    <w:name w:val="GW-正文"/>
    <w:basedOn w:val="1"/>
    <w:qFormat/>
    <w:uiPriority w:val="0"/>
    <w:pPr>
      <w:spacing w:line="360" w:lineRule="auto"/>
      <w:ind w:firstLine="200" w:firstLineChars="200"/>
    </w:pPr>
    <w:rPr>
      <w:rFonts w:eastAsia="仿宋_GB2312"/>
      <w:sz w:val="24"/>
      <w:szCs w:val="24"/>
    </w:rPr>
  </w:style>
  <w:style w:type="paragraph" w:customStyle="1" w:styleId="22">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3">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4">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5">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2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6017</Words>
  <Characters>6226</Characters>
  <Lines>0</Lines>
  <Paragraphs>0</Paragraphs>
  <TotalTime>1</TotalTime>
  <ScaleCrop>false</ScaleCrop>
  <LinksUpToDate>false</LinksUpToDate>
  <CharactersWithSpaces>6456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赵悦竹</cp:lastModifiedBy>
  <cp:lastPrinted>2026-01-15T06:55:00Z</cp:lastPrinted>
  <dcterms:modified xsi:type="dcterms:W3CDTF">2026-04-01T08:09:19Z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eyJoZGlkIjoiNTNlYzU2NDZlZWRhZGY1YzdjNGExMDUwNGJjODllMjkiLCJ1c2VySWQiOiI0NTkxNjIxODIifQ==</vt:lpwstr>
  </property>
  <property fmtid="{D5CDD505-2E9C-101B-9397-08002B2CF9AE}" pid="4" name="ICV">
    <vt:lpwstr>0F689460FE524FD0A6244E5983913148_13</vt:lpwstr>
  </property>
</Properties>
</file>