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8AB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附件1：采购需求及评审方法</w:t>
      </w:r>
    </w:p>
    <w:p w14:paraId="5E0DA7E4">
      <w:pPr>
        <w:keepNext w:val="0"/>
        <w:keepLines w:val="0"/>
        <w:pageBreakBefore w:val="0"/>
        <w:bidi w:val="0"/>
        <w:spacing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45FDBFE2">
      <w:pPr>
        <w:keepNext w:val="0"/>
        <w:keepLines w:val="0"/>
        <w:pageBreakBefore w:val="0"/>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1.项目名称：2026年安防系统及设备维保</w:t>
      </w:r>
    </w:p>
    <w:p w14:paraId="4B9021AA">
      <w:pPr>
        <w:keepNext w:val="0"/>
        <w:keepLines w:val="0"/>
        <w:pageBreakBefore w:val="0"/>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2.项目地址：</w:t>
      </w:r>
      <w:r>
        <w:rPr>
          <w:rFonts w:hint="eastAsia" w:ascii="宋体" w:hAnsi="宋体" w:eastAsia="宋体" w:cs="宋体"/>
          <w:b w:val="0"/>
          <w:bCs w:val="0"/>
          <w:sz w:val="24"/>
          <w:szCs w:val="24"/>
          <w:lang w:val="en-US" w:eastAsia="zh-CN"/>
        </w:rPr>
        <w:t>采购人指定地点</w:t>
      </w:r>
    </w:p>
    <w:p w14:paraId="0F5CCF8F">
      <w:pPr>
        <w:keepNext w:val="0"/>
        <w:keepLines w:val="0"/>
        <w:pageBreakBefore w:val="0"/>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3.项目</w:t>
      </w:r>
      <w:r>
        <w:rPr>
          <w:rFonts w:hint="eastAsia" w:ascii="宋体" w:hAnsi="宋体" w:eastAsia="宋体" w:cs="宋体"/>
          <w:b w:val="0"/>
          <w:bCs w:val="0"/>
          <w:sz w:val="24"/>
          <w:szCs w:val="24"/>
          <w:lang w:val="en-US" w:eastAsia="zh-CN"/>
        </w:rPr>
        <w:t>预算</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lang w:val="en-US" w:eastAsia="zh-CN"/>
        </w:rPr>
        <w:t>万元</w:t>
      </w:r>
      <w:r>
        <w:rPr>
          <w:rFonts w:hint="eastAsia" w:ascii="宋体" w:hAnsi="宋体" w:eastAsia="宋体" w:cs="宋体"/>
          <w:b w:val="0"/>
          <w:bCs w:val="0"/>
          <w:sz w:val="24"/>
          <w:szCs w:val="24"/>
          <w:lang w:val="en-US" w:eastAsia="zh-CN"/>
        </w:rPr>
        <w:t>/年，最高限价7</w:t>
      </w:r>
      <w:r>
        <w:rPr>
          <w:rFonts w:hint="eastAsia" w:ascii="宋体" w:hAnsi="宋体" w:eastAsia="宋体" w:cs="宋体"/>
          <w:b w:val="0"/>
          <w:bCs w:val="0"/>
          <w:sz w:val="24"/>
          <w:szCs w:val="24"/>
          <w:lang w:val="en-US" w:eastAsia="zh-CN"/>
        </w:rPr>
        <w:t>万元</w:t>
      </w:r>
      <w:r>
        <w:rPr>
          <w:rFonts w:hint="eastAsia" w:ascii="宋体" w:hAnsi="宋体" w:eastAsia="宋体" w:cs="宋体"/>
          <w:b w:val="0"/>
          <w:bCs w:val="0"/>
          <w:sz w:val="24"/>
          <w:szCs w:val="24"/>
          <w:lang w:val="en-US" w:eastAsia="zh-CN"/>
        </w:rPr>
        <w:t>/年。</w:t>
      </w:r>
    </w:p>
    <w:p w14:paraId="1DA61149">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★二、技术要求：</w:t>
      </w:r>
    </w:p>
    <w:p w14:paraId="23F15D0C">
      <w:pPr>
        <w:keepNext w:val="0"/>
        <w:keepLines w:val="0"/>
        <w:pageBreakBefore w:val="0"/>
        <w:widowControl/>
        <w:kinsoku/>
        <w:wordWrap/>
        <w:overflowPunct/>
        <w:topLinePunct w:val="0"/>
        <w:autoSpaceDE/>
        <w:autoSpaceDN/>
        <w:bidi w:val="0"/>
        <w:snapToGrid/>
        <w:spacing w:beforeAutospacing="0" w:afterAutospacing="0"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本次维保服务覆盖医院安防系统所有子系统及设备，服务商需严格按照国家现行《安全防范工程技术标准》、《视频安防监控系统工程设计规范》等相关标准执行，具体技术要求如下：</w:t>
      </w:r>
    </w:p>
    <w:p w14:paraId="7E036B10">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（一）基本要求</w:t>
      </w:r>
    </w:p>
    <w:p w14:paraId="51CCE11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1.供应商为采购人提供系统和技术服务。</w:t>
      </w:r>
    </w:p>
    <w:p w14:paraId="676DF4F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2.供应商为采购人提供安防设备、设施操作类培训</w:t>
      </w:r>
    </w:p>
    <w:p w14:paraId="2C72889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3.供应商为采购人提供施工改造项目咨询及安防类验收技术支持。</w:t>
      </w:r>
    </w:p>
    <w:p w14:paraId="26EFB398">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4.提供预防性维护维保，使采购人的运行费用得以控制。</w:t>
      </w:r>
    </w:p>
    <w:p w14:paraId="209519E2">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5.供应商对设备故障技术排除，确保系统的正常运行。</w:t>
      </w:r>
    </w:p>
    <w:p w14:paraId="1FB5EB2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6.根据三院区安防系统及设备运行实际情况，按照当月维保实际情况次月出具一份《安防系统维护保养记录表》、《安防检查记录表》，需双方签字盖章，交采购人存档。</w:t>
      </w:r>
    </w:p>
    <w:p w14:paraId="7F56DBA8">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（二）安防维保要求：</w:t>
      </w:r>
    </w:p>
    <w:p w14:paraId="35DF2187">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1.视频监控系统</w:t>
      </w:r>
    </w:p>
    <w:p w14:paraId="7A9743F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每月对全院所有摄像机（枪机、球机、半球等）开展全面巡检，检查图像清晰度、镜头清洁度、红外功能、云台转动、录像存储等运行状态，确保摄像机无黑屏、花屏、偏色问题，录像保存时间不低于90天（毒麻危化品保存时间不低于180天），符合医院安防规范要求。</w:t>
      </w:r>
    </w:p>
    <w:p w14:paraId="352DDA5E">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1.2每季度对 NVR、硬盘、交换机、显示器等存储及传输设备进行专业检测，排查硬盘坏道、设备死机、网络卡顿等故障，及时更换故障硬盘。</w:t>
      </w:r>
    </w:p>
    <w:p w14:paraId="735F44D8">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1.3保障监控系统可正常实现画面实时预览、历史回放、远程调阅、画面拼接等核心功能，监控视频与北京时间误差时间≤5秒。</w:t>
      </w:r>
    </w:p>
    <w:p w14:paraId="331AC74E">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2.入侵报警系统</w:t>
      </w:r>
    </w:p>
    <w:p w14:paraId="7A93EACC">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每月对院区围墙红外对射、周界报警器、室内紧急报警按钮、报警主机等设备进行巡检测试，验证报警触发、信号传输、声光提示功能有效性，确保报警系统无漏报、误报情况，报警信息可实时、准确上传至医院安防监控中心。</w:t>
      </w:r>
    </w:p>
    <w:p w14:paraId="75E50C3C">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2.2.每半年对报警系统线路进行全面排查，修复老化、破损、接触不良的线路，确保线路连接牢固、信号传输稳定。</w:t>
      </w:r>
    </w:p>
    <w:p w14:paraId="02E86122">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3.门禁控制系统</w:t>
      </w:r>
    </w:p>
    <w:p w14:paraId="031F4FBB">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每月对门诊楼、住院楼、药房、财务室、手术室等关键区域的门禁设备进行巡检，测试刷卡、密码、人脸识别等各类开门方式的有效性，检查门禁锁、读卡器、控制器的运行状态，确保门禁开关灵敏，人员权限管理准确无误。</w:t>
      </w:r>
    </w:p>
    <w:p w14:paraId="5716E7BE">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3.2.可根据医院实际管理需求，及时调整门禁权限（该服务为免费），协助医院完成门禁人员信息的录入、删除、修改等操作，相关操作响应时间≤4 小时。</w:t>
      </w:r>
    </w:p>
    <w:p w14:paraId="2EACC622">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3.3每半年对安检机、安检门、道闸、升降式防撞柱进行维护保养。</w:t>
      </w:r>
    </w:p>
    <w:p w14:paraId="5A5FB872">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4.对讲系统</w:t>
      </w:r>
    </w:p>
    <w:p w14:paraId="102F5848">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4.1每月对病房对讲、电梯对讲、监控中心对讲设备进行通话测试，确保语音传输清晰、无杂音、无断联，呼叫响应及时，快速修复故障对讲终端，保障对讲系统全区域通畅。</w:t>
      </w:r>
    </w:p>
    <w:p w14:paraId="497B23EC">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5.系统整体维护要求</w:t>
      </w:r>
    </w:p>
    <w:p w14:paraId="27114D15">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5.1每季度对安防系统整体网络架构、供电线路进行全面排查与优化，梳理网络拓扑，检查配电箱、电源适配器、线路接口等的运行状态，及时消除电气安全、网络故障等潜在隐患。</w:t>
      </w:r>
    </w:p>
    <w:p w14:paraId="3572470C">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5.2建立并动态更新安防设备台账，详细记录设备型号、安装位置、出厂信息、维保时间、故障处理情况、配件更换记录等内容，每季度向医院提交正式的设备维保报告，报告需数据准确、内容完整。</w:t>
      </w:r>
    </w:p>
    <w:p w14:paraId="7EA9C0D5">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5.3为医院安防管理人员提供免费的专业技术培训，每年至少开展 2 次，培训内容包括系统日常操作技巧、常见简单故障排查方法、设备基础维护常识等，确保医院相关人员能熟练操作安防系统并处理基础问题。</w:t>
      </w:r>
    </w:p>
    <w:p w14:paraId="0AE058F8">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6.供应商须严格按照以下国标标准开展维护保养工作，确保所有维保行为符合规范要求，不得擅自降低标准：</w:t>
      </w:r>
    </w:p>
    <w:p w14:paraId="46E79C72">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6.1.《安全防范工程通用规范》；</w:t>
      </w:r>
    </w:p>
    <w:p w14:paraId="2389A1D0">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6.2.《安全防范系统维护保养规范》；</w:t>
      </w:r>
    </w:p>
    <w:p w14:paraId="5EE2F6B5">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6.3.《医院安全技术防范系统要求》</w:t>
      </w:r>
    </w:p>
    <w:p w14:paraId="37782F96">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（三）维保范围及设备清单：</w:t>
      </w:r>
    </w:p>
    <w:p w14:paraId="7369766E">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1.供应商须对以下所有系统及设备开展全面维保，包括但不限于：</w:t>
      </w:r>
    </w:p>
    <w:p w14:paraId="0CF2BDFD">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1.1安防平台；</w:t>
      </w:r>
    </w:p>
    <w:p w14:paraId="23AEF62E">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1.2视频监控系统（摄像机、镜头、防护罩、硬盘录像机、解码器、视频综合管理平台、控制电脑、监视器/电视墙等）；</w:t>
      </w:r>
    </w:p>
    <w:p w14:paraId="61DA37D2">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1.3门禁及出入口控制系统（门禁控制器、读卡器、电磁锁、出门开关、紧急按钮、门禁一体机等、安检机、安检门、升降式防撞柱、道闸）；</w:t>
      </w:r>
    </w:p>
    <w:p w14:paraId="49E28E4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1.4安防入侵及报警系统（一键报警按钮、报警主机、红外探测器、声光警号、紧急报警装置等）；</w:t>
      </w:r>
    </w:p>
    <w:p w14:paraId="7A208095">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1.5.安防传输线路与网络系统（光纤收发器、光端机、网线/光缆、交换机、路由器等）；</w:t>
      </w:r>
    </w:p>
    <w:p w14:paraId="0DD01616">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1.6配套保障设施（UPS不间断电源、防雷系统、服务器、机房通风散热设施等）；</w:t>
      </w:r>
    </w:p>
    <w:p w14:paraId="7AEB5027">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2.各院区主要设备数量如下（供参考，供应商应自行现场勘查）：</w:t>
      </w:r>
    </w:p>
    <w:p w14:paraId="3E883DBC">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2.1.晋阳院区：视频监控共820台，门禁系统含20台人脸识别设备，1台安检机，2扇安检门，2套升降防撞柱，190台指纹刷卡设备;院内无线一键报警主机1台，无线一键报警点230个，车辆道闸4套;配备1套UPS主机及电池。</w:t>
      </w:r>
    </w:p>
    <w:p w14:paraId="23C382AC">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天府院区：视频监控共3000多台，门禁系统含7台人脸识别设备，1台安检机，2扇安检门，2套升降防撞柱，500台指纹刷卡设备;院内有线一键报警主机2台，有线一键报警点300个，车辆道闸5套;配备2套UPS主机及电池。</w:t>
      </w:r>
    </w:p>
    <w:p w14:paraId="5001FBED">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2.3抚琴院区：视频监控共104台， 门禁系统含2台人脸识别设备,院内无线一键报警主机1台，无线一键报警点7个。</w:t>
      </w:r>
    </w:p>
    <w:p w14:paraId="70AFB5C1">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bookmarkStart w:id="0" w:name="_Toc456038984"/>
      <w:bookmarkStart w:id="1" w:name="_Toc462684621"/>
      <w:r>
        <w:rPr>
          <w:rFonts w:hint="eastAsia" w:ascii="宋体" w:hAnsi="宋体" w:eastAsia="宋体" w:cs="宋体"/>
          <w:b w:val="0"/>
          <w:bCs w:val="0"/>
          <w:sz w:val="24"/>
          <w:szCs w:val="24"/>
          <w:lang w:val="en-US" w:eastAsia="zh-CN"/>
        </w:rPr>
        <w:t>（四）故障响应机制需求</w:t>
      </w:r>
    </w:p>
    <w:p w14:paraId="3468DD40">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1.供应商应保证7*24小时受理采购人的故障维修，后端平台故障保证在1小时内作出响应，前端点位故障保证在2个小时作出响应，24小时内修复。</w:t>
      </w:r>
    </w:p>
    <w:p w14:paraId="0D426464">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2.紧急情况下，维保公司保证在1个小时内作出响应，2个小时内到达现场维修;若发生安全隐患保证在0.5小时内排除。如果在24小时内确实无法排除故障的，供应商需提供备机。</w:t>
      </w:r>
    </w:p>
    <w:p w14:paraId="478CC959">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3.维修备品备件：监控摄像头、监控电源、网线、水晶头等以及相关的工具零配件提供备品备件，提高维保保障服务效率和质量。备品配件及其安装维保费用由供应商承担。</w:t>
      </w:r>
    </w:p>
    <w:bookmarkEnd w:id="0"/>
    <w:bookmarkEnd w:id="1"/>
    <w:p w14:paraId="330B012E">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（五）维保服务团队</w:t>
      </w:r>
    </w:p>
    <w:p w14:paraId="5D2E734C">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1.为保证运维服务的效率和质量，供应商应为本采购项目配备专业的运维服务团队。</w:t>
      </w:r>
    </w:p>
    <w:p w14:paraId="7FC14241">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p>
    <w:p w14:paraId="059D8400">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注：本项目所有文件要求提供复印件的，均须加盖供应商单位公章（鲜章）。采购人有权在必要时要求供应商提供相应文件的原件进行核查</w:t>
      </w:r>
    </w:p>
    <w:p w14:paraId="7BE3F32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★三、商务要求：</w:t>
      </w:r>
    </w:p>
    <w:p w14:paraId="278ED707">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（一）项目地点：</w:t>
      </w:r>
    </w:p>
    <w:p w14:paraId="21B852D8">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1.天府院区-成都市双流区岐黄二路1515号</w:t>
      </w:r>
    </w:p>
    <w:p w14:paraId="7A509677">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2.晋阳院区-武侯区沙堰西二街290号</w:t>
      </w:r>
    </w:p>
    <w:p w14:paraId="47B34CE5">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3.抚琴院区-金牛区抚琴西路338号。</w:t>
      </w:r>
    </w:p>
    <w:p w14:paraId="1CB533F3">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（二）项目概况：</w:t>
      </w:r>
    </w:p>
    <w:p w14:paraId="077517CE">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本项目是潜在供应商按照采购人的“技术要求”对三院区安防设施设备进行维护保养，每月向采购人出具正式安防维护保养报告等。</w:t>
      </w:r>
    </w:p>
    <w:p w14:paraId="3EC75ECB">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（三）服务期限及合同续签</w:t>
      </w:r>
    </w:p>
    <w:p w14:paraId="29A6D2B4">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1.本项目“一采三年”，合同一年一签，服务期限自合同签订之日起计算。</w:t>
      </w:r>
    </w:p>
    <w:p w14:paraId="11418707">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2.每个服务期满前，采购人将对供应商履约情况进行综合评估。评估合格且项目预算获得批准的前提下，采购人与原供应商按不超过原合同条件续签下一年度合同，累计续签不超过两次。</w:t>
      </w:r>
    </w:p>
    <w:p w14:paraId="7DE1C79C">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（四）支付方式</w:t>
      </w:r>
    </w:p>
    <w:p w14:paraId="11E1D83C">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分期付款，按每季度考核结束后的第一个月支付该季度服务费，由供应商提出请款申请，采购人按考核标准供应商的考核得分，考核实际得分≥95分支付供应商服务费用；考核实际得分低于95分时，每低1分扣减当季度服务费150元，累计扣款不超过当季度服务费的20%。本项目按季度结算维保服务费。履约考核实行扣分扣款机制，考核每扣 1 分从当期应付季度维保费用中扣除 150 元；当期最终应付款按考核结果据实结算。</w:t>
      </w:r>
    </w:p>
    <w:p w14:paraId="1D142B3B">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每次考核结束后的第一个月，采购人接到供应商提供的增值税普通发票及请款申请，并经采购人资料审核通过后在60个工作日内支付考核季度的服务费用，以转账方式支付至供应商指定账号，账号以合同载明的为准。 </w:t>
      </w:r>
    </w:p>
    <w:p w14:paraId="79A669DE">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（五）供应商义务：</w:t>
      </w:r>
    </w:p>
    <w:p w14:paraId="20F2B81A">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1.供应商负责本合同范围内安防设施及系统维护保养工作，以确保整个系统处于正常运行状态，如因供应商未按照本合同约定履行维保工作导致任何不良后果的，由供应商承担全部责任。</w:t>
      </w:r>
    </w:p>
    <w:p w14:paraId="55B63EA1">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2.供应商应根据维护细则定期进行半月、月检、季检、年检工作，同时对安防维护工程范围内的设备进行维护保养及时维修，每次工作完成后填写相关的维护记录表，经双方负责人签字后交采购人存档。</w:t>
      </w:r>
    </w:p>
    <w:p w14:paraId="3F9F8778">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供应商在每月的维保工作完成后，应整理汇总做出维保报告书，经由采购人现场负责人签字后存档。当安防系统出现故障时采购人通知供应商到现场，供应商两次未按时到达现场处理故障的，视为违约，由此造成一切后果由供应商负责，造成的经济损失由供应商赔偿。 </w:t>
      </w:r>
    </w:p>
    <w:p w14:paraId="6455FFFD">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4.供应商应按人员配置内人员安排对采购人的维保服务，若因特殊原因人员有变动，如人员离职等，供应商应于7个工作日前向采购人书面报告，采购人同意后方可变更维修服务人员。</w:t>
      </w:r>
    </w:p>
    <w:p w14:paraId="48726A5A">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供应商负责对其所属员工开展包括但不限于思想政治理论、意识形态的教育和培训，与采购人共同维护四川省妇幼保健院的安全稳定。若因供应商员工不当言论、行为引起的关于采购人的舆情和意识形态领域不良事件，采购人有权对供应商追责。如果发生的是警示舆情或意识形态领域严重不良事件，供应商应承担相应责任，采购人有权解除本合同。</w:t>
      </w:r>
    </w:p>
    <w:p w14:paraId="747001B2">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采购人应为供应商工作人员进入现场提供必要的安全告知。供应商应为其工作人员提供符合国家安全标准的工作条件和劳动保护，并独立承担其工作人员的工伤及相关保险责任。因供应商人员在履行合同过程中的过错造成采购人或第三方损害的，由供应商承担全部赔偿责任。</w:t>
      </w:r>
    </w:p>
    <w:p w14:paraId="7786751A">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7.供应商应保障系统所有存储及传输数据安全，严禁泄露、复制、外传任何数据及监控资料，如发生资料泄露，供应商承担全部由此造成的全部损失。</w:t>
      </w:r>
    </w:p>
    <w:p w14:paraId="76A011C5">
      <w:pPr>
        <w:keepNext w:val="0"/>
        <w:keepLines w:val="0"/>
        <w:pageBreakBefore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8.采购人在合同签订中明确投标人失信违约金条款，明确违约情况和违约金比例，投标人失信违约金数额原则上不低于合同总金额的10%。</w:t>
      </w:r>
    </w:p>
    <w:p w14:paraId="54964D8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四、其他要求：</w:t>
      </w:r>
    </w:p>
    <w:p w14:paraId="497F6AAC">
      <w:pPr>
        <w:pStyle w:val="6"/>
        <w:keepNext w:val="0"/>
        <w:keepLines w:val="0"/>
        <w:pageBreakBefore w:val="0"/>
        <w:widowControl w:val="0"/>
        <w:numPr>
          <w:ilvl w:val="0"/>
          <w:numId w:val="0"/>
        </w:numPr>
        <w:bidi w:val="0"/>
        <w:spacing w:line="360" w:lineRule="auto"/>
        <w:jc w:val="both"/>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1.考核标准：</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1"/>
        <w:gridCol w:w="1261"/>
        <w:gridCol w:w="1622"/>
        <w:gridCol w:w="4060"/>
        <w:gridCol w:w="566"/>
        <w:gridCol w:w="616"/>
      </w:tblGrid>
      <w:tr w14:paraId="6367E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391" w:type="dxa"/>
            <w:noWrap w:val="0"/>
            <w:vAlign w:val="center"/>
          </w:tcPr>
          <w:p w14:paraId="7E54ED35">
            <w:pPr>
              <w:keepNext w:val="0"/>
              <w:keepLines w:val="0"/>
              <w:pageBreakBefore w:val="0"/>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61" w:type="dxa"/>
            <w:noWrap w:val="0"/>
            <w:vAlign w:val="center"/>
          </w:tcPr>
          <w:p w14:paraId="05C2FB40">
            <w:pPr>
              <w:keepNext w:val="0"/>
              <w:keepLines w:val="0"/>
              <w:pageBreakBefore w:val="0"/>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类别</w:t>
            </w:r>
          </w:p>
        </w:tc>
        <w:tc>
          <w:tcPr>
            <w:tcW w:w="1622" w:type="dxa"/>
            <w:noWrap w:val="0"/>
            <w:vAlign w:val="center"/>
          </w:tcPr>
          <w:p w14:paraId="1C354153">
            <w:pPr>
              <w:keepNext w:val="0"/>
              <w:keepLines w:val="0"/>
              <w:pageBreakBefore w:val="0"/>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考核项目</w:t>
            </w:r>
          </w:p>
        </w:tc>
        <w:tc>
          <w:tcPr>
            <w:tcW w:w="4060" w:type="dxa"/>
            <w:noWrap w:val="0"/>
            <w:vAlign w:val="center"/>
          </w:tcPr>
          <w:p w14:paraId="59E3DF53">
            <w:pPr>
              <w:keepNext w:val="0"/>
              <w:keepLines w:val="0"/>
              <w:pageBreakBefore w:val="0"/>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考核标准</w:t>
            </w:r>
          </w:p>
        </w:tc>
        <w:tc>
          <w:tcPr>
            <w:tcW w:w="566" w:type="dxa"/>
            <w:noWrap w:val="0"/>
            <w:vAlign w:val="center"/>
          </w:tcPr>
          <w:p w14:paraId="4C70B514">
            <w:pPr>
              <w:keepNext w:val="0"/>
              <w:keepLines w:val="0"/>
              <w:pageBreakBefore w:val="0"/>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得分</w:t>
            </w:r>
          </w:p>
        </w:tc>
        <w:tc>
          <w:tcPr>
            <w:tcW w:w="616" w:type="dxa"/>
            <w:noWrap w:val="0"/>
            <w:vAlign w:val="center"/>
          </w:tcPr>
          <w:p w14:paraId="6FFF251D">
            <w:pPr>
              <w:keepNext w:val="0"/>
              <w:keepLines w:val="0"/>
              <w:pageBreakBefore w:val="0"/>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45AE3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trPr>
        <w:tc>
          <w:tcPr>
            <w:tcW w:w="391" w:type="dxa"/>
            <w:noWrap w:val="0"/>
            <w:vAlign w:val="center"/>
          </w:tcPr>
          <w:p w14:paraId="0D1C3B2F">
            <w:pPr>
              <w:keepNext w:val="0"/>
              <w:keepLines w:val="0"/>
              <w:pageBreakBefore w:val="0"/>
              <w:tabs>
                <w:tab w:val="left" w:pos="425"/>
                <w:tab w:val="left" w:pos="956"/>
              </w:tabs>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61" w:type="dxa"/>
            <w:noWrap w:val="0"/>
            <w:vAlign w:val="center"/>
          </w:tcPr>
          <w:p w14:paraId="3DFBCE22">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维保项目（75分）</w:t>
            </w:r>
          </w:p>
        </w:tc>
        <w:tc>
          <w:tcPr>
            <w:tcW w:w="1622" w:type="dxa"/>
            <w:noWrap w:val="0"/>
            <w:vAlign w:val="center"/>
          </w:tcPr>
          <w:p w14:paraId="4FB0529B">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是否按照要求完成周、月、季、年巡检维护保养工作</w:t>
            </w:r>
          </w:p>
        </w:tc>
        <w:tc>
          <w:tcPr>
            <w:tcW w:w="4060" w:type="dxa"/>
            <w:noWrap w:val="0"/>
            <w:vAlign w:val="center"/>
          </w:tcPr>
          <w:p w14:paraId="35A655D9">
            <w:pPr>
              <w:keepNext w:val="0"/>
              <w:keepLines w:val="0"/>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应按照“</w:t>
            </w:r>
            <w:r>
              <w:rPr>
                <w:rFonts w:hint="eastAsia" w:ascii="宋体" w:hAnsi="宋体" w:eastAsia="宋体" w:cs="宋体"/>
                <w:sz w:val="24"/>
                <w:szCs w:val="24"/>
                <w:lang w:val="en-US" w:eastAsia="zh-CN"/>
              </w:rPr>
              <w:t>二、技术要求、</w:t>
            </w:r>
            <w:r>
              <w:rPr>
                <w:rFonts w:hint="eastAsia" w:ascii="宋体" w:hAnsi="宋体" w:eastAsia="宋体" w:cs="宋体"/>
                <w:sz w:val="24"/>
                <w:szCs w:val="24"/>
                <w:lang w:eastAsia="zh-CN"/>
              </w:rPr>
              <w:t>”</w:t>
            </w:r>
            <w:r>
              <w:rPr>
                <w:rFonts w:hint="eastAsia" w:ascii="宋体" w:hAnsi="宋体" w:eastAsia="宋体" w:cs="宋体"/>
                <w:sz w:val="24"/>
                <w:szCs w:val="24"/>
              </w:rPr>
              <w:t>进行考核，每漏检一项扣0.5分，扣完为止。</w:t>
            </w:r>
          </w:p>
          <w:p w14:paraId="576716E2">
            <w:pPr>
              <w:keepNext w:val="0"/>
              <w:keepLines w:val="0"/>
              <w:pageBreakBefore w:val="0"/>
              <w:tabs>
                <w:tab w:val="left" w:pos="425"/>
                <w:tab w:val="left" w:pos="956"/>
              </w:tabs>
              <w:bidi w:val="0"/>
              <w:spacing w:line="360" w:lineRule="auto"/>
              <w:rPr>
                <w:rFonts w:hint="eastAsia" w:ascii="宋体" w:hAnsi="宋体" w:eastAsia="宋体" w:cs="宋体"/>
                <w:sz w:val="24"/>
                <w:szCs w:val="24"/>
              </w:rPr>
            </w:pPr>
          </w:p>
        </w:tc>
        <w:tc>
          <w:tcPr>
            <w:tcW w:w="566" w:type="dxa"/>
            <w:noWrap w:val="0"/>
            <w:vAlign w:val="center"/>
          </w:tcPr>
          <w:p w14:paraId="66DFB5A7">
            <w:pPr>
              <w:keepNext w:val="0"/>
              <w:keepLines w:val="0"/>
              <w:pageBreakBefore w:val="0"/>
              <w:tabs>
                <w:tab w:val="left" w:pos="425"/>
                <w:tab w:val="left" w:pos="956"/>
              </w:tabs>
              <w:bidi w:val="0"/>
              <w:spacing w:line="360" w:lineRule="auto"/>
              <w:rPr>
                <w:rFonts w:hint="eastAsia" w:ascii="宋体" w:hAnsi="宋体" w:eastAsia="宋体" w:cs="宋体"/>
                <w:sz w:val="24"/>
                <w:szCs w:val="24"/>
              </w:rPr>
            </w:pPr>
          </w:p>
        </w:tc>
        <w:tc>
          <w:tcPr>
            <w:tcW w:w="616" w:type="dxa"/>
            <w:noWrap w:val="0"/>
            <w:vAlign w:val="center"/>
          </w:tcPr>
          <w:p w14:paraId="71979A9C">
            <w:pPr>
              <w:keepNext w:val="0"/>
              <w:keepLines w:val="0"/>
              <w:pageBreakBefore w:val="0"/>
              <w:tabs>
                <w:tab w:val="left" w:pos="425"/>
                <w:tab w:val="left" w:pos="956"/>
              </w:tabs>
              <w:bidi w:val="0"/>
              <w:spacing w:line="360" w:lineRule="auto"/>
              <w:rPr>
                <w:rFonts w:hint="eastAsia" w:ascii="宋体" w:hAnsi="宋体" w:eastAsia="宋体" w:cs="宋体"/>
                <w:sz w:val="24"/>
                <w:szCs w:val="24"/>
              </w:rPr>
            </w:pPr>
          </w:p>
        </w:tc>
      </w:tr>
      <w:tr w14:paraId="157E8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0" w:hRule="atLeast"/>
        </w:trPr>
        <w:tc>
          <w:tcPr>
            <w:tcW w:w="391" w:type="dxa"/>
            <w:noWrap w:val="0"/>
            <w:vAlign w:val="center"/>
          </w:tcPr>
          <w:p w14:paraId="74E6ABA5">
            <w:pPr>
              <w:keepNext w:val="0"/>
              <w:keepLines w:val="0"/>
              <w:pageBreakBefore w:val="0"/>
              <w:tabs>
                <w:tab w:val="left" w:pos="425"/>
                <w:tab w:val="left" w:pos="956"/>
              </w:tabs>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61" w:type="dxa"/>
            <w:noWrap w:val="0"/>
            <w:vAlign w:val="center"/>
          </w:tcPr>
          <w:p w14:paraId="59623342">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劳动纪律（8分）</w:t>
            </w:r>
          </w:p>
        </w:tc>
        <w:tc>
          <w:tcPr>
            <w:tcW w:w="1622" w:type="dxa"/>
            <w:noWrap w:val="0"/>
            <w:vAlign w:val="center"/>
          </w:tcPr>
          <w:p w14:paraId="0EBAD566">
            <w:pPr>
              <w:keepNext w:val="0"/>
              <w:keepLines w:val="0"/>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各项</w:t>
            </w:r>
            <w:r>
              <w:rPr>
                <w:rFonts w:hint="eastAsia" w:ascii="宋体" w:hAnsi="宋体" w:eastAsia="宋体" w:cs="宋体"/>
                <w:sz w:val="24"/>
                <w:szCs w:val="24"/>
              </w:rPr>
              <w:t>安全管理 制度、法律法规及劳动纪律等</w:t>
            </w:r>
          </w:p>
        </w:tc>
        <w:tc>
          <w:tcPr>
            <w:tcW w:w="4060" w:type="dxa"/>
            <w:noWrap w:val="0"/>
            <w:vAlign w:val="center"/>
          </w:tcPr>
          <w:p w14:paraId="6310CA51">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1.未遵守我院外来人员施工作业管理制度（2分）</w:t>
            </w:r>
          </w:p>
          <w:p w14:paraId="579FE012">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2.未遵守相关</w:t>
            </w:r>
            <w:r>
              <w:rPr>
                <w:rFonts w:hint="eastAsia" w:ascii="宋体" w:hAnsi="宋体" w:eastAsia="宋体" w:cs="宋体"/>
                <w:sz w:val="24"/>
                <w:szCs w:val="24"/>
                <w:lang w:val="en-US" w:eastAsia="zh-CN"/>
              </w:rPr>
              <w:t>安</w:t>
            </w:r>
            <w:r>
              <w:rPr>
                <w:rFonts w:hint="eastAsia" w:ascii="宋体" w:hAnsi="宋体" w:eastAsia="宋体" w:cs="宋体"/>
                <w:sz w:val="24"/>
                <w:szCs w:val="24"/>
              </w:rPr>
              <w:t>防法律法规（2分）</w:t>
            </w:r>
          </w:p>
          <w:p w14:paraId="7A46755C">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3.未按要求提供国家节假日维保人员值班表，未及时更新可靠联系方式（2分）</w:t>
            </w:r>
          </w:p>
          <w:p w14:paraId="05BA03C7">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4.未及时完成各项维保检查与报告（2分）</w:t>
            </w:r>
          </w:p>
        </w:tc>
        <w:tc>
          <w:tcPr>
            <w:tcW w:w="566" w:type="dxa"/>
            <w:noWrap w:val="0"/>
            <w:vAlign w:val="center"/>
          </w:tcPr>
          <w:p w14:paraId="06CEA677">
            <w:pPr>
              <w:keepNext w:val="0"/>
              <w:keepLines w:val="0"/>
              <w:pageBreakBefore w:val="0"/>
              <w:tabs>
                <w:tab w:val="left" w:pos="425"/>
                <w:tab w:val="left" w:pos="956"/>
              </w:tabs>
              <w:bidi w:val="0"/>
              <w:spacing w:line="360" w:lineRule="auto"/>
              <w:rPr>
                <w:rFonts w:hint="eastAsia" w:ascii="宋体" w:hAnsi="宋体" w:eastAsia="宋体" w:cs="宋体"/>
                <w:sz w:val="24"/>
                <w:szCs w:val="24"/>
              </w:rPr>
            </w:pPr>
          </w:p>
        </w:tc>
        <w:tc>
          <w:tcPr>
            <w:tcW w:w="616" w:type="dxa"/>
            <w:noWrap w:val="0"/>
            <w:vAlign w:val="center"/>
          </w:tcPr>
          <w:p w14:paraId="75D7CCF1">
            <w:pPr>
              <w:keepNext w:val="0"/>
              <w:keepLines w:val="0"/>
              <w:pageBreakBefore w:val="0"/>
              <w:tabs>
                <w:tab w:val="left" w:pos="425"/>
                <w:tab w:val="left" w:pos="956"/>
              </w:tabs>
              <w:bidi w:val="0"/>
              <w:spacing w:line="360" w:lineRule="auto"/>
              <w:rPr>
                <w:rFonts w:hint="eastAsia" w:ascii="宋体" w:hAnsi="宋体" w:eastAsia="宋体" w:cs="宋体"/>
                <w:sz w:val="24"/>
                <w:szCs w:val="24"/>
              </w:rPr>
            </w:pPr>
          </w:p>
        </w:tc>
      </w:tr>
      <w:tr w14:paraId="4620E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trPr>
        <w:tc>
          <w:tcPr>
            <w:tcW w:w="391" w:type="dxa"/>
            <w:noWrap w:val="0"/>
            <w:vAlign w:val="center"/>
          </w:tcPr>
          <w:p w14:paraId="496F79A2">
            <w:pPr>
              <w:keepNext w:val="0"/>
              <w:keepLines w:val="0"/>
              <w:pageBreakBefore w:val="0"/>
              <w:tabs>
                <w:tab w:val="left" w:pos="425"/>
                <w:tab w:val="left" w:pos="956"/>
              </w:tabs>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61" w:type="dxa"/>
            <w:noWrap w:val="0"/>
            <w:vAlign w:val="center"/>
          </w:tcPr>
          <w:p w14:paraId="2A6132E4">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维保报告（5分）</w:t>
            </w:r>
          </w:p>
        </w:tc>
        <w:tc>
          <w:tcPr>
            <w:tcW w:w="1622" w:type="dxa"/>
            <w:noWrap w:val="0"/>
            <w:vAlign w:val="center"/>
          </w:tcPr>
          <w:p w14:paraId="2B7DCD26">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维护保养记录形成报告，并报备案</w:t>
            </w:r>
          </w:p>
        </w:tc>
        <w:tc>
          <w:tcPr>
            <w:tcW w:w="4060" w:type="dxa"/>
            <w:noWrap w:val="0"/>
            <w:vAlign w:val="center"/>
          </w:tcPr>
          <w:p w14:paraId="2D254AE0">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是否按要求完成合同约定</w:t>
            </w:r>
            <w:r>
              <w:rPr>
                <w:rFonts w:hint="eastAsia" w:ascii="宋体" w:hAnsi="宋体" w:eastAsia="宋体" w:cs="宋体"/>
                <w:sz w:val="24"/>
                <w:szCs w:val="24"/>
                <w:lang w:val="en-US" w:eastAsia="zh-CN"/>
              </w:rPr>
              <w:t>安</w:t>
            </w:r>
            <w:r>
              <w:rPr>
                <w:rFonts w:hint="eastAsia" w:ascii="宋体" w:hAnsi="宋体" w:eastAsia="宋体" w:cs="宋体"/>
                <w:sz w:val="24"/>
                <w:szCs w:val="24"/>
              </w:rPr>
              <w:t>防维修、维保内容，并出具</w:t>
            </w:r>
            <w:r>
              <w:rPr>
                <w:rFonts w:hint="eastAsia" w:ascii="宋体" w:hAnsi="宋体" w:eastAsia="宋体" w:cs="宋体"/>
                <w:sz w:val="24"/>
                <w:szCs w:val="24"/>
                <w:lang w:val="en-US" w:eastAsia="zh-CN"/>
              </w:rPr>
              <w:t>安</w:t>
            </w:r>
            <w:r>
              <w:rPr>
                <w:rFonts w:hint="eastAsia" w:ascii="宋体" w:hAnsi="宋体" w:eastAsia="宋体" w:cs="宋体"/>
                <w:sz w:val="24"/>
                <w:szCs w:val="24"/>
              </w:rPr>
              <w:t>防维保检测报告交后勤保障部备案。（5分）</w:t>
            </w:r>
          </w:p>
        </w:tc>
        <w:tc>
          <w:tcPr>
            <w:tcW w:w="566" w:type="dxa"/>
            <w:noWrap w:val="0"/>
            <w:vAlign w:val="center"/>
          </w:tcPr>
          <w:p w14:paraId="46BA9BA1">
            <w:pPr>
              <w:keepNext w:val="0"/>
              <w:keepLines w:val="0"/>
              <w:pageBreakBefore w:val="0"/>
              <w:tabs>
                <w:tab w:val="left" w:pos="425"/>
                <w:tab w:val="left" w:pos="956"/>
              </w:tabs>
              <w:bidi w:val="0"/>
              <w:spacing w:line="360" w:lineRule="auto"/>
              <w:rPr>
                <w:rFonts w:hint="eastAsia" w:ascii="宋体" w:hAnsi="宋体" w:eastAsia="宋体" w:cs="宋体"/>
                <w:sz w:val="24"/>
                <w:szCs w:val="24"/>
              </w:rPr>
            </w:pPr>
          </w:p>
        </w:tc>
        <w:tc>
          <w:tcPr>
            <w:tcW w:w="616" w:type="dxa"/>
            <w:noWrap w:val="0"/>
            <w:vAlign w:val="center"/>
          </w:tcPr>
          <w:p w14:paraId="0D13B767">
            <w:pPr>
              <w:keepNext w:val="0"/>
              <w:keepLines w:val="0"/>
              <w:pageBreakBefore w:val="0"/>
              <w:tabs>
                <w:tab w:val="left" w:pos="425"/>
                <w:tab w:val="left" w:pos="956"/>
              </w:tabs>
              <w:bidi w:val="0"/>
              <w:spacing w:line="360" w:lineRule="auto"/>
              <w:rPr>
                <w:rFonts w:hint="eastAsia" w:ascii="宋体" w:hAnsi="宋体" w:eastAsia="宋体" w:cs="宋体"/>
                <w:sz w:val="24"/>
                <w:szCs w:val="24"/>
              </w:rPr>
            </w:pPr>
          </w:p>
        </w:tc>
      </w:tr>
      <w:tr w14:paraId="2E7E7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8" w:hRule="atLeast"/>
        </w:trPr>
        <w:tc>
          <w:tcPr>
            <w:tcW w:w="391" w:type="dxa"/>
            <w:noWrap w:val="0"/>
            <w:vAlign w:val="center"/>
          </w:tcPr>
          <w:p w14:paraId="240B88C4">
            <w:pPr>
              <w:keepNext w:val="0"/>
              <w:keepLines w:val="0"/>
              <w:pageBreakBefore w:val="0"/>
              <w:tabs>
                <w:tab w:val="left" w:pos="425"/>
                <w:tab w:val="left" w:pos="956"/>
              </w:tabs>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61" w:type="dxa"/>
            <w:noWrap w:val="0"/>
            <w:vAlign w:val="center"/>
          </w:tcPr>
          <w:p w14:paraId="18E7601B">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服务效率（6分）</w:t>
            </w:r>
          </w:p>
        </w:tc>
        <w:tc>
          <w:tcPr>
            <w:tcW w:w="1622" w:type="dxa"/>
            <w:noWrap w:val="0"/>
            <w:vAlign w:val="center"/>
          </w:tcPr>
          <w:p w14:paraId="3D8A3094">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维护保养服务的及时性</w:t>
            </w:r>
          </w:p>
        </w:tc>
        <w:tc>
          <w:tcPr>
            <w:tcW w:w="4060" w:type="dxa"/>
            <w:noWrap w:val="0"/>
            <w:vAlign w:val="center"/>
          </w:tcPr>
          <w:p w14:paraId="4CE50179">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1.发生故障或事故接到通知后未</w:t>
            </w:r>
            <w:r>
              <w:rPr>
                <w:rFonts w:hint="eastAsia" w:ascii="宋体" w:hAnsi="宋体" w:eastAsia="宋体" w:cs="宋体"/>
                <w:sz w:val="24"/>
                <w:szCs w:val="24"/>
                <w:lang w:val="en-US" w:eastAsia="zh-CN"/>
              </w:rPr>
              <w:t>按要求</w:t>
            </w:r>
            <w:r>
              <w:rPr>
                <w:rFonts w:hint="eastAsia" w:ascii="宋体" w:hAnsi="宋体" w:eastAsia="宋体" w:cs="宋体"/>
                <w:sz w:val="24"/>
                <w:szCs w:val="24"/>
              </w:rPr>
              <w:t>到达工作现场（2分）</w:t>
            </w:r>
          </w:p>
          <w:p w14:paraId="0FC55174">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2.未及时处理和修复各种故障、事故及安全隐患（2分）</w:t>
            </w:r>
          </w:p>
          <w:p w14:paraId="1E7B9AEF">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3.未及时发现系统存在安全隐患，导致系统</w:t>
            </w:r>
            <w:r>
              <w:rPr>
                <w:rFonts w:hint="eastAsia" w:ascii="宋体" w:hAnsi="宋体" w:eastAsia="宋体" w:cs="宋体"/>
                <w:sz w:val="24"/>
                <w:szCs w:val="24"/>
                <w:lang w:val="en-US" w:eastAsia="zh-CN"/>
              </w:rPr>
              <w:t>不能</w:t>
            </w:r>
            <w:r>
              <w:rPr>
                <w:rFonts w:hint="eastAsia" w:ascii="宋体" w:hAnsi="宋体" w:eastAsia="宋体" w:cs="宋体"/>
                <w:sz w:val="24"/>
                <w:szCs w:val="24"/>
              </w:rPr>
              <w:t>正常运行（2分）</w:t>
            </w:r>
          </w:p>
        </w:tc>
        <w:tc>
          <w:tcPr>
            <w:tcW w:w="566" w:type="dxa"/>
            <w:noWrap w:val="0"/>
            <w:vAlign w:val="center"/>
          </w:tcPr>
          <w:p w14:paraId="0A8D39BB">
            <w:pPr>
              <w:keepNext w:val="0"/>
              <w:keepLines w:val="0"/>
              <w:pageBreakBefore w:val="0"/>
              <w:tabs>
                <w:tab w:val="left" w:pos="425"/>
                <w:tab w:val="left" w:pos="956"/>
              </w:tabs>
              <w:bidi w:val="0"/>
              <w:spacing w:line="360" w:lineRule="auto"/>
              <w:rPr>
                <w:rFonts w:hint="eastAsia" w:ascii="宋体" w:hAnsi="宋体" w:eastAsia="宋体" w:cs="宋体"/>
                <w:sz w:val="24"/>
                <w:szCs w:val="24"/>
              </w:rPr>
            </w:pPr>
          </w:p>
        </w:tc>
        <w:tc>
          <w:tcPr>
            <w:tcW w:w="616" w:type="dxa"/>
            <w:noWrap w:val="0"/>
            <w:vAlign w:val="center"/>
          </w:tcPr>
          <w:p w14:paraId="2AB34B11">
            <w:pPr>
              <w:keepNext w:val="0"/>
              <w:keepLines w:val="0"/>
              <w:pageBreakBefore w:val="0"/>
              <w:tabs>
                <w:tab w:val="left" w:pos="425"/>
                <w:tab w:val="left" w:pos="956"/>
              </w:tabs>
              <w:bidi w:val="0"/>
              <w:spacing w:line="360" w:lineRule="auto"/>
              <w:rPr>
                <w:rFonts w:hint="eastAsia" w:ascii="宋体" w:hAnsi="宋体" w:eastAsia="宋体" w:cs="宋体"/>
                <w:sz w:val="24"/>
                <w:szCs w:val="24"/>
              </w:rPr>
            </w:pPr>
          </w:p>
        </w:tc>
      </w:tr>
      <w:tr w14:paraId="61C20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391" w:type="dxa"/>
            <w:noWrap w:val="0"/>
            <w:vAlign w:val="center"/>
          </w:tcPr>
          <w:p w14:paraId="04341B45">
            <w:pPr>
              <w:keepNext w:val="0"/>
              <w:keepLines w:val="0"/>
              <w:pageBreakBefore w:val="0"/>
              <w:tabs>
                <w:tab w:val="left" w:pos="425"/>
                <w:tab w:val="left" w:pos="956"/>
              </w:tabs>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261" w:type="dxa"/>
            <w:noWrap w:val="0"/>
            <w:vAlign w:val="center"/>
          </w:tcPr>
          <w:p w14:paraId="6488EE0E">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服务质量（6分）</w:t>
            </w:r>
          </w:p>
        </w:tc>
        <w:tc>
          <w:tcPr>
            <w:tcW w:w="1622" w:type="dxa"/>
            <w:noWrap w:val="0"/>
            <w:vAlign w:val="center"/>
          </w:tcPr>
          <w:p w14:paraId="5C03EA06">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安</w:t>
            </w:r>
            <w:r>
              <w:rPr>
                <w:rFonts w:hint="eastAsia" w:ascii="宋体" w:hAnsi="宋体" w:eastAsia="宋体" w:cs="宋体"/>
                <w:sz w:val="24"/>
                <w:szCs w:val="24"/>
              </w:rPr>
              <w:t>防系统的稳定可靠性</w:t>
            </w:r>
          </w:p>
        </w:tc>
        <w:tc>
          <w:tcPr>
            <w:tcW w:w="4060" w:type="dxa"/>
            <w:noWrap w:val="0"/>
            <w:vAlign w:val="center"/>
          </w:tcPr>
          <w:p w14:paraId="62ADFD4B">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rPr>
              <w:t>未保障</w:t>
            </w:r>
            <w:r>
              <w:rPr>
                <w:rFonts w:hint="eastAsia" w:ascii="宋体" w:hAnsi="宋体" w:eastAsia="宋体" w:cs="宋体"/>
                <w:sz w:val="24"/>
                <w:szCs w:val="24"/>
                <w:lang w:val="en-US" w:eastAsia="zh-CN"/>
              </w:rPr>
              <w:t>安</w:t>
            </w:r>
            <w:r>
              <w:rPr>
                <w:rFonts w:hint="eastAsia" w:ascii="宋体" w:hAnsi="宋体" w:eastAsia="宋体" w:cs="宋体"/>
                <w:sz w:val="24"/>
                <w:szCs w:val="24"/>
              </w:rPr>
              <w:t>防系统</w:t>
            </w:r>
            <w:r>
              <w:rPr>
                <w:rFonts w:hint="eastAsia" w:ascii="宋体" w:hAnsi="宋体" w:eastAsia="宋体" w:cs="宋体"/>
                <w:sz w:val="24"/>
                <w:szCs w:val="24"/>
                <w:lang w:val="en-US" w:eastAsia="zh-CN"/>
              </w:rPr>
              <w:t>及设施设备正常运行</w:t>
            </w:r>
            <w:r>
              <w:rPr>
                <w:rFonts w:hint="eastAsia" w:ascii="宋体" w:hAnsi="宋体" w:eastAsia="宋体" w:cs="宋体"/>
                <w:sz w:val="24"/>
                <w:szCs w:val="24"/>
              </w:rPr>
              <w:t>（6分）</w:t>
            </w:r>
          </w:p>
        </w:tc>
        <w:tc>
          <w:tcPr>
            <w:tcW w:w="566" w:type="dxa"/>
            <w:noWrap w:val="0"/>
            <w:vAlign w:val="center"/>
          </w:tcPr>
          <w:p w14:paraId="6069F260">
            <w:pPr>
              <w:keepNext w:val="0"/>
              <w:keepLines w:val="0"/>
              <w:pageBreakBefore w:val="0"/>
              <w:tabs>
                <w:tab w:val="left" w:pos="425"/>
                <w:tab w:val="left" w:pos="956"/>
              </w:tabs>
              <w:bidi w:val="0"/>
              <w:spacing w:line="360" w:lineRule="auto"/>
              <w:rPr>
                <w:rFonts w:hint="eastAsia" w:ascii="宋体" w:hAnsi="宋体" w:eastAsia="宋体" w:cs="宋体"/>
                <w:sz w:val="24"/>
                <w:szCs w:val="24"/>
              </w:rPr>
            </w:pPr>
          </w:p>
        </w:tc>
        <w:tc>
          <w:tcPr>
            <w:tcW w:w="616" w:type="dxa"/>
            <w:noWrap w:val="0"/>
            <w:vAlign w:val="center"/>
          </w:tcPr>
          <w:p w14:paraId="4CFC8C3F">
            <w:pPr>
              <w:keepNext w:val="0"/>
              <w:keepLines w:val="0"/>
              <w:pageBreakBefore w:val="0"/>
              <w:tabs>
                <w:tab w:val="left" w:pos="425"/>
                <w:tab w:val="left" w:pos="956"/>
              </w:tabs>
              <w:bidi w:val="0"/>
              <w:spacing w:line="360" w:lineRule="auto"/>
              <w:rPr>
                <w:rFonts w:hint="eastAsia" w:ascii="宋体" w:hAnsi="宋体" w:eastAsia="宋体" w:cs="宋体"/>
                <w:sz w:val="24"/>
                <w:szCs w:val="24"/>
              </w:rPr>
            </w:pPr>
          </w:p>
        </w:tc>
      </w:tr>
      <w:tr w14:paraId="07611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trPr>
        <w:tc>
          <w:tcPr>
            <w:tcW w:w="391" w:type="dxa"/>
            <w:noWrap w:val="0"/>
            <w:vAlign w:val="center"/>
          </w:tcPr>
          <w:p w14:paraId="60C42B16">
            <w:pPr>
              <w:keepNext w:val="0"/>
              <w:keepLines w:val="0"/>
              <w:pageBreakBefore w:val="0"/>
              <w:tabs>
                <w:tab w:val="left" w:pos="425"/>
                <w:tab w:val="left" w:pos="956"/>
              </w:tabs>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883" w:type="dxa"/>
            <w:gridSpan w:val="2"/>
            <w:noWrap w:val="0"/>
            <w:vAlign w:val="center"/>
          </w:tcPr>
          <w:p w14:paraId="75582A5B">
            <w:pPr>
              <w:keepNext w:val="0"/>
              <w:keepLines w:val="0"/>
              <w:pageBreakBefore w:val="0"/>
              <w:tabs>
                <w:tab w:val="left" w:pos="425"/>
                <w:tab w:val="left" w:pos="956"/>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安</w:t>
            </w:r>
            <w:r>
              <w:rPr>
                <w:rFonts w:hint="eastAsia" w:ascii="宋体" w:hAnsi="宋体" w:eastAsia="宋体" w:cs="宋体"/>
                <w:sz w:val="24"/>
                <w:szCs w:val="24"/>
              </w:rPr>
              <w:t>防安全事故（一票否决）</w:t>
            </w:r>
          </w:p>
        </w:tc>
        <w:tc>
          <w:tcPr>
            <w:tcW w:w="4060" w:type="dxa"/>
            <w:noWrap w:val="0"/>
            <w:vAlign w:val="center"/>
          </w:tcPr>
          <w:p w14:paraId="3B505E00">
            <w:pPr>
              <w:keepNext w:val="0"/>
              <w:keepLines w:val="0"/>
              <w:pageBreakBefore w:val="0"/>
              <w:tabs>
                <w:tab w:val="left" w:pos="425"/>
                <w:tab w:val="left" w:pos="956"/>
              </w:tabs>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在维保期间，因</w:t>
            </w:r>
            <w:r>
              <w:rPr>
                <w:rFonts w:hint="eastAsia" w:ascii="宋体" w:hAnsi="宋体" w:eastAsia="宋体" w:cs="宋体"/>
                <w:sz w:val="24"/>
                <w:szCs w:val="24"/>
                <w:lang w:val="en-US" w:eastAsia="zh-CN"/>
              </w:rPr>
              <w:t>安</w:t>
            </w:r>
            <w:r>
              <w:rPr>
                <w:rFonts w:hint="eastAsia" w:ascii="宋体" w:hAnsi="宋体" w:eastAsia="宋体" w:cs="宋体"/>
                <w:sz w:val="24"/>
                <w:szCs w:val="24"/>
              </w:rPr>
              <w:t>防设施或系统故障或未能正常动作，发生</w:t>
            </w:r>
            <w:r>
              <w:rPr>
                <w:rFonts w:hint="eastAsia" w:ascii="宋体" w:hAnsi="宋体" w:eastAsia="宋体" w:cs="宋体"/>
                <w:sz w:val="24"/>
                <w:szCs w:val="24"/>
                <w:lang w:val="en-US" w:eastAsia="zh-CN"/>
              </w:rPr>
              <w:t>安</w:t>
            </w:r>
            <w:r>
              <w:rPr>
                <w:rFonts w:hint="eastAsia" w:ascii="宋体" w:hAnsi="宋体" w:eastAsia="宋体" w:cs="宋体"/>
                <w:sz w:val="24"/>
                <w:szCs w:val="24"/>
              </w:rPr>
              <w:t>防安全事故导致财产损失10万元及以上或人员伤亡的，</w:t>
            </w:r>
            <w:r>
              <w:rPr>
                <w:rFonts w:hint="eastAsia" w:ascii="宋体" w:hAnsi="宋体" w:eastAsia="宋体" w:cs="宋体"/>
                <w:sz w:val="24"/>
                <w:szCs w:val="24"/>
                <w:lang w:eastAsia="zh-CN"/>
              </w:rPr>
              <w:t>采购人</w:t>
            </w:r>
            <w:r>
              <w:rPr>
                <w:rFonts w:hint="eastAsia" w:ascii="宋体" w:hAnsi="宋体" w:eastAsia="宋体" w:cs="宋体"/>
                <w:sz w:val="24"/>
                <w:szCs w:val="24"/>
              </w:rPr>
              <w:t>有权解除合同，所有损失由</w:t>
            </w:r>
            <w:r>
              <w:rPr>
                <w:rFonts w:hint="eastAsia" w:ascii="宋体" w:hAnsi="宋体" w:eastAsia="宋体" w:cs="宋体"/>
                <w:sz w:val="24"/>
                <w:szCs w:val="24"/>
                <w:lang w:eastAsia="zh-CN"/>
              </w:rPr>
              <w:t>供应商</w:t>
            </w:r>
            <w:r>
              <w:rPr>
                <w:rFonts w:hint="eastAsia" w:ascii="宋体" w:hAnsi="宋体" w:eastAsia="宋体" w:cs="宋体"/>
                <w:sz w:val="24"/>
                <w:szCs w:val="24"/>
              </w:rPr>
              <w:t>承担，并追究</w:t>
            </w:r>
            <w:r>
              <w:rPr>
                <w:rFonts w:hint="eastAsia" w:ascii="宋体" w:hAnsi="宋体" w:eastAsia="宋体" w:cs="宋体"/>
                <w:sz w:val="24"/>
                <w:szCs w:val="24"/>
                <w:lang w:eastAsia="zh-CN"/>
              </w:rPr>
              <w:t>供应商</w:t>
            </w:r>
            <w:r>
              <w:rPr>
                <w:rFonts w:hint="eastAsia" w:ascii="宋体" w:hAnsi="宋体" w:eastAsia="宋体" w:cs="宋体"/>
                <w:sz w:val="24"/>
                <w:szCs w:val="24"/>
              </w:rPr>
              <w:t>相应法律责任</w:t>
            </w:r>
            <w:r>
              <w:rPr>
                <w:rFonts w:hint="eastAsia" w:ascii="宋体" w:hAnsi="宋体" w:eastAsia="宋体" w:cs="宋体"/>
                <w:sz w:val="24"/>
                <w:szCs w:val="24"/>
                <w:lang w:eastAsia="zh-CN"/>
              </w:rPr>
              <w:t>。</w:t>
            </w:r>
          </w:p>
        </w:tc>
        <w:tc>
          <w:tcPr>
            <w:tcW w:w="566" w:type="dxa"/>
            <w:noWrap w:val="0"/>
            <w:vAlign w:val="center"/>
          </w:tcPr>
          <w:p w14:paraId="453C5086">
            <w:pPr>
              <w:keepNext w:val="0"/>
              <w:keepLines w:val="0"/>
              <w:pageBreakBefore w:val="0"/>
              <w:tabs>
                <w:tab w:val="left" w:pos="425"/>
                <w:tab w:val="left" w:pos="956"/>
              </w:tabs>
              <w:bidi w:val="0"/>
              <w:spacing w:line="360" w:lineRule="auto"/>
              <w:ind w:firstLine="480" w:firstLineChars="200"/>
              <w:rPr>
                <w:rFonts w:hint="eastAsia" w:ascii="宋体" w:hAnsi="宋体" w:eastAsia="宋体" w:cs="宋体"/>
                <w:sz w:val="24"/>
                <w:szCs w:val="24"/>
              </w:rPr>
            </w:pPr>
          </w:p>
        </w:tc>
        <w:tc>
          <w:tcPr>
            <w:tcW w:w="616" w:type="dxa"/>
            <w:noWrap w:val="0"/>
            <w:vAlign w:val="center"/>
          </w:tcPr>
          <w:p w14:paraId="642F2693">
            <w:pPr>
              <w:keepNext w:val="0"/>
              <w:keepLines w:val="0"/>
              <w:pageBreakBefore w:val="0"/>
              <w:bidi w:val="0"/>
              <w:spacing w:line="360" w:lineRule="auto"/>
              <w:rPr>
                <w:rFonts w:hint="eastAsia" w:ascii="宋体" w:hAnsi="宋体" w:eastAsia="宋体" w:cs="宋体"/>
                <w:sz w:val="24"/>
                <w:szCs w:val="24"/>
              </w:rPr>
            </w:pPr>
          </w:p>
        </w:tc>
      </w:tr>
      <w:tr w14:paraId="6B71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334" w:type="dxa"/>
            <w:gridSpan w:val="4"/>
            <w:noWrap w:val="0"/>
            <w:vAlign w:val="center"/>
          </w:tcPr>
          <w:p w14:paraId="7CC9DB00">
            <w:pPr>
              <w:keepNext w:val="0"/>
              <w:keepLines w:val="0"/>
              <w:pageBreakBefore w:val="0"/>
              <w:tabs>
                <w:tab w:val="left" w:pos="425"/>
                <w:tab w:val="left" w:pos="956"/>
              </w:tabs>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566" w:type="dxa"/>
            <w:noWrap w:val="0"/>
            <w:vAlign w:val="center"/>
          </w:tcPr>
          <w:p w14:paraId="630E0F36">
            <w:pPr>
              <w:keepNext w:val="0"/>
              <w:keepLines w:val="0"/>
              <w:pageBreakBefore w:val="0"/>
              <w:tabs>
                <w:tab w:val="left" w:pos="425"/>
                <w:tab w:val="left" w:pos="956"/>
              </w:tabs>
              <w:bidi w:val="0"/>
              <w:spacing w:line="360" w:lineRule="auto"/>
              <w:ind w:firstLine="480" w:firstLineChars="200"/>
              <w:rPr>
                <w:rFonts w:hint="eastAsia" w:ascii="宋体" w:hAnsi="宋体" w:eastAsia="宋体" w:cs="宋体"/>
                <w:sz w:val="24"/>
                <w:szCs w:val="24"/>
              </w:rPr>
            </w:pPr>
          </w:p>
        </w:tc>
        <w:tc>
          <w:tcPr>
            <w:tcW w:w="616" w:type="dxa"/>
            <w:noWrap w:val="0"/>
            <w:vAlign w:val="center"/>
          </w:tcPr>
          <w:p w14:paraId="18AC1FD2">
            <w:pPr>
              <w:keepNext w:val="0"/>
              <w:keepLines w:val="0"/>
              <w:pageBreakBefore w:val="0"/>
              <w:bidi w:val="0"/>
              <w:spacing w:line="360" w:lineRule="auto"/>
              <w:rPr>
                <w:rFonts w:hint="eastAsia" w:ascii="宋体" w:hAnsi="宋体" w:eastAsia="宋体" w:cs="宋体"/>
                <w:sz w:val="24"/>
                <w:szCs w:val="24"/>
              </w:rPr>
            </w:pPr>
          </w:p>
        </w:tc>
      </w:tr>
    </w:tbl>
    <w:p w14:paraId="318A6409">
      <w:pPr>
        <w:pStyle w:val="6"/>
        <w:keepNext w:val="0"/>
        <w:keepLines w:val="0"/>
        <w:pageBreakBefore w:val="0"/>
        <w:widowControl w:val="0"/>
        <w:numPr>
          <w:ilvl w:val="0"/>
          <w:numId w:val="0"/>
        </w:numPr>
        <w:bidi w:val="0"/>
        <w:spacing w:line="360" w:lineRule="auto"/>
        <w:jc w:val="both"/>
        <w:rPr>
          <w:rFonts w:hint="eastAsia" w:ascii="宋体" w:hAnsi="宋体" w:eastAsia="宋体" w:cs="宋体"/>
          <w:b/>
          <w:bCs/>
          <w:color w:val="000000"/>
          <w:sz w:val="24"/>
          <w:szCs w:val="24"/>
          <w:lang w:val="en-US" w:eastAsia="zh-CN"/>
        </w:rPr>
      </w:pPr>
    </w:p>
    <w:p w14:paraId="7546643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（注：“★”要求为实质性要求，投标人应在投标文件中进行实质性响应，否则作无效响应处理。）</w:t>
      </w:r>
    </w:p>
    <w:p w14:paraId="1C447D5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五、</w:t>
      </w:r>
      <w:r>
        <w:rPr>
          <w:rFonts w:hint="eastAsia" w:ascii="宋体" w:hAnsi="宋体" w:eastAsia="宋体" w:cs="宋体"/>
          <w:b w:val="0"/>
          <w:bCs w:val="0"/>
          <w:color w:val="auto"/>
          <w:kern w:val="0"/>
          <w:sz w:val="24"/>
          <w:szCs w:val="24"/>
          <w:highlight w:val="none"/>
          <w:lang w:val="en-US" w:eastAsia="zh-CN"/>
        </w:rPr>
        <w:t>《响应文件》的评审</w:t>
      </w:r>
    </w:p>
    <w:p w14:paraId="3191AB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eastAsia="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D6AB925">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本项采用</w:t>
      </w:r>
      <w:r>
        <w:rPr>
          <w:rFonts w:hint="eastAsia" w:ascii="宋体" w:hAnsi="宋体" w:eastAsia="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14:paraId="1EA2FF90">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综合评分明细表</w:t>
      </w:r>
    </w:p>
    <w:tbl>
      <w:tblPr>
        <w:tblStyle w:val="16"/>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104"/>
        <w:gridCol w:w="538"/>
        <w:gridCol w:w="4761"/>
        <w:gridCol w:w="1322"/>
      </w:tblGrid>
      <w:tr w14:paraId="1B4A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4" w:type="dxa"/>
            <w:gridSpan w:val="5"/>
            <w:noWrap w:val="0"/>
            <w:vAlign w:val="center"/>
          </w:tcPr>
          <w:p w14:paraId="1306210F">
            <w:pPr>
              <w:keepNext w:val="0"/>
              <w:keepLines w:val="0"/>
              <w:pageBreakBefore w:val="0"/>
              <w:widowControl/>
              <w:bidi w:val="0"/>
              <w:spacing w:line="360" w:lineRule="auto"/>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评分实施细则（根据项目实际情况进行增减）</w:t>
            </w:r>
          </w:p>
        </w:tc>
      </w:tr>
      <w:tr w14:paraId="1B77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14:paraId="367F565C">
            <w:pPr>
              <w:keepNext w:val="0"/>
              <w:keepLines w:val="0"/>
              <w:pageBreakBefore w:val="0"/>
              <w:wordWrap w:val="0"/>
              <w:overflowPunct w:val="0"/>
              <w:topLinePunct/>
              <w:bidi w:val="0"/>
              <w:spacing w:line="360" w:lineRule="auto"/>
              <w:jc w:val="center"/>
              <w:textAlignment w:val="center"/>
              <w:rPr>
                <w:rFonts w:hint="eastAsia" w:ascii="宋体" w:hAnsi="宋体" w:eastAsia="宋体" w:cs="宋体"/>
                <w:bCs/>
                <w:color w:val="000000"/>
                <w:sz w:val="24"/>
                <w:szCs w:val="24"/>
              </w:rPr>
            </w:pPr>
            <w:r>
              <w:rPr>
                <w:rFonts w:hint="eastAsia" w:ascii="宋体" w:hAnsi="宋体" w:eastAsia="宋体" w:cs="宋体"/>
                <w:bCs/>
                <w:sz w:val="24"/>
                <w:szCs w:val="24"/>
              </w:rPr>
              <w:t>序号</w:t>
            </w:r>
          </w:p>
        </w:tc>
        <w:tc>
          <w:tcPr>
            <w:tcW w:w="1104" w:type="dxa"/>
            <w:noWrap w:val="0"/>
            <w:vAlign w:val="center"/>
          </w:tcPr>
          <w:p w14:paraId="6D8805CE">
            <w:pPr>
              <w:keepNext w:val="0"/>
              <w:keepLines w:val="0"/>
              <w:pageBreakBefore w:val="0"/>
              <w:wordWrap w:val="0"/>
              <w:overflowPunct w:val="0"/>
              <w:topLinePunct/>
              <w:bidi w:val="0"/>
              <w:spacing w:line="360" w:lineRule="auto"/>
              <w:jc w:val="center"/>
              <w:textAlignment w:val="center"/>
              <w:rPr>
                <w:rFonts w:hint="eastAsia" w:ascii="宋体" w:hAnsi="宋体" w:eastAsia="宋体" w:cs="宋体"/>
                <w:bCs/>
                <w:color w:val="000000"/>
                <w:sz w:val="24"/>
                <w:szCs w:val="24"/>
              </w:rPr>
            </w:pPr>
            <w:r>
              <w:rPr>
                <w:rFonts w:hint="eastAsia" w:ascii="宋体" w:hAnsi="宋体" w:eastAsia="宋体" w:cs="宋体"/>
                <w:bCs/>
                <w:sz w:val="24"/>
                <w:szCs w:val="24"/>
              </w:rPr>
              <w:t>评分因素</w:t>
            </w:r>
          </w:p>
        </w:tc>
        <w:tc>
          <w:tcPr>
            <w:tcW w:w="538" w:type="dxa"/>
            <w:noWrap w:val="0"/>
            <w:vAlign w:val="center"/>
          </w:tcPr>
          <w:p w14:paraId="6E1559C1">
            <w:pPr>
              <w:keepNext w:val="0"/>
              <w:keepLines w:val="0"/>
              <w:pageBreakBefore w:val="0"/>
              <w:wordWrap w:val="0"/>
              <w:overflowPunct w:val="0"/>
              <w:topLinePunct/>
              <w:bidi w:val="0"/>
              <w:spacing w:line="360" w:lineRule="auto"/>
              <w:jc w:val="center"/>
              <w:textAlignment w:val="center"/>
              <w:rPr>
                <w:rFonts w:hint="eastAsia" w:ascii="宋体" w:hAnsi="宋体" w:eastAsia="宋体" w:cs="宋体"/>
                <w:bCs/>
                <w:color w:val="000000"/>
                <w:sz w:val="24"/>
                <w:szCs w:val="24"/>
              </w:rPr>
            </w:pPr>
            <w:r>
              <w:rPr>
                <w:rFonts w:hint="eastAsia" w:ascii="宋体" w:hAnsi="宋体" w:eastAsia="宋体" w:cs="宋体"/>
                <w:bCs/>
                <w:sz w:val="24"/>
                <w:szCs w:val="24"/>
              </w:rPr>
              <w:t>分值</w:t>
            </w:r>
          </w:p>
        </w:tc>
        <w:tc>
          <w:tcPr>
            <w:tcW w:w="4761" w:type="dxa"/>
            <w:noWrap w:val="0"/>
            <w:vAlign w:val="center"/>
          </w:tcPr>
          <w:p w14:paraId="59A7A58B">
            <w:pPr>
              <w:keepNext w:val="0"/>
              <w:keepLines w:val="0"/>
              <w:pageBreakBefore w:val="0"/>
              <w:wordWrap w:val="0"/>
              <w:overflowPunct w:val="0"/>
              <w:topLinePunct/>
              <w:bidi w:val="0"/>
              <w:spacing w:line="360" w:lineRule="auto"/>
              <w:jc w:val="center"/>
              <w:textAlignment w:val="center"/>
              <w:rPr>
                <w:rFonts w:hint="eastAsia" w:ascii="宋体" w:hAnsi="宋体" w:eastAsia="宋体" w:cs="宋体"/>
                <w:bCs/>
                <w:sz w:val="24"/>
                <w:szCs w:val="24"/>
              </w:rPr>
            </w:pPr>
            <w:r>
              <w:rPr>
                <w:rFonts w:hint="eastAsia" w:ascii="宋体" w:hAnsi="宋体" w:eastAsia="宋体" w:cs="宋体"/>
                <w:bCs/>
                <w:sz w:val="24"/>
                <w:szCs w:val="24"/>
              </w:rPr>
              <w:t>评分标准</w:t>
            </w:r>
          </w:p>
        </w:tc>
        <w:tc>
          <w:tcPr>
            <w:tcW w:w="1322" w:type="dxa"/>
            <w:noWrap w:val="0"/>
            <w:vAlign w:val="center"/>
          </w:tcPr>
          <w:p w14:paraId="3BF763FC">
            <w:pPr>
              <w:keepNext w:val="0"/>
              <w:keepLines w:val="0"/>
              <w:pageBreakBefore w:val="0"/>
              <w:wordWrap w:val="0"/>
              <w:overflowPunct w:val="0"/>
              <w:topLinePunct/>
              <w:bidi w:val="0"/>
              <w:spacing w:line="360" w:lineRule="auto"/>
              <w:jc w:val="center"/>
              <w:textAlignment w:val="center"/>
              <w:rPr>
                <w:rFonts w:hint="eastAsia" w:ascii="宋体" w:hAnsi="宋体" w:eastAsia="宋体" w:cs="宋体"/>
                <w:bCs/>
                <w:sz w:val="24"/>
                <w:szCs w:val="24"/>
              </w:rPr>
            </w:pPr>
            <w:r>
              <w:rPr>
                <w:rFonts w:hint="eastAsia" w:ascii="宋体" w:hAnsi="宋体" w:eastAsia="宋体" w:cs="宋体"/>
                <w:bCs/>
                <w:sz w:val="24"/>
                <w:szCs w:val="24"/>
              </w:rPr>
              <w:t>主/客观分</w:t>
            </w:r>
          </w:p>
        </w:tc>
      </w:tr>
      <w:tr w14:paraId="09CA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14:paraId="0B6C263F">
            <w:pPr>
              <w:keepNext w:val="0"/>
              <w:keepLines w:val="0"/>
              <w:pageBreakBefore w:val="0"/>
              <w:bidi w:val="0"/>
              <w:spacing w:line="360" w:lineRule="auto"/>
              <w:ind w:firstLine="28"/>
              <w:jc w:val="center"/>
              <w:rPr>
                <w:rFonts w:hint="eastAsia" w:ascii="宋体" w:hAnsi="宋体" w:eastAsia="宋体" w:cs="宋体"/>
                <w:bCs/>
                <w:sz w:val="24"/>
                <w:szCs w:val="24"/>
              </w:rPr>
            </w:pPr>
            <w:r>
              <w:rPr>
                <w:rFonts w:hint="eastAsia" w:ascii="宋体" w:hAnsi="宋体" w:eastAsia="宋体" w:cs="宋体"/>
                <w:sz w:val="24"/>
                <w:szCs w:val="24"/>
              </w:rPr>
              <w:t>1</w:t>
            </w:r>
          </w:p>
        </w:tc>
        <w:tc>
          <w:tcPr>
            <w:tcW w:w="1104" w:type="dxa"/>
            <w:noWrap w:val="0"/>
            <w:vAlign w:val="center"/>
          </w:tcPr>
          <w:p w14:paraId="4C467BC3">
            <w:pPr>
              <w:keepNext w:val="0"/>
              <w:keepLines w:val="0"/>
              <w:pageBreakBefore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价格</w:t>
            </w:r>
          </w:p>
        </w:tc>
        <w:tc>
          <w:tcPr>
            <w:tcW w:w="538" w:type="dxa"/>
            <w:noWrap w:val="0"/>
            <w:vAlign w:val="center"/>
          </w:tcPr>
          <w:p w14:paraId="64E500E0">
            <w:pPr>
              <w:keepNext w:val="0"/>
              <w:keepLines w:val="0"/>
              <w:pageBreakBefore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w:t>
            </w:r>
          </w:p>
        </w:tc>
        <w:tc>
          <w:tcPr>
            <w:tcW w:w="4761" w:type="dxa"/>
            <w:noWrap w:val="0"/>
            <w:vAlign w:val="center"/>
          </w:tcPr>
          <w:p w14:paraId="3280FF73">
            <w:pPr>
              <w:keepNext w:val="0"/>
              <w:keepLines w:val="0"/>
              <w:pageBreakBefore w:val="0"/>
              <w:bidi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1.经评标委员会评审，通过资格和符合性审查，且投标报价最低的投标人的投标报价作为评标基准价。2.投标报价得分=(评标基准价／投标报价)×分值。</w:t>
            </w:r>
          </w:p>
        </w:tc>
        <w:tc>
          <w:tcPr>
            <w:tcW w:w="1322" w:type="dxa"/>
            <w:noWrap w:val="0"/>
            <w:vAlign w:val="center"/>
          </w:tcPr>
          <w:p w14:paraId="72A236FF">
            <w:pPr>
              <w:keepNext w:val="0"/>
              <w:keepLines w:val="0"/>
              <w:pageBreakBefore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客观</w:t>
            </w:r>
          </w:p>
        </w:tc>
      </w:tr>
      <w:tr w14:paraId="1728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14:paraId="56DCE46E">
            <w:pPr>
              <w:keepNext w:val="0"/>
              <w:keepLines w:val="0"/>
              <w:pageBreakBefore w:val="0"/>
              <w:bidi w:val="0"/>
              <w:spacing w:line="360" w:lineRule="auto"/>
              <w:ind w:firstLine="28"/>
              <w:jc w:val="center"/>
              <w:rPr>
                <w:rFonts w:hint="eastAsia" w:ascii="宋体" w:hAnsi="宋体" w:eastAsia="宋体" w:cs="宋体"/>
                <w:bCs/>
                <w:sz w:val="24"/>
                <w:szCs w:val="24"/>
              </w:rPr>
            </w:pPr>
            <w:r>
              <w:rPr>
                <w:rFonts w:hint="eastAsia" w:ascii="宋体" w:hAnsi="宋体" w:eastAsia="宋体" w:cs="宋体"/>
                <w:sz w:val="24"/>
                <w:szCs w:val="24"/>
              </w:rPr>
              <w:t>2</w:t>
            </w:r>
          </w:p>
        </w:tc>
        <w:tc>
          <w:tcPr>
            <w:tcW w:w="1104" w:type="dxa"/>
            <w:noWrap w:val="0"/>
            <w:vAlign w:val="center"/>
          </w:tcPr>
          <w:p w14:paraId="718C9E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napToGrid w:val="0"/>
                <w:color w:val="000000"/>
                <w:spacing w:val="7"/>
                <w:kern w:val="0"/>
                <w:sz w:val="24"/>
                <w:szCs w:val="24"/>
              </w:rPr>
              <w:t>类似项目业绩</w:t>
            </w:r>
          </w:p>
        </w:tc>
        <w:tc>
          <w:tcPr>
            <w:tcW w:w="538" w:type="dxa"/>
            <w:noWrap w:val="0"/>
            <w:vAlign w:val="center"/>
          </w:tcPr>
          <w:p w14:paraId="603231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vertAlign w:val="baseline"/>
                <w:lang w:val="en-US" w:eastAsia="zh-CN"/>
              </w:rPr>
              <w:t>20</w:t>
            </w:r>
          </w:p>
        </w:tc>
        <w:tc>
          <w:tcPr>
            <w:tcW w:w="4761" w:type="dxa"/>
            <w:noWrap w:val="0"/>
            <w:vAlign w:val="center"/>
          </w:tcPr>
          <w:p w14:paraId="294E198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napToGrid w:val="0"/>
                <w:color w:val="000000"/>
                <w:spacing w:val="7"/>
                <w:kern w:val="0"/>
                <w:sz w:val="24"/>
                <w:szCs w:val="24"/>
              </w:rPr>
              <w:t>供应商</w:t>
            </w:r>
            <w:r>
              <w:rPr>
                <w:rFonts w:hint="eastAsia" w:ascii="宋体" w:hAnsi="宋体" w:eastAsia="宋体" w:cs="宋体"/>
                <w:snapToGrid w:val="0"/>
                <w:color w:val="000000"/>
                <w:spacing w:val="7"/>
                <w:kern w:val="0"/>
                <w:sz w:val="24"/>
                <w:szCs w:val="24"/>
                <w:lang w:val="en-US" w:eastAsia="zh-CN"/>
              </w:rPr>
              <w:t>提供</w:t>
            </w:r>
            <w:r>
              <w:rPr>
                <w:rFonts w:hint="eastAsia" w:ascii="宋体" w:hAnsi="宋体" w:eastAsia="宋体" w:cs="宋体"/>
                <w:snapToGrid w:val="0"/>
                <w:color w:val="000000"/>
                <w:spacing w:val="7"/>
                <w:kern w:val="0"/>
                <w:sz w:val="24"/>
                <w:szCs w:val="24"/>
              </w:rPr>
              <w:t>2023年1月1日</w:t>
            </w:r>
            <w:r>
              <w:rPr>
                <w:rFonts w:hint="eastAsia" w:ascii="宋体" w:hAnsi="宋体" w:eastAsia="宋体" w:cs="宋体"/>
                <w:snapToGrid w:val="0"/>
                <w:color w:val="000000"/>
                <w:spacing w:val="7"/>
                <w:kern w:val="0"/>
                <w:sz w:val="24"/>
                <w:szCs w:val="24"/>
                <w:lang w:eastAsia="zh-CN"/>
              </w:rPr>
              <w:t>（</w:t>
            </w:r>
            <w:r>
              <w:rPr>
                <w:rFonts w:hint="eastAsia" w:ascii="宋体" w:hAnsi="宋体" w:eastAsia="宋体" w:cs="宋体"/>
                <w:snapToGrid w:val="0"/>
                <w:color w:val="000000"/>
                <w:spacing w:val="7"/>
                <w:kern w:val="0"/>
                <w:sz w:val="24"/>
                <w:szCs w:val="24"/>
                <w:lang w:val="en-US" w:eastAsia="zh-CN"/>
              </w:rPr>
              <w:t>含）</w:t>
            </w:r>
            <w:r>
              <w:rPr>
                <w:rFonts w:hint="eastAsia" w:ascii="宋体" w:hAnsi="宋体" w:eastAsia="宋体" w:cs="宋体"/>
                <w:snapToGrid w:val="0"/>
                <w:color w:val="000000"/>
                <w:spacing w:val="7"/>
                <w:kern w:val="0"/>
                <w:sz w:val="24"/>
                <w:szCs w:val="24"/>
              </w:rPr>
              <w:t>至招标公告发布之日止的</w:t>
            </w:r>
            <w:r>
              <w:rPr>
                <w:rFonts w:hint="eastAsia" w:ascii="宋体" w:hAnsi="宋体" w:eastAsia="宋体" w:cs="宋体"/>
                <w:snapToGrid w:val="0"/>
                <w:color w:val="000000"/>
                <w:spacing w:val="7"/>
                <w:kern w:val="0"/>
                <w:sz w:val="24"/>
                <w:szCs w:val="24"/>
                <w:lang w:val="en-US" w:eastAsia="zh-CN"/>
              </w:rPr>
              <w:t>安</w:t>
            </w:r>
            <w:r>
              <w:rPr>
                <w:rFonts w:hint="eastAsia" w:ascii="宋体" w:hAnsi="宋体" w:eastAsia="宋体" w:cs="宋体"/>
                <w:snapToGrid w:val="0"/>
                <w:color w:val="000000"/>
                <w:spacing w:val="7"/>
                <w:kern w:val="0"/>
                <w:sz w:val="24"/>
                <w:szCs w:val="24"/>
              </w:rPr>
              <w:t>防设施维护保养、维修</w:t>
            </w:r>
            <w:r>
              <w:rPr>
                <w:rFonts w:hint="eastAsia" w:ascii="宋体" w:hAnsi="宋体" w:eastAsia="宋体" w:cs="宋体"/>
                <w:snapToGrid w:val="0"/>
                <w:color w:val="000000"/>
                <w:spacing w:val="7"/>
                <w:kern w:val="0"/>
                <w:sz w:val="24"/>
                <w:szCs w:val="24"/>
                <w:lang w:val="en-US" w:eastAsia="zh-CN"/>
              </w:rPr>
              <w:t>等</w:t>
            </w:r>
            <w:r>
              <w:rPr>
                <w:rFonts w:hint="eastAsia" w:ascii="宋体" w:hAnsi="宋体" w:eastAsia="宋体" w:cs="宋体"/>
                <w:snapToGrid w:val="0"/>
                <w:color w:val="000000"/>
                <w:spacing w:val="7"/>
                <w:kern w:val="0"/>
                <w:sz w:val="24"/>
                <w:szCs w:val="24"/>
              </w:rPr>
              <w:t>类似项目业绩进行评分：供应商每提供一项得</w:t>
            </w:r>
            <w:r>
              <w:rPr>
                <w:rFonts w:hint="eastAsia" w:ascii="宋体" w:hAnsi="宋体" w:eastAsia="宋体" w:cs="宋体"/>
                <w:snapToGrid w:val="0"/>
                <w:color w:val="000000"/>
                <w:spacing w:val="7"/>
                <w:kern w:val="0"/>
                <w:sz w:val="24"/>
                <w:szCs w:val="24"/>
                <w:lang w:eastAsia="zh-CN"/>
              </w:rPr>
              <w:t>4</w:t>
            </w:r>
            <w:r>
              <w:rPr>
                <w:rFonts w:hint="eastAsia" w:ascii="宋体" w:hAnsi="宋体" w:eastAsia="宋体" w:cs="宋体"/>
                <w:snapToGrid w:val="0"/>
                <w:color w:val="000000"/>
                <w:spacing w:val="7"/>
                <w:kern w:val="0"/>
                <w:sz w:val="24"/>
                <w:szCs w:val="24"/>
              </w:rPr>
              <w:t>分，满分</w:t>
            </w:r>
            <w:r>
              <w:rPr>
                <w:rFonts w:hint="eastAsia" w:ascii="宋体" w:hAnsi="宋体" w:eastAsia="宋体" w:cs="宋体"/>
                <w:snapToGrid w:val="0"/>
                <w:color w:val="000000"/>
                <w:spacing w:val="7"/>
                <w:kern w:val="0"/>
                <w:sz w:val="24"/>
                <w:szCs w:val="24"/>
                <w:lang w:eastAsia="zh-CN"/>
              </w:rPr>
              <w:t>2</w:t>
            </w:r>
            <w:r>
              <w:rPr>
                <w:rFonts w:hint="eastAsia" w:ascii="宋体" w:hAnsi="宋体" w:eastAsia="宋体" w:cs="宋体"/>
                <w:snapToGrid w:val="0"/>
                <w:color w:val="000000"/>
                <w:spacing w:val="7"/>
                <w:kern w:val="0"/>
                <w:sz w:val="24"/>
                <w:szCs w:val="24"/>
                <w:lang w:val="en-US" w:eastAsia="zh-CN"/>
              </w:rPr>
              <w:t>0</w:t>
            </w:r>
            <w:r>
              <w:rPr>
                <w:rFonts w:hint="eastAsia" w:ascii="宋体" w:hAnsi="宋体" w:eastAsia="宋体" w:cs="宋体"/>
                <w:snapToGrid w:val="0"/>
                <w:color w:val="000000"/>
                <w:spacing w:val="7"/>
                <w:kern w:val="0"/>
                <w:sz w:val="24"/>
                <w:szCs w:val="24"/>
              </w:rPr>
              <w:t>分，未提供不得分。证明材料要求：每个合同须对应提供至少1张发票复印件（填写发票编号），或合同对应的银行转账结算证明材料。</w:t>
            </w:r>
          </w:p>
        </w:tc>
        <w:tc>
          <w:tcPr>
            <w:tcW w:w="1322" w:type="dxa"/>
            <w:noWrap w:val="0"/>
            <w:vAlign w:val="center"/>
          </w:tcPr>
          <w:p w14:paraId="616062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客观</w:t>
            </w:r>
          </w:p>
        </w:tc>
      </w:tr>
      <w:tr w14:paraId="130F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14:paraId="42FC0B53">
            <w:pPr>
              <w:keepNext w:val="0"/>
              <w:keepLines w:val="0"/>
              <w:pageBreakBefore w:val="0"/>
              <w:bidi w:val="0"/>
              <w:spacing w:line="360" w:lineRule="auto"/>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04" w:type="dxa"/>
            <w:noWrap w:val="0"/>
            <w:vAlign w:val="center"/>
          </w:tcPr>
          <w:p w14:paraId="258FB4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维保服务方案</w:t>
            </w:r>
          </w:p>
        </w:tc>
        <w:tc>
          <w:tcPr>
            <w:tcW w:w="538" w:type="dxa"/>
            <w:noWrap w:val="0"/>
            <w:vAlign w:val="center"/>
          </w:tcPr>
          <w:p w14:paraId="3E769F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40</w:t>
            </w:r>
          </w:p>
        </w:tc>
        <w:tc>
          <w:tcPr>
            <w:tcW w:w="4761" w:type="dxa"/>
            <w:noWrap w:val="0"/>
            <w:vAlign w:val="center"/>
          </w:tcPr>
          <w:p w14:paraId="228DF5A4">
            <w:pPr>
              <w:keepNext w:val="0"/>
              <w:keepLines w:val="0"/>
              <w:pageBreakBefore w:val="0"/>
              <w:bidi w:val="0"/>
              <w:spacing w:before="36" w:line="360" w:lineRule="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供应商根据项目规模、维保要求拟定维保服务工作计划及实施进度计划，分析项目的重点、难点问题，提供针对性的解决方案建议及思路，各专业论证充分，解决方案合理可行性，能提炼出较好的解决思路。服务工作质量控制有总目标，响应招标文件要求，对各分解目标提出相应的控制点，并提出相应的措施。以及与质量控制措施有关的其他措施内容结合项目实际并具有落实意义。消防安全评估服务进度及保证措施，进度计划满足要求，保证措施全面，合理。后期服务承诺完整、合理，承诺内容明确。</w:t>
            </w:r>
          </w:p>
          <w:p w14:paraId="3ADBA5AB">
            <w:pPr>
              <w:keepNext w:val="0"/>
              <w:keepLines w:val="0"/>
              <w:pageBreakBefore w:val="0"/>
              <w:bidi w:val="0"/>
              <w:spacing w:before="36" w:line="360" w:lineRule="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说明:全部内容应当针对本项目，若服务方案内容中出现：</w:t>
            </w:r>
          </w:p>
          <w:p w14:paraId="2984BF16">
            <w:pPr>
              <w:keepNext w:val="0"/>
              <w:keepLines w:val="0"/>
              <w:pageBreakBefore w:val="0"/>
              <w:bidi w:val="0"/>
              <w:spacing w:before="36" w:line="360" w:lineRule="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①项目名称、项目地址、项目类型、采购人单位名称等与招标文件采购需求不一致或无关的情况;</w:t>
            </w:r>
          </w:p>
          <w:p w14:paraId="7677DAAE">
            <w:pPr>
              <w:keepNext w:val="0"/>
              <w:keepLines w:val="0"/>
              <w:pageBreakBefore w:val="0"/>
              <w:bidi w:val="0"/>
              <w:spacing w:before="36" w:line="360" w:lineRule="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②技术要求中维护细则低于招标文件要求的情况;</w:t>
            </w:r>
          </w:p>
          <w:p w14:paraId="368F5453">
            <w:pPr>
              <w:keepNext w:val="0"/>
              <w:keepLines w:val="0"/>
              <w:pageBreakBefore w:val="0"/>
              <w:bidi w:val="0"/>
              <w:spacing w:before="36" w:line="360" w:lineRule="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③服务方案内容完全复制招标文件采购需求内容，未做进一步说明或阐述的情况；</w:t>
            </w:r>
          </w:p>
          <w:p w14:paraId="7EC792C3">
            <w:pPr>
              <w:keepNext w:val="0"/>
              <w:keepLines w:val="0"/>
              <w:pageBreakBefore w:val="0"/>
              <w:bidi w:val="0"/>
              <w:spacing w:before="36" w:line="360" w:lineRule="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④服务方案内容仅有方案标题，无说明或阐述的情况;</w:t>
            </w:r>
          </w:p>
          <w:p w14:paraId="5B098C71">
            <w:pPr>
              <w:keepNext w:val="0"/>
              <w:keepLines w:val="0"/>
              <w:pageBreakBefore w:val="0"/>
              <w:bidi w:val="0"/>
              <w:spacing w:before="36" w:line="360" w:lineRule="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⑤服务方案有漏缺项或描述错误或与采购需求前后矛盾的情况;</w:t>
            </w:r>
          </w:p>
          <w:p w14:paraId="3A4B6F01">
            <w:pPr>
              <w:keepNext w:val="0"/>
              <w:keepLines w:val="0"/>
              <w:pageBreakBefore w:val="0"/>
              <w:bidi w:val="0"/>
              <w:spacing w:before="36" w:line="360" w:lineRule="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⑥套用其他项目服务方案或服务方案内容与本项目无关的情况;</w:t>
            </w:r>
          </w:p>
          <w:p w14:paraId="127D3DD9">
            <w:pPr>
              <w:keepNext w:val="0"/>
              <w:keepLines w:val="0"/>
              <w:pageBreakBefore w:val="0"/>
              <w:bidi w:val="0"/>
              <w:spacing w:before="36" w:line="360" w:lineRule="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⑦服务方案中引用的法律法规、规范、标准、部门规章、政府部门通知、地方政策文件等已失效或已废止的；</w:t>
            </w:r>
          </w:p>
          <w:p w14:paraId="49679396">
            <w:pPr>
              <w:keepNext w:val="0"/>
              <w:keepLines w:val="0"/>
              <w:pageBreakBefore w:val="0"/>
              <w:bidi w:val="0"/>
              <w:spacing w:before="36" w:line="360" w:lineRule="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⑧不适用于本项目的情况等，以及不满足招标文件要求的；</w:t>
            </w:r>
          </w:p>
          <w:p w14:paraId="036FBCF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每有一处扣5分，40分扣完为止。</w:t>
            </w:r>
          </w:p>
        </w:tc>
        <w:tc>
          <w:tcPr>
            <w:tcW w:w="1322" w:type="dxa"/>
            <w:noWrap w:val="0"/>
            <w:vAlign w:val="center"/>
          </w:tcPr>
          <w:p w14:paraId="66AD69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vertAlign w:val="baseline"/>
                <w:lang w:val="en-US" w:eastAsia="zh-CN"/>
              </w:rPr>
              <w:t>主观分</w:t>
            </w:r>
          </w:p>
        </w:tc>
      </w:tr>
      <w:tr w14:paraId="5B42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799" w:type="dxa"/>
            <w:noWrap w:val="0"/>
            <w:vAlign w:val="center"/>
          </w:tcPr>
          <w:p w14:paraId="5988C025">
            <w:pPr>
              <w:keepNext w:val="0"/>
              <w:keepLines w:val="0"/>
              <w:pageBreakBefore w:val="0"/>
              <w:bidi w:val="0"/>
              <w:spacing w:line="360" w:lineRule="auto"/>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104" w:type="dxa"/>
            <w:noWrap w:val="0"/>
            <w:vAlign w:val="center"/>
          </w:tcPr>
          <w:p w14:paraId="58DC09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项目服务团队人员</w:t>
            </w:r>
          </w:p>
        </w:tc>
        <w:tc>
          <w:tcPr>
            <w:tcW w:w="538" w:type="dxa"/>
            <w:noWrap w:val="0"/>
            <w:vAlign w:val="center"/>
          </w:tcPr>
          <w:p w14:paraId="7BAC2B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14</w:t>
            </w:r>
          </w:p>
        </w:tc>
        <w:tc>
          <w:tcPr>
            <w:tcW w:w="4761" w:type="dxa"/>
            <w:noWrap w:val="0"/>
            <w:vAlign w:val="center"/>
          </w:tcPr>
          <w:p w14:paraId="410570CA">
            <w:pPr>
              <w:keepNext w:val="0"/>
              <w:keepLines w:val="0"/>
              <w:pageBreakBefore w:val="0"/>
              <w:widowControl/>
              <w:numPr>
                <w:ilvl w:val="0"/>
                <w:numId w:val="0"/>
              </w:numPr>
              <w:bidi w:val="0"/>
              <w:spacing w:line="360" w:lineRule="auto"/>
              <w:jc w:val="left"/>
              <w:textAlignment w:val="center"/>
              <w:rPr>
                <w:rFonts w:hint="eastAsia" w:ascii="宋体" w:hAnsi="宋体" w:eastAsia="宋体" w:cs="宋体"/>
                <w:snapToGrid w:val="0"/>
                <w:color w:val="000000"/>
                <w:spacing w:val="7"/>
                <w:kern w:val="0"/>
                <w:sz w:val="24"/>
                <w:szCs w:val="24"/>
              </w:rPr>
            </w:pP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应为本项目配备</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名</w:t>
            </w:r>
            <w:r>
              <w:rPr>
                <w:rFonts w:hint="eastAsia" w:ascii="宋体" w:hAnsi="宋体" w:eastAsia="宋体" w:cs="宋体"/>
                <w:color w:val="000000"/>
                <w:kern w:val="0"/>
                <w:sz w:val="24"/>
                <w:szCs w:val="24"/>
                <w:lang w:val="en-US" w:eastAsia="zh-CN" w:bidi="ar"/>
              </w:rPr>
              <w:t>维保（</w:t>
            </w:r>
            <w:r>
              <w:rPr>
                <w:rFonts w:hint="eastAsia" w:ascii="宋体" w:hAnsi="宋体" w:eastAsia="宋体" w:cs="宋体"/>
                <w:color w:val="000000"/>
                <w:kern w:val="0"/>
                <w:sz w:val="24"/>
                <w:szCs w:val="24"/>
                <w:lang w:bidi="ar"/>
              </w:rPr>
              <w:t>维修</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作业人员，维修作业人员需具备低压电工证，</w:t>
            </w: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提供的</w:t>
            </w:r>
            <w:r>
              <w:rPr>
                <w:rFonts w:hint="eastAsia" w:ascii="宋体" w:hAnsi="宋体" w:eastAsia="宋体" w:cs="宋体"/>
                <w:color w:val="000000"/>
                <w:kern w:val="0"/>
                <w:sz w:val="24"/>
                <w:szCs w:val="24"/>
                <w:lang w:val="en-US" w:eastAsia="zh-CN" w:bidi="ar"/>
              </w:rPr>
              <w:t>作业</w:t>
            </w:r>
            <w:r>
              <w:rPr>
                <w:rFonts w:hint="eastAsia" w:ascii="宋体" w:hAnsi="宋体" w:eastAsia="宋体" w:cs="宋体"/>
                <w:color w:val="000000"/>
                <w:kern w:val="0"/>
                <w:sz w:val="24"/>
                <w:szCs w:val="24"/>
                <w:lang w:bidi="ar"/>
              </w:rPr>
              <w:t>人员具备低压电工证的得</w:t>
            </w:r>
            <w:r>
              <w:rPr>
                <w:rFonts w:hint="eastAsia" w:ascii="宋体" w:hAnsi="宋体" w:eastAsia="宋体" w:cs="宋体"/>
                <w:color w:val="000000"/>
                <w:kern w:val="0"/>
                <w:sz w:val="24"/>
                <w:szCs w:val="24"/>
                <w:lang w:val="en-US" w:eastAsia="zh-CN" w:bidi="ar"/>
              </w:rPr>
              <w:t>2.8</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val="en-US" w:eastAsia="zh-CN" w:bidi="ar"/>
              </w:rPr>
              <w:t>/人</w:t>
            </w:r>
            <w:r>
              <w:rPr>
                <w:rFonts w:hint="eastAsia" w:ascii="宋体" w:hAnsi="宋体" w:eastAsia="宋体" w:cs="宋体"/>
                <w:color w:val="000000"/>
                <w:kern w:val="0"/>
                <w:sz w:val="24"/>
                <w:szCs w:val="24"/>
                <w:lang w:bidi="ar"/>
              </w:rPr>
              <w:t>，最多得</w:t>
            </w:r>
            <w:r>
              <w:rPr>
                <w:rFonts w:hint="eastAsia" w:ascii="宋体" w:hAnsi="宋体" w:eastAsia="宋体" w:cs="宋体"/>
                <w:color w:val="000000"/>
                <w:kern w:val="0"/>
                <w:sz w:val="24"/>
                <w:szCs w:val="24"/>
                <w:lang w:val="en-US" w:eastAsia="zh-CN" w:bidi="ar"/>
              </w:rPr>
              <w:t>14</w:t>
            </w:r>
            <w:r>
              <w:rPr>
                <w:rFonts w:hint="eastAsia" w:ascii="宋体" w:hAnsi="宋体" w:eastAsia="宋体" w:cs="宋体"/>
                <w:color w:val="000000"/>
                <w:kern w:val="0"/>
                <w:sz w:val="24"/>
                <w:szCs w:val="24"/>
                <w:lang w:bidi="ar"/>
              </w:rPr>
              <w:t>分。不具备和证明材料缺失或证明材料不符合要求不得分</w:t>
            </w:r>
            <w:r>
              <w:rPr>
                <w:rFonts w:hint="eastAsia" w:ascii="宋体" w:hAnsi="宋体" w:eastAsia="宋体" w:cs="宋体"/>
                <w:color w:val="000000"/>
                <w:kern w:val="0"/>
                <w:sz w:val="24"/>
                <w:szCs w:val="24"/>
                <w:lang w:eastAsia="zh-CN" w:bidi="ar"/>
              </w:rPr>
              <w:t>。</w:t>
            </w:r>
          </w:p>
          <w:p w14:paraId="3247D414">
            <w:pPr>
              <w:pStyle w:val="23"/>
              <w:keepNext w:val="0"/>
              <w:keepLines w:val="0"/>
              <w:pageBreakBefore w:val="0"/>
              <w:widowControl/>
              <w:kinsoku w:val="0"/>
              <w:autoSpaceDE w:val="0"/>
              <w:autoSpaceDN w:val="0"/>
              <w:bidi w:val="0"/>
              <w:adjustRightInd w:val="0"/>
              <w:snapToGrid w:val="0"/>
              <w:spacing w:before="36" w:line="360" w:lineRule="auto"/>
              <w:ind w:left="15" w:leftChars="0" w:right="2" w:rightChars="0"/>
              <w:jc w:val="left"/>
              <w:textAlignment w:val="baseline"/>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注</w:t>
            </w:r>
            <w:r>
              <w:rPr>
                <w:rFonts w:hint="eastAsia" w:ascii="宋体" w:hAnsi="宋体" w:eastAsia="宋体" w:cs="宋体"/>
                <w:color w:val="000000"/>
                <w:kern w:val="0"/>
                <w:sz w:val="24"/>
                <w:szCs w:val="24"/>
                <w:lang w:eastAsia="zh-CN" w:bidi="ar"/>
              </w:rPr>
              <w:t>：提供人员身份证、证书扫描件及近6个月社保证明。</w:t>
            </w:r>
          </w:p>
        </w:tc>
        <w:tc>
          <w:tcPr>
            <w:tcW w:w="1322" w:type="dxa"/>
            <w:noWrap w:val="0"/>
            <w:vAlign w:val="center"/>
          </w:tcPr>
          <w:p w14:paraId="6E050A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客观</w:t>
            </w:r>
          </w:p>
        </w:tc>
      </w:tr>
      <w:tr w14:paraId="66DA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14:paraId="648D06C4">
            <w:pPr>
              <w:keepNext w:val="0"/>
              <w:keepLines w:val="0"/>
              <w:pageBreakBefore w:val="0"/>
              <w:bidi w:val="0"/>
              <w:spacing w:line="360" w:lineRule="auto"/>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104" w:type="dxa"/>
            <w:noWrap w:val="0"/>
            <w:vAlign w:val="center"/>
          </w:tcPr>
          <w:p w14:paraId="18AC9F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lang w:val="en-US" w:eastAsia="zh-CN"/>
              </w:rPr>
              <w:t>资源配置</w:t>
            </w:r>
          </w:p>
        </w:tc>
        <w:tc>
          <w:tcPr>
            <w:tcW w:w="538" w:type="dxa"/>
            <w:noWrap w:val="0"/>
            <w:vAlign w:val="center"/>
          </w:tcPr>
          <w:p w14:paraId="606F46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6</w:t>
            </w:r>
          </w:p>
        </w:tc>
        <w:tc>
          <w:tcPr>
            <w:tcW w:w="4761" w:type="dxa"/>
            <w:noWrap w:val="0"/>
            <w:vAlign w:val="center"/>
          </w:tcPr>
          <w:p w14:paraId="2F11EE44">
            <w:pPr>
              <w:pStyle w:val="23"/>
              <w:keepNext w:val="0"/>
              <w:keepLines w:val="0"/>
              <w:pageBreakBefore w:val="0"/>
              <w:widowControl/>
              <w:numPr>
                <w:ilvl w:val="0"/>
                <w:numId w:val="0"/>
              </w:numPr>
              <w:kinsoku w:val="0"/>
              <w:autoSpaceDE w:val="0"/>
              <w:autoSpaceDN w:val="0"/>
              <w:bidi w:val="0"/>
              <w:adjustRightInd w:val="0"/>
              <w:snapToGrid w:val="0"/>
              <w:spacing w:before="36" w:line="360" w:lineRule="auto"/>
              <w:ind w:left="0" w:right="2"/>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1.供应商为本项目配备服务车辆，每提供1辆得2分，最多得4分，证明材料要求：</w:t>
            </w:r>
          </w:p>
          <w:p w14:paraId="122F37CE">
            <w:pPr>
              <w:pStyle w:val="23"/>
              <w:keepNext w:val="0"/>
              <w:keepLines w:val="0"/>
              <w:pageBreakBefore w:val="0"/>
              <w:widowControl/>
              <w:numPr>
                <w:ilvl w:val="0"/>
                <w:numId w:val="0"/>
              </w:numPr>
              <w:kinsoku w:val="0"/>
              <w:autoSpaceDE w:val="0"/>
              <w:autoSpaceDN w:val="0"/>
              <w:bidi w:val="0"/>
              <w:adjustRightInd w:val="0"/>
              <w:snapToGrid w:val="0"/>
              <w:spacing w:before="36" w:line="360" w:lineRule="auto"/>
              <w:ind w:left="0" w:right="2"/>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rPr>
              <w:t>①</w:t>
            </w:r>
            <w:r>
              <w:rPr>
                <w:rFonts w:hint="eastAsia" w:ascii="宋体" w:hAnsi="宋体" w:eastAsia="宋体" w:cs="宋体"/>
                <w:snapToGrid w:val="0"/>
                <w:color w:val="000000"/>
                <w:spacing w:val="7"/>
                <w:kern w:val="0"/>
                <w:sz w:val="24"/>
                <w:szCs w:val="24"/>
                <w:lang w:val="en-US" w:eastAsia="zh-CN"/>
              </w:rPr>
              <w:t>提供车辆行驶证（登记为公司所有）或车辆购买发票；</w:t>
            </w:r>
          </w:p>
          <w:p w14:paraId="11EA8C88">
            <w:pPr>
              <w:pStyle w:val="23"/>
              <w:keepNext w:val="0"/>
              <w:keepLines w:val="0"/>
              <w:pageBreakBefore w:val="0"/>
              <w:widowControl/>
              <w:numPr>
                <w:ilvl w:val="0"/>
                <w:numId w:val="0"/>
              </w:numPr>
              <w:kinsoku w:val="0"/>
              <w:autoSpaceDE w:val="0"/>
              <w:autoSpaceDN w:val="0"/>
              <w:bidi w:val="0"/>
              <w:adjustRightInd w:val="0"/>
              <w:snapToGrid w:val="0"/>
              <w:spacing w:before="36" w:line="360" w:lineRule="auto"/>
              <w:ind w:left="0" w:right="2"/>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rPr>
              <w:t>②</w:t>
            </w:r>
            <w:r>
              <w:rPr>
                <w:rFonts w:hint="eastAsia" w:ascii="宋体" w:hAnsi="宋体" w:eastAsia="宋体" w:cs="宋体"/>
                <w:snapToGrid w:val="0"/>
                <w:color w:val="000000"/>
                <w:spacing w:val="7"/>
                <w:kern w:val="0"/>
                <w:sz w:val="24"/>
                <w:szCs w:val="24"/>
                <w:lang w:val="en-US" w:eastAsia="zh-CN"/>
              </w:rPr>
              <w:t>无自有车辆的，可提供有效期内的车辆租赁合同+租赁发票作为有效证明。</w:t>
            </w:r>
          </w:p>
          <w:p w14:paraId="542A888F">
            <w:pPr>
              <w:pStyle w:val="23"/>
              <w:keepNext w:val="0"/>
              <w:keepLines w:val="0"/>
              <w:pageBreakBefore w:val="0"/>
              <w:widowControl/>
              <w:numPr>
                <w:ilvl w:val="0"/>
                <w:numId w:val="0"/>
              </w:numPr>
              <w:kinsoku w:val="0"/>
              <w:autoSpaceDE w:val="0"/>
              <w:autoSpaceDN w:val="0"/>
              <w:bidi w:val="0"/>
              <w:adjustRightInd w:val="0"/>
              <w:snapToGrid w:val="0"/>
              <w:spacing w:before="36" w:line="360" w:lineRule="auto"/>
              <w:ind w:right="2" w:rightChars="0"/>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2.供应商为本项目配备必要的机具设备确保项目整体顺利实施。提供设备清单得1分。</w:t>
            </w:r>
          </w:p>
          <w:p w14:paraId="74D6C0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lang w:val="en-US" w:eastAsia="zh-CN"/>
              </w:rPr>
              <w:t>3.供应商为本项目提供增值服务项，得1分。</w:t>
            </w:r>
          </w:p>
        </w:tc>
        <w:tc>
          <w:tcPr>
            <w:tcW w:w="1322" w:type="dxa"/>
            <w:noWrap w:val="0"/>
            <w:vAlign w:val="center"/>
          </w:tcPr>
          <w:p w14:paraId="76BE88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客观</w:t>
            </w:r>
          </w:p>
        </w:tc>
      </w:tr>
    </w:tbl>
    <w:p w14:paraId="6A5BC28B">
      <w:pPr>
        <w:keepNext w:val="0"/>
        <w:keepLines w:val="0"/>
        <w:pageBreakBefore w:val="0"/>
        <w:bidi w:val="0"/>
        <w:spacing w:line="360" w:lineRule="auto"/>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b/>
          <w:bCs/>
          <w:color w:val="auto"/>
          <w:kern w:val="0"/>
          <w:sz w:val="24"/>
          <w:szCs w:val="24"/>
          <w:highlight w:val="none"/>
          <w:u w:val="single"/>
          <w:lang w:val="en-US" w:eastAsia="zh-CN"/>
        </w:rPr>
        <w:br w:type="page"/>
      </w:r>
    </w:p>
    <w:p w14:paraId="31FE6D5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附件2 主要表格格式</w:t>
      </w:r>
    </w:p>
    <w:p w14:paraId="484BA29E">
      <w:pPr>
        <w:pStyle w:val="11"/>
        <w:keepNext w:val="0"/>
        <w:keepLines w:val="0"/>
        <w:pageBreakBefore w:val="0"/>
        <w:bidi w:val="0"/>
        <w:spacing w:line="360" w:lineRule="auto"/>
        <w:jc w:val="left"/>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b/>
          <w:bCs/>
          <w:color w:val="auto"/>
          <w:kern w:val="0"/>
          <w:sz w:val="24"/>
          <w:szCs w:val="24"/>
          <w:highlight w:val="none"/>
          <w:u w:val="single"/>
          <w:lang w:val="en-US" w:eastAsia="zh-CN"/>
        </w:rPr>
        <w:t>2-1</w:t>
      </w:r>
    </w:p>
    <w:p w14:paraId="460AA6EB">
      <w:pPr>
        <w:keepNext w:val="0"/>
        <w:keepLines w:val="0"/>
        <w:pageBreakBefore w:val="0"/>
        <w:bidi w:val="0"/>
        <w:spacing w:line="360" w:lineRule="auto"/>
        <w:rPr>
          <w:rFonts w:hint="eastAsia" w:ascii="宋体" w:hAnsi="宋体" w:eastAsia="宋体" w:cs="宋体"/>
          <w:b/>
          <w:bCs/>
          <w:color w:val="auto"/>
          <w:kern w:val="0"/>
          <w:sz w:val="24"/>
          <w:szCs w:val="24"/>
          <w:highlight w:val="none"/>
          <w:u w:val="single"/>
          <w:lang w:val="en-US" w:eastAsia="zh-CN"/>
        </w:rPr>
      </w:pPr>
    </w:p>
    <w:p w14:paraId="13552E91">
      <w:pPr>
        <w:pStyle w:val="11"/>
        <w:keepNext w:val="0"/>
        <w:keepLines w:val="0"/>
        <w:pageBreakBefore w:val="0"/>
        <w:bidi w:val="0"/>
        <w:spacing w:line="360" w:lineRule="auto"/>
        <w:rPr>
          <w:rFonts w:hint="eastAsia" w:ascii="宋体" w:hAnsi="宋体" w:eastAsia="宋体" w:cs="宋体"/>
          <w:sz w:val="24"/>
          <w:szCs w:val="24"/>
          <w:lang w:val="en-US" w:eastAsia="zh-CN"/>
        </w:rPr>
      </w:pP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13728087">
      <w:pPr>
        <w:pStyle w:val="5"/>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eastAsia="宋体" w:cs="宋体"/>
          <w:color w:val="auto"/>
          <w:kern w:val="0"/>
          <w:sz w:val="24"/>
          <w:szCs w:val="24"/>
          <w:highlight w:val="none"/>
          <w:lang w:val="en-US" w:eastAsia="zh-CN"/>
        </w:rPr>
        <w:t>（一次）</w:t>
      </w:r>
    </w:p>
    <w:tbl>
      <w:tblPr>
        <w:tblStyle w:val="24"/>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1"/>
        <w:gridCol w:w="2662"/>
        <w:gridCol w:w="3800"/>
      </w:tblGrid>
      <w:tr w14:paraId="04E7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811" w:type="dxa"/>
            <w:vAlign w:val="top"/>
          </w:tcPr>
          <w:p w14:paraId="3466F747">
            <w:pPr>
              <w:pStyle w:val="23"/>
              <w:keepNext w:val="0"/>
              <w:keepLines w:val="0"/>
              <w:pageBreakBefore w:val="0"/>
              <w:widowControl w:val="0"/>
              <w:kinsoku/>
              <w:wordWrap/>
              <w:overflowPunct/>
              <w:topLinePunct w:val="0"/>
              <w:autoSpaceDE/>
              <w:autoSpaceDN/>
              <w:bidi w:val="0"/>
              <w:adjustRightInd/>
              <w:snapToGrid w:val="0"/>
              <w:spacing w:before="134" w:line="36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662" w:type="dxa"/>
            <w:vAlign w:val="top"/>
          </w:tcPr>
          <w:p w14:paraId="23692452">
            <w:pPr>
              <w:pStyle w:val="23"/>
              <w:keepNext w:val="0"/>
              <w:keepLines w:val="0"/>
              <w:pageBreakBefore w:val="0"/>
              <w:widowControl w:val="0"/>
              <w:kinsoku/>
              <w:wordWrap/>
              <w:overflowPunct/>
              <w:topLinePunct w:val="0"/>
              <w:autoSpaceDE/>
              <w:autoSpaceDN/>
              <w:bidi w:val="0"/>
              <w:adjustRightInd/>
              <w:snapToGrid w:val="0"/>
              <w:spacing w:before="134" w:line="36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名称</w:t>
            </w:r>
          </w:p>
        </w:tc>
        <w:tc>
          <w:tcPr>
            <w:tcW w:w="3800" w:type="dxa"/>
            <w:vAlign w:val="top"/>
          </w:tcPr>
          <w:p w14:paraId="23D80D70">
            <w:pPr>
              <w:pStyle w:val="23"/>
              <w:keepNext w:val="0"/>
              <w:keepLines w:val="0"/>
              <w:pageBreakBefore w:val="0"/>
              <w:widowControl w:val="0"/>
              <w:kinsoku/>
              <w:wordWrap/>
              <w:overflowPunct/>
              <w:topLinePunct w:val="0"/>
              <w:autoSpaceDE/>
              <w:autoSpaceDN/>
              <w:bidi w:val="0"/>
              <w:adjustRightInd/>
              <w:snapToGrid w:val="0"/>
              <w:spacing w:before="134" w:line="360" w:lineRule="auto"/>
              <w:ind w:left="18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万元/年</w:t>
            </w:r>
            <w:r>
              <w:rPr>
                <w:rFonts w:hint="eastAsia" w:ascii="宋体" w:hAnsi="宋体" w:eastAsia="宋体" w:cs="宋体"/>
                <w:sz w:val="24"/>
                <w:szCs w:val="24"/>
                <w:lang w:val="en-US" w:eastAsia="zh-CN"/>
              </w:rPr>
              <w:t>）</w:t>
            </w:r>
          </w:p>
        </w:tc>
      </w:tr>
      <w:tr w14:paraId="0AB4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811" w:type="dxa"/>
            <w:vAlign w:val="top"/>
          </w:tcPr>
          <w:p w14:paraId="13FF5E04">
            <w:pPr>
              <w:pStyle w:val="20"/>
              <w:keepNext w:val="0"/>
              <w:keepLines w:val="0"/>
              <w:pageBreakBefore w:val="0"/>
              <w:numPr>
                <w:ilvl w:val="0"/>
                <w:numId w:val="0"/>
              </w:numPr>
              <w:bidi w:val="0"/>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62" w:type="dxa"/>
            <w:shd w:val="clear" w:color="auto" w:fill="FFFFFF" w:themeFill="background1"/>
            <w:vAlign w:val="top"/>
          </w:tcPr>
          <w:p w14:paraId="69A1D446">
            <w:pPr>
              <w:pStyle w:val="20"/>
              <w:keepNext w:val="0"/>
              <w:keepLines w:val="0"/>
              <w:pageBreakBefore w:val="0"/>
              <w:numPr>
                <w:ilvl w:val="0"/>
                <w:numId w:val="0"/>
              </w:numPr>
              <w:bidi w:val="0"/>
              <w:spacing w:line="360" w:lineRule="auto"/>
              <w:ind w:leftChars="0"/>
              <w:jc w:val="center"/>
              <w:rPr>
                <w:rFonts w:hint="eastAsia" w:ascii="宋体" w:hAnsi="宋体" w:eastAsia="宋体" w:cs="宋体"/>
                <w:sz w:val="24"/>
                <w:szCs w:val="24"/>
                <w:lang w:val="en-US" w:eastAsia="zh-CN"/>
              </w:rPr>
            </w:pPr>
          </w:p>
        </w:tc>
        <w:tc>
          <w:tcPr>
            <w:tcW w:w="3800" w:type="dxa"/>
            <w:shd w:val="clear" w:color="auto" w:fill="FFFFFF" w:themeFill="background1"/>
            <w:vAlign w:val="center"/>
          </w:tcPr>
          <w:p w14:paraId="4987E0C3">
            <w:pPr>
              <w:pStyle w:val="23"/>
              <w:keepNext w:val="0"/>
              <w:keepLines w:val="0"/>
              <w:pageBreakBefore w:val="0"/>
              <w:widowControl w:val="0"/>
              <w:kinsoku/>
              <w:wordWrap/>
              <w:overflowPunct/>
              <w:topLinePunct w:val="0"/>
              <w:autoSpaceDE/>
              <w:autoSpaceDN/>
              <w:bidi w:val="0"/>
              <w:adjustRightInd/>
              <w:snapToGrid w:val="0"/>
              <w:spacing w:before="33" w:line="360" w:lineRule="auto"/>
              <w:ind w:left="41" w:right="56"/>
              <w:jc w:val="center"/>
              <w:textAlignment w:val="auto"/>
              <w:rPr>
                <w:rFonts w:hint="eastAsia" w:ascii="宋体" w:hAnsi="宋体" w:eastAsia="宋体" w:cs="宋体"/>
                <w:sz w:val="24"/>
                <w:szCs w:val="24"/>
                <w:lang w:val="en-US" w:eastAsia="zh-CN"/>
              </w:rPr>
            </w:pPr>
          </w:p>
        </w:tc>
      </w:tr>
    </w:tbl>
    <w:p w14:paraId="565E5CCA">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1B36826E">
      <w:pPr>
        <w:keepNext w:val="0"/>
        <w:keepLines w:val="0"/>
        <w:pageBreakBefore w:val="0"/>
        <w:widowControl/>
        <w:numPr>
          <w:ilvl w:val="0"/>
          <w:numId w:val="3"/>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3"/>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eastAsia="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60C3A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3EDCA4A4">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outlineLvl w:val="9"/>
        <w:rPr>
          <w:rFonts w:hint="eastAsia" w:ascii="宋体" w:hAnsi="宋体" w:eastAsia="宋体" w:cs="宋体"/>
          <w:color w:val="auto"/>
          <w:kern w:val="0"/>
          <w:sz w:val="24"/>
          <w:szCs w:val="24"/>
          <w:highlight w:val="none"/>
        </w:rPr>
      </w:pPr>
    </w:p>
    <w:p w14:paraId="7DEAA9FB">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9"/>
        <w:rPr>
          <w:rFonts w:hint="eastAsia" w:ascii="宋体" w:hAnsi="宋体" w:eastAsia="宋体" w:cs="宋体"/>
          <w:b/>
          <w:bCs w:val="0"/>
          <w:color w:val="auto"/>
          <w:sz w:val="24"/>
          <w:szCs w:val="24"/>
          <w:highlight w:val="none"/>
          <w:lang w:val="zh-CN"/>
        </w:rPr>
      </w:pPr>
    </w:p>
    <w:p w14:paraId="4F26218B">
      <w:pPr>
        <w:pStyle w:val="5"/>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454EB094">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52D3A390">
      <w:pPr>
        <w:rPr>
          <w:rFonts w:hint="eastAsia" w:ascii="宋体" w:hAnsi="宋体" w:eastAsia="宋体" w:cs="宋体"/>
          <w:b/>
          <w:bCs/>
          <w:color w:val="auto"/>
          <w:sz w:val="24"/>
          <w:szCs w:val="24"/>
          <w:lang w:val="en-US" w:eastAsia="zh-CN"/>
        </w:rPr>
      </w:pPr>
    </w:p>
    <w:p w14:paraId="290F76CB">
      <w:pPr>
        <w:rPr>
          <w:rFonts w:hint="eastAsia" w:ascii="宋体" w:hAnsi="宋体" w:eastAsia="宋体" w:cs="宋体"/>
          <w:b/>
          <w:bCs/>
          <w:color w:val="auto"/>
          <w:sz w:val="24"/>
          <w:szCs w:val="24"/>
          <w:lang w:val="en-US" w:eastAsia="zh-CN"/>
        </w:rPr>
      </w:pPr>
    </w:p>
    <w:p w14:paraId="56F91EC9">
      <w:pPr>
        <w:rPr>
          <w:rFonts w:hint="eastAsia" w:ascii="宋体" w:hAnsi="宋体" w:eastAsia="宋体" w:cs="宋体"/>
          <w:b/>
          <w:bCs/>
          <w:color w:val="auto"/>
          <w:sz w:val="24"/>
          <w:szCs w:val="24"/>
          <w:lang w:val="en-US" w:eastAsia="zh-CN"/>
        </w:rPr>
      </w:pPr>
    </w:p>
    <w:p w14:paraId="6D7C643B">
      <w:pPr>
        <w:rPr>
          <w:rFonts w:hint="eastAsia" w:ascii="宋体" w:hAnsi="宋体" w:eastAsia="宋体" w:cs="宋体"/>
          <w:b/>
          <w:bCs/>
          <w:color w:val="auto"/>
          <w:sz w:val="24"/>
          <w:szCs w:val="24"/>
          <w:lang w:val="en-US" w:eastAsia="zh-CN"/>
        </w:rPr>
      </w:pPr>
    </w:p>
    <w:p w14:paraId="5CE3EFBD">
      <w:pPr>
        <w:rPr>
          <w:rFonts w:hint="eastAsia" w:ascii="宋体" w:hAnsi="宋体" w:eastAsia="宋体" w:cs="宋体"/>
          <w:b/>
          <w:bCs/>
          <w:color w:val="auto"/>
          <w:sz w:val="24"/>
          <w:szCs w:val="24"/>
          <w:lang w:val="en-US" w:eastAsia="zh-CN"/>
        </w:rPr>
      </w:pPr>
    </w:p>
    <w:p w14:paraId="4101C4DE">
      <w:pPr>
        <w:rPr>
          <w:rFonts w:hint="eastAsia" w:ascii="宋体" w:hAnsi="宋体" w:eastAsia="宋体" w:cs="宋体"/>
          <w:b/>
          <w:bCs/>
          <w:color w:val="auto"/>
          <w:sz w:val="24"/>
          <w:szCs w:val="24"/>
          <w:lang w:val="en-US" w:eastAsia="zh-CN"/>
        </w:rPr>
      </w:pPr>
    </w:p>
    <w:p w14:paraId="3392294D">
      <w:pPr>
        <w:rPr>
          <w:rFonts w:hint="eastAsia" w:ascii="宋体" w:hAnsi="宋体" w:eastAsia="宋体" w:cs="宋体"/>
          <w:b/>
          <w:bCs/>
          <w:color w:val="auto"/>
          <w:sz w:val="24"/>
          <w:szCs w:val="24"/>
          <w:lang w:val="en-US" w:eastAsia="zh-CN"/>
        </w:rPr>
      </w:pPr>
    </w:p>
    <w:p w14:paraId="2F6E3DAE">
      <w:pPr>
        <w:rPr>
          <w:rFonts w:hint="eastAsia" w:ascii="宋体" w:hAnsi="宋体" w:eastAsia="宋体" w:cs="宋体"/>
          <w:b/>
          <w:bCs/>
          <w:color w:val="auto"/>
          <w:sz w:val="24"/>
          <w:szCs w:val="24"/>
          <w:lang w:val="en-US" w:eastAsia="zh-CN"/>
        </w:rPr>
      </w:pPr>
    </w:p>
    <w:p w14:paraId="00402BA2">
      <w:pPr>
        <w:rPr>
          <w:rFonts w:hint="eastAsia" w:ascii="宋体" w:hAnsi="宋体" w:eastAsia="宋体" w:cs="宋体"/>
          <w:b/>
          <w:bCs/>
          <w:color w:val="auto"/>
          <w:sz w:val="24"/>
          <w:szCs w:val="24"/>
          <w:lang w:val="en-US" w:eastAsia="zh-CN"/>
        </w:rPr>
      </w:pPr>
    </w:p>
    <w:p w14:paraId="0E8CC696">
      <w:pPr>
        <w:pStyle w:val="11"/>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w:t>
      </w:r>
    </w:p>
    <w:p w14:paraId="12140B34">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BACB4CB">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79B5FFFC">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B84FD2A">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357DA84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名称）</w:t>
      </w:r>
      <w:r>
        <w:rPr>
          <w:rFonts w:hint="eastAsia" w:ascii="宋体" w:hAnsi="宋体" w:eastAsia="宋体" w:cs="宋体"/>
          <w:color w:val="auto"/>
          <w:sz w:val="24"/>
          <w:szCs w:val="24"/>
          <w:highlight w:val="none"/>
          <w:u w:val="single"/>
          <w:lang w:val="zh-CN"/>
        </w:rPr>
        <w:t xml:space="preserve">           </w:t>
      </w:r>
    </w:p>
    <w:p w14:paraId="073637B8">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活动的合法代表，以我方名义全权处理该项目有关</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rPr>
        <w:t>、签订合同以及执行合同等一切事宜。</w:t>
      </w:r>
    </w:p>
    <w:p w14:paraId="1AB1C9D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57D4A9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6924D734">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13C63B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D0514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9E4E804">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7F3B628A">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22BD3FD">
      <w:pPr>
        <w:keepNext w:val="0"/>
        <w:keepLines w:val="0"/>
        <w:pageBreakBefore w:val="0"/>
        <w:numPr>
          <w:ilvl w:val="0"/>
          <w:numId w:val="4"/>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40C0987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7E42ADD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2CC934E3">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73A5454D">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588EB54">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62FE7720">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A8E91F7">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4A1610F8">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555F6747">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3ED18CDE">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3697B3">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w:t>
      </w:r>
    </w:p>
    <w:p w14:paraId="4CB1D8BE">
      <w:pPr>
        <w:pStyle w:val="25"/>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 xml:space="preserve">）具有履行合同所必需的设备和专业技术能力；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 xml:space="preserve">）有依法缴纳税收和社会保障资金的良好记录； </w:t>
      </w:r>
    </w:p>
    <w:p w14:paraId="7938B6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）参加采购活动前三年内，在经营活动中没有重大违法记录；</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）法律、行政法规规定的其他条件；</w:t>
      </w:r>
    </w:p>
    <w:p w14:paraId="00B5BC38">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具有良好的商业信誉</w:t>
      </w:r>
      <w:r>
        <w:rPr>
          <w:rFonts w:hint="eastAsia" w:ascii="宋体" w:hAnsi="宋体" w:eastAsia="宋体" w:cs="宋体"/>
          <w:sz w:val="24"/>
          <w:szCs w:val="24"/>
          <w:lang w:eastAsia="zh-CN"/>
        </w:rPr>
        <w:t>；</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eastAsia="zh-CN"/>
        </w:rPr>
        <w:t>采购文件</w:t>
      </w:r>
      <w:r>
        <w:rPr>
          <w:rFonts w:hint="eastAsia" w:ascii="宋体" w:hAnsi="宋体" w:eastAsia="宋体" w:cs="宋体"/>
          <w:sz w:val="24"/>
          <w:szCs w:val="24"/>
        </w:rPr>
        <w:t>中规定的实质性要求，如对</w:t>
      </w:r>
      <w:r>
        <w:rPr>
          <w:rFonts w:hint="eastAsia" w:ascii="宋体" w:hAnsi="宋体" w:eastAsia="宋体" w:cs="宋体"/>
          <w:sz w:val="24"/>
          <w:szCs w:val="24"/>
          <w:lang w:eastAsia="zh-CN"/>
        </w:rPr>
        <w:t>采购文件</w:t>
      </w:r>
      <w:r>
        <w:rPr>
          <w:rFonts w:hint="eastAsia" w:ascii="宋体" w:hAnsi="宋体" w:eastAsia="宋体" w:cs="宋体"/>
          <w:sz w:val="24"/>
          <w:szCs w:val="24"/>
        </w:rPr>
        <w:t>有异议，已经在</w:t>
      </w:r>
      <w:r>
        <w:rPr>
          <w:rFonts w:hint="eastAsia" w:ascii="宋体" w:hAnsi="宋体" w:eastAsia="宋体" w:cs="宋体"/>
          <w:sz w:val="24"/>
          <w:szCs w:val="24"/>
          <w:lang w:val="en-US" w:eastAsia="zh-CN"/>
        </w:rPr>
        <w:t>采购文件递交</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eastAsia="zh-CN"/>
        </w:rPr>
        <w:t>采购文件</w:t>
      </w:r>
      <w:r>
        <w:rPr>
          <w:rFonts w:hint="eastAsia" w:ascii="宋体" w:hAnsi="宋体" w:eastAsia="宋体" w:cs="宋体"/>
          <w:sz w:val="24"/>
          <w:szCs w:val="24"/>
        </w:rPr>
        <w:t>有异议的同时又参加</w:t>
      </w:r>
      <w:r>
        <w:rPr>
          <w:rFonts w:hint="eastAsia" w:ascii="宋体" w:hAnsi="宋体" w:eastAsia="宋体" w:cs="宋体"/>
          <w:sz w:val="24"/>
          <w:szCs w:val="24"/>
          <w:lang w:val="en-US" w:eastAsia="zh-CN"/>
        </w:rPr>
        <w:t>投标</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三、参加本次采购活动，不存在与单位负责人为同一人或者存在直接控股、管理关系的其他供应商参与同一合同项下的采购活动的行为。本单位未参与本采购项目前期咨询论证，不属于禁止参加本项目的供应商。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8"/>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118589D1">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386E75D8">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6C693179">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072712F3">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03B36D5D">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7C320732">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667FC529">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47D7AB3D">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24C86789">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736DA2CE">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50A64DBD">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1F101556">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0D20E76E">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5BF9197F">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14939301">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4686DD64">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64182F62">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4445A243">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067404E4">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5601EE2F">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2820F7BC">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30AD2115">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0D58D298">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2DE7667B">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77B7DCA7">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p>
    <w:p w14:paraId="7EFEC370">
      <w:pPr>
        <w:keepNext w:val="0"/>
        <w:keepLines w:val="0"/>
        <w:pageBreakBefore w:val="0"/>
        <w:bidi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w:t>
      </w:r>
    </w:p>
    <w:p w14:paraId="2C99F8BC">
      <w:pPr>
        <w:pStyle w:val="13"/>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3"/>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p>
    <w:p w14:paraId="3C675641">
      <w:pPr>
        <w:pStyle w:val="13"/>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p>
    <w:tbl>
      <w:tblPr>
        <w:tblStyle w:val="16"/>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p>
        </w:tc>
      </w:tr>
    </w:tbl>
    <w:p w14:paraId="11A3205D">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供应商名称：（盖章）</w:t>
      </w:r>
    </w:p>
    <w:p w14:paraId="2B8BAC31">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62842103">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4D7D022F">
      <w:pPr>
        <w:keepNext w:val="0"/>
        <w:keepLines w:val="0"/>
        <w:pageBreakBefore w:val="0"/>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FF3224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附件3 《响应文件》装订顺序</w:t>
      </w:r>
    </w:p>
    <w:p w14:paraId="5DBF711E">
      <w:pPr>
        <w:pStyle w:val="5"/>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5"/>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47446317">
      <w:pPr>
        <w:keepNext w:val="0"/>
        <w:keepLines w:val="0"/>
        <w:pageBreakBefore w:val="0"/>
        <w:numPr>
          <w:ilvl w:val="0"/>
          <w:numId w:val="5"/>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7A4585C3">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5"/>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27DC545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63323F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45AACA9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FCBB3D2">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E837F1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8A1D78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35FF47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4AE44F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3A0F4510">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46F60BAF">
      <w:pPr>
        <w:rPr>
          <w:rFonts w:hint="eastAsia" w:ascii="宋体" w:hAnsi="宋体" w:eastAsia="宋体" w:cs="宋体"/>
          <w:b w:val="0"/>
          <w:i w:val="0"/>
          <w:caps w:val="0"/>
          <w:color w:val="auto"/>
          <w:spacing w:val="0"/>
          <w:w w:val="100"/>
          <w:sz w:val="24"/>
          <w:szCs w:val="24"/>
          <w:highlight w:val="none"/>
        </w:rPr>
      </w:pPr>
    </w:p>
    <w:p w14:paraId="48180620">
      <w:pPr>
        <w:rPr>
          <w:rFonts w:hint="eastAsia" w:ascii="宋体" w:hAnsi="宋体" w:eastAsia="宋体" w:cs="宋体"/>
          <w:b w:val="0"/>
          <w:i w:val="0"/>
          <w:caps w:val="0"/>
          <w:color w:val="auto"/>
          <w:spacing w:val="0"/>
          <w:w w:val="100"/>
          <w:sz w:val="24"/>
          <w:szCs w:val="24"/>
          <w:highlight w:val="none"/>
        </w:rPr>
      </w:pPr>
    </w:p>
    <w:p w14:paraId="594D911A">
      <w:pPr>
        <w:rPr>
          <w:rFonts w:hint="eastAsia" w:ascii="宋体" w:hAnsi="宋体" w:eastAsia="宋体" w:cs="宋体"/>
          <w:b w:val="0"/>
          <w:i w:val="0"/>
          <w:caps w:val="0"/>
          <w:color w:val="auto"/>
          <w:spacing w:val="0"/>
          <w:w w:val="100"/>
          <w:sz w:val="24"/>
          <w:szCs w:val="24"/>
          <w:highlight w:val="none"/>
        </w:rPr>
      </w:pPr>
    </w:p>
    <w:p w14:paraId="0ABA69D4">
      <w:pPr>
        <w:rPr>
          <w:rFonts w:hint="eastAsia" w:ascii="宋体" w:hAnsi="宋体" w:eastAsia="宋体" w:cs="宋体"/>
          <w:b w:val="0"/>
          <w:i w:val="0"/>
          <w:caps w:val="0"/>
          <w:color w:val="auto"/>
          <w:spacing w:val="0"/>
          <w:w w:val="100"/>
          <w:sz w:val="24"/>
          <w:szCs w:val="24"/>
          <w:highlight w:val="none"/>
        </w:rPr>
      </w:pPr>
    </w:p>
    <w:p w14:paraId="3D1A436A">
      <w:pPr>
        <w:rPr>
          <w:rFonts w:hint="eastAsia" w:ascii="宋体" w:hAnsi="宋体" w:eastAsia="宋体" w:cs="宋体"/>
          <w:b w:val="0"/>
          <w:i w:val="0"/>
          <w:caps w:val="0"/>
          <w:color w:val="auto"/>
          <w:spacing w:val="0"/>
          <w:w w:val="100"/>
          <w:sz w:val="24"/>
          <w:szCs w:val="24"/>
          <w:highlight w:val="none"/>
        </w:rPr>
      </w:pPr>
    </w:p>
    <w:p w14:paraId="1230C909">
      <w:pPr>
        <w:rPr>
          <w:rFonts w:hint="eastAsia" w:ascii="宋体" w:hAnsi="宋体" w:eastAsia="宋体" w:cs="宋体"/>
          <w:b w:val="0"/>
          <w:i w:val="0"/>
          <w:caps w:val="0"/>
          <w:color w:val="auto"/>
          <w:spacing w:val="0"/>
          <w:w w:val="100"/>
          <w:sz w:val="24"/>
          <w:szCs w:val="24"/>
          <w:highlight w:val="none"/>
        </w:rPr>
      </w:pPr>
    </w:p>
    <w:p w14:paraId="6070905E">
      <w:pPr>
        <w:rPr>
          <w:rFonts w:hint="eastAsia" w:ascii="宋体" w:hAnsi="宋体" w:eastAsia="宋体" w:cs="宋体"/>
          <w:b w:val="0"/>
          <w:i w:val="0"/>
          <w:caps w:val="0"/>
          <w:color w:val="auto"/>
          <w:spacing w:val="0"/>
          <w:w w:val="100"/>
          <w:sz w:val="24"/>
          <w:szCs w:val="24"/>
          <w:highlight w:val="none"/>
        </w:rPr>
      </w:pPr>
    </w:p>
    <w:p w14:paraId="434F6BB3">
      <w:pPr>
        <w:rPr>
          <w:rFonts w:hint="eastAsia" w:ascii="宋体" w:hAnsi="宋体" w:eastAsia="宋体" w:cs="宋体"/>
          <w:b w:val="0"/>
          <w:i w:val="0"/>
          <w:caps w:val="0"/>
          <w:color w:val="auto"/>
          <w:spacing w:val="0"/>
          <w:w w:val="100"/>
          <w:sz w:val="24"/>
          <w:szCs w:val="24"/>
          <w:highlight w:val="none"/>
        </w:rPr>
      </w:pPr>
    </w:p>
    <w:p w14:paraId="5FE199EC">
      <w:pPr>
        <w:rPr>
          <w:rFonts w:hint="eastAsia" w:ascii="宋体" w:hAnsi="宋体" w:eastAsia="宋体" w:cs="宋体"/>
          <w:b w:val="0"/>
          <w:i w:val="0"/>
          <w:caps w:val="0"/>
          <w:color w:val="auto"/>
          <w:spacing w:val="0"/>
          <w:w w:val="100"/>
          <w:sz w:val="24"/>
          <w:szCs w:val="24"/>
          <w:highlight w:val="none"/>
        </w:rPr>
      </w:pPr>
    </w:p>
    <w:p w14:paraId="219825CE">
      <w:pPr>
        <w:rPr>
          <w:rFonts w:hint="eastAsia" w:ascii="宋体" w:hAnsi="宋体" w:eastAsia="宋体" w:cs="宋体"/>
          <w:b w:val="0"/>
          <w:i w:val="0"/>
          <w:caps w:val="0"/>
          <w:color w:val="auto"/>
          <w:spacing w:val="0"/>
          <w:w w:val="100"/>
          <w:sz w:val="24"/>
          <w:szCs w:val="24"/>
          <w:highlight w:val="none"/>
        </w:rPr>
      </w:pPr>
    </w:p>
    <w:p w14:paraId="5FFA147B">
      <w:pPr>
        <w:keepNext w:val="0"/>
        <w:keepLines w:val="0"/>
        <w:pageBreakBefore w:val="0"/>
        <w:bidi w:val="0"/>
        <w:spacing w:line="360" w:lineRule="auto"/>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附件4</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eastAsia="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17E0CDC9">
      <w:pPr>
        <w:pStyle w:val="1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28B1175D">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14575F2">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6871434">
      <w:pPr>
        <w:pStyle w:val="6"/>
        <w:widowControl w:val="0"/>
        <w:numPr>
          <w:numId w:val="0"/>
        </w:numPr>
        <w:jc w:val="both"/>
        <w:rPr>
          <w:rFonts w:hint="eastAsia" w:ascii="宋体" w:hAnsi="宋体" w:eastAsia="宋体" w:cs="宋体"/>
          <w:b/>
          <w:bCs/>
          <w:color w:val="auto"/>
          <w:sz w:val="24"/>
          <w:szCs w:val="24"/>
          <w:highlight w:val="none"/>
          <w:lang w:val="en-US" w:eastAsia="zh-CN"/>
        </w:rPr>
      </w:pPr>
    </w:p>
    <w:p w14:paraId="19ABF3C8">
      <w:pPr>
        <w:pStyle w:val="6"/>
        <w:widowControl w:val="0"/>
        <w:numPr>
          <w:numId w:val="0"/>
        </w:numPr>
        <w:jc w:val="both"/>
        <w:rPr>
          <w:rFonts w:hint="eastAsia" w:ascii="宋体" w:hAnsi="宋体" w:eastAsia="宋体" w:cs="宋体"/>
          <w:b/>
          <w:bCs/>
          <w:color w:val="auto"/>
          <w:sz w:val="24"/>
          <w:szCs w:val="24"/>
          <w:highlight w:val="none"/>
          <w:lang w:val="en-US" w:eastAsia="zh-CN"/>
        </w:rPr>
      </w:pPr>
    </w:p>
    <w:p w14:paraId="226502D6">
      <w:pPr>
        <w:pStyle w:val="6"/>
        <w:widowControl w:val="0"/>
        <w:numPr>
          <w:numId w:val="0"/>
        </w:numPr>
        <w:jc w:val="both"/>
        <w:rPr>
          <w:rFonts w:hint="eastAsia" w:ascii="宋体" w:hAnsi="宋体" w:eastAsia="宋体" w:cs="宋体"/>
          <w:b/>
          <w:bCs/>
          <w:color w:val="auto"/>
          <w:sz w:val="24"/>
          <w:szCs w:val="24"/>
          <w:highlight w:val="none"/>
          <w:lang w:val="en-US" w:eastAsia="zh-CN"/>
        </w:rPr>
      </w:pPr>
    </w:p>
    <w:p w14:paraId="01CB9B1B">
      <w:pPr>
        <w:pStyle w:val="6"/>
        <w:widowControl w:val="0"/>
        <w:numPr>
          <w:numId w:val="0"/>
        </w:numPr>
        <w:jc w:val="both"/>
        <w:rPr>
          <w:rFonts w:hint="eastAsia" w:ascii="宋体" w:hAnsi="宋体" w:eastAsia="宋体" w:cs="宋体"/>
          <w:b/>
          <w:bCs/>
          <w:color w:val="auto"/>
          <w:sz w:val="24"/>
          <w:szCs w:val="24"/>
          <w:highlight w:val="none"/>
          <w:lang w:val="en-US" w:eastAsia="zh-CN"/>
        </w:rPr>
      </w:pPr>
    </w:p>
    <w:p w14:paraId="388FD7CC">
      <w:pPr>
        <w:pStyle w:val="6"/>
        <w:widowControl w:val="0"/>
        <w:numPr>
          <w:numId w:val="0"/>
        </w:numPr>
        <w:jc w:val="both"/>
        <w:rPr>
          <w:rFonts w:hint="eastAsia" w:ascii="宋体" w:hAnsi="宋体" w:eastAsia="宋体" w:cs="宋体"/>
          <w:b/>
          <w:bCs/>
          <w:color w:val="auto"/>
          <w:sz w:val="24"/>
          <w:szCs w:val="24"/>
          <w:highlight w:val="none"/>
          <w:lang w:val="en-US" w:eastAsia="zh-CN"/>
        </w:rPr>
      </w:pPr>
    </w:p>
    <w:p w14:paraId="2CED1447">
      <w:pPr>
        <w:pStyle w:val="6"/>
        <w:widowControl w:val="0"/>
        <w:numPr>
          <w:numId w:val="0"/>
        </w:numPr>
        <w:jc w:val="both"/>
        <w:rPr>
          <w:rFonts w:hint="eastAsia" w:ascii="宋体" w:hAnsi="宋体" w:eastAsia="宋体" w:cs="宋体"/>
          <w:b/>
          <w:bCs/>
          <w:color w:val="auto"/>
          <w:sz w:val="24"/>
          <w:szCs w:val="24"/>
          <w:highlight w:val="none"/>
          <w:lang w:val="en-US" w:eastAsia="zh-CN"/>
        </w:rPr>
      </w:pPr>
    </w:p>
    <w:p w14:paraId="5962395A">
      <w:pPr>
        <w:pStyle w:val="6"/>
        <w:widowControl w:val="0"/>
        <w:numPr>
          <w:numId w:val="0"/>
        </w:numPr>
        <w:jc w:val="both"/>
        <w:rPr>
          <w:rFonts w:hint="eastAsia" w:ascii="宋体" w:hAnsi="宋体" w:eastAsia="宋体" w:cs="宋体"/>
          <w:b/>
          <w:bCs/>
          <w:color w:val="auto"/>
          <w:sz w:val="24"/>
          <w:szCs w:val="24"/>
          <w:highlight w:val="none"/>
          <w:lang w:val="en-US" w:eastAsia="zh-CN"/>
        </w:rPr>
      </w:pPr>
    </w:p>
    <w:p w14:paraId="753532FD">
      <w:pPr>
        <w:pStyle w:val="6"/>
        <w:widowControl w:val="0"/>
        <w:numPr>
          <w:numId w:val="0"/>
        </w:numPr>
        <w:jc w:val="both"/>
        <w:rPr>
          <w:rFonts w:hint="eastAsia" w:ascii="宋体" w:hAnsi="宋体" w:eastAsia="宋体" w:cs="宋体"/>
          <w:b/>
          <w:bCs/>
          <w:color w:val="auto"/>
          <w:sz w:val="24"/>
          <w:szCs w:val="24"/>
          <w:highlight w:val="none"/>
          <w:lang w:val="en-US" w:eastAsia="zh-CN"/>
        </w:rPr>
      </w:pPr>
    </w:p>
    <w:p w14:paraId="078F9580">
      <w:pPr>
        <w:pStyle w:val="6"/>
        <w:widowControl w:val="0"/>
        <w:numPr>
          <w:numId w:val="0"/>
        </w:numPr>
        <w:jc w:val="both"/>
        <w:rPr>
          <w:rFonts w:hint="eastAsia" w:ascii="宋体" w:hAnsi="宋体" w:eastAsia="宋体" w:cs="宋体"/>
          <w:b/>
          <w:bCs/>
          <w:color w:val="auto"/>
          <w:sz w:val="24"/>
          <w:szCs w:val="24"/>
          <w:highlight w:val="none"/>
          <w:lang w:val="en-US" w:eastAsia="zh-CN"/>
        </w:rPr>
      </w:pPr>
    </w:p>
    <w:p w14:paraId="557039A8">
      <w:pPr>
        <w:pStyle w:val="6"/>
        <w:widowControl w:val="0"/>
        <w:numPr>
          <w:numId w:val="0"/>
        </w:numPr>
        <w:jc w:val="both"/>
        <w:rPr>
          <w:rFonts w:hint="eastAsia" w:ascii="宋体" w:hAnsi="宋体" w:eastAsia="宋体" w:cs="宋体"/>
          <w:b/>
          <w:bCs/>
          <w:color w:val="auto"/>
          <w:sz w:val="24"/>
          <w:szCs w:val="24"/>
          <w:highlight w:val="none"/>
          <w:lang w:val="en-US" w:eastAsia="zh-CN"/>
        </w:rPr>
      </w:pPr>
    </w:p>
    <w:p w14:paraId="60075A98">
      <w:pPr>
        <w:pStyle w:val="6"/>
        <w:widowControl w:val="0"/>
        <w:numPr>
          <w:numId w:val="0"/>
        </w:numPr>
        <w:jc w:val="both"/>
        <w:rPr>
          <w:rFonts w:hint="eastAsia" w:ascii="宋体" w:hAnsi="宋体" w:eastAsia="宋体" w:cs="宋体"/>
          <w:b/>
          <w:bCs/>
          <w:color w:val="auto"/>
          <w:sz w:val="24"/>
          <w:szCs w:val="24"/>
          <w:highlight w:val="none"/>
          <w:lang w:val="en-US" w:eastAsia="zh-CN"/>
        </w:rPr>
      </w:pPr>
    </w:p>
    <w:p w14:paraId="58BA199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附件5</w:t>
      </w:r>
    </w:p>
    <w:p w14:paraId="7F305D90">
      <w:pPr>
        <w:pStyle w:val="5"/>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5"/>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5"/>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5"/>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5"/>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5"/>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6"/>
        <w:keepNext w:val="0"/>
        <w:keepLines w:val="0"/>
        <w:pageBreakBefore w:val="0"/>
        <w:numPr>
          <w:ilvl w:val="0"/>
          <w:numId w:val="0"/>
        </w:numPr>
        <w:bidi w:val="0"/>
        <w:spacing w:line="360" w:lineRule="auto"/>
        <w:ind w:left="1680" w:leftChars="0"/>
        <w:rPr>
          <w:rFonts w:hint="eastAsia" w:ascii="宋体" w:hAnsi="宋体" w:eastAsia="宋体" w:cs="宋体"/>
          <w:sz w:val="24"/>
          <w:szCs w:val="24"/>
          <w:lang w:val="en-US" w:eastAsia="zh-CN"/>
        </w:rPr>
      </w:pPr>
    </w:p>
    <w:p w14:paraId="4CF4AD6A">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9041522">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10F2A72">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863F927">
      <w:pPr>
        <w:keepNext w:val="0"/>
        <w:keepLines w:val="0"/>
        <w:pageBreakBefore w:val="0"/>
        <w:bidi w:val="0"/>
        <w:spacing w:line="360" w:lineRule="auto"/>
        <w:rPr>
          <w:rFonts w:hint="eastAsia" w:ascii="宋体" w:hAnsi="宋体" w:eastAsia="宋体" w:cs="宋体"/>
          <w:b/>
          <w:bCs/>
          <w:i w:val="0"/>
          <w:caps w:val="0"/>
          <w:color w:val="auto"/>
          <w:spacing w:val="0"/>
          <w:sz w:val="24"/>
          <w:szCs w:val="24"/>
          <w:shd w:val="clear" w:color="auto" w:fill="FFFFFF"/>
          <w:lang w:val="en-US" w:eastAsia="zh-CN"/>
        </w:rPr>
      </w:pPr>
    </w:p>
    <w:p w14:paraId="51688660">
      <w:pPr>
        <w:keepNext w:val="0"/>
        <w:keepLines w:val="0"/>
        <w:pageBreakBefore w:val="0"/>
        <w:bidi w:val="0"/>
        <w:spacing w:line="360" w:lineRule="auto"/>
        <w:rPr>
          <w:rFonts w:hint="eastAsia" w:ascii="宋体" w:hAnsi="宋体" w:eastAsia="宋体" w:cs="宋体"/>
          <w:b/>
          <w:bCs/>
          <w:i w:val="0"/>
          <w:caps w:val="0"/>
          <w:color w:val="auto"/>
          <w:spacing w:val="0"/>
          <w:sz w:val="24"/>
          <w:szCs w:val="24"/>
          <w:shd w:val="clear" w:color="auto" w:fill="FFFFFF"/>
          <w:lang w:val="en-US" w:eastAsia="zh-CN"/>
        </w:rPr>
      </w:pPr>
    </w:p>
    <w:p w14:paraId="5641694F">
      <w:pPr>
        <w:keepNext w:val="0"/>
        <w:keepLines w:val="0"/>
        <w:pageBreakBefore w:val="0"/>
        <w:bidi w:val="0"/>
        <w:spacing w:line="360" w:lineRule="auto"/>
        <w:rPr>
          <w:rFonts w:hint="eastAsia" w:ascii="宋体" w:hAnsi="宋体" w:eastAsia="宋体" w:cs="宋体"/>
          <w:b/>
          <w:bCs/>
          <w:i w:val="0"/>
          <w:caps w:val="0"/>
          <w:color w:val="auto"/>
          <w:spacing w:val="0"/>
          <w:sz w:val="24"/>
          <w:szCs w:val="24"/>
          <w:shd w:val="clear" w:color="auto" w:fill="FFFFFF"/>
          <w:lang w:val="en-US" w:eastAsia="zh-CN"/>
        </w:rPr>
      </w:pPr>
      <w:bookmarkStart w:id="2" w:name="_GoBack"/>
      <w:bookmarkEnd w:id="2"/>
      <w:r>
        <w:rPr>
          <w:rFonts w:hint="eastAsia" w:ascii="宋体" w:hAnsi="宋体" w:eastAsia="宋体" w:cs="宋体"/>
          <w:b/>
          <w:bCs/>
          <w:i w:val="0"/>
          <w:caps w:val="0"/>
          <w:color w:val="auto"/>
          <w:spacing w:val="0"/>
          <w:sz w:val="24"/>
          <w:szCs w:val="24"/>
          <w:shd w:val="clear" w:color="auto" w:fill="FFFFFF"/>
          <w:lang w:val="en-US" w:eastAsia="zh-CN"/>
        </w:rPr>
        <w:t xml:space="preserve">附件6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B03230E">
      <w:pPr>
        <w:keepNext w:val="0"/>
        <w:keepLines w:val="0"/>
        <w:pageBreakBefore w:val="0"/>
        <w:kinsoku/>
        <w:wordWrap/>
        <w:overflowPunct/>
        <w:topLinePunct w:val="0"/>
        <w:autoSpaceDE/>
        <w:autoSpaceDN/>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E70B"/>
    <w:multiLevelType w:val="singleLevel"/>
    <w:tmpl w:val="9B4BE70B"/>
    <w:lvl w:ilvl="0" w:tentative="0">
      <w:start w:val="1"/>
      <w:numFmt w:val="decimal"/>
      <w:lvlText w:val="%1."/>
      <w:lvlJc w:val="left"/>
      <w:pPr>
        <w:ind w:left="425" w:hanging="425"/>
      </w:pPr>
      <w:rPr>
        <w:rFonts w:hint="default"/>
      </w:rPr>
    </w:lvl>
  </w:abstractNum>
  <w:abstractNum w:abstractNumId="1">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2">
    <w:nsid w:val="10EECAEC"/>
    <w:multiLevelType w:val="singleLevel"/>
    <w:tmpl w:val="10EECAEC"/>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3">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D3D1A"/>
    <w:rsid w:val="01B62F5C"/>
    <w:rsid w:val="01FE6BD3"/>
    <w:rsid w:val="02554005"/>
    <w:rsid w:val="02FE6776"/>
    <w:rsid w:val="04865C14"/>
    <w:rsid w:val="04B7134B"/>
    <w:rsid w:val="068A6CC7"/>
    <w:rsid w:val="06962FE3"/>
    <w:rsid w:val="0A325E03"/>
    <w:rsid w:val="0B5430F7"/>
    <w:rsid w:val="0BF65853"/>
    <w:rsid w:val="0D4913C1"/>
    <w:rsid w:val="0E2A3E4A"/>
    <w:rsid w:val="0FC95E75"/>
    <w:rsid w:val="0FEA1995"/>
    <w:rsid w:val="110F482C"/>
    <w:rsid w:val="121A7943"/>
    <w:rsid w:val="123D44F0"/>
    <w:rsid w:val="12435284"/>
    <w:rsid w:val="13DD412F"/>
    <w:rsid w:val="13F910D3"/>
    <w:rsid w:val="14C02123"/>
    <w:rsid w:val="150B2214"/>
    <w:rsid w:val="15437DF0"/>
    <w:rsid w:val="17967340"/>
    <w:rsid w:val="19503EFC"/>
    <w:rsid w:val="19E32408"/>
    <w:rsid w:val="1B2B01A0"/>
    <w:rsid w:val="1C831556"/>
    <w:rsid w:val="1E85469F"/>
    <w:rsid w:val="1FB05546"/>
    <w:rsid w:val="1FEA0D76"/>
    <w:rsid w:val="20D451E9"/>
    <w:rsid w:val="22297D19"/>
    <w:rsid w:val="2239241F"/>
    <w:rsid w:val="224805CD"/>
    <w:rsid w:val="22E9628F"/>
    <w:rsid w:val="251B38EF"/>
    <w:rsid w:val="27110362"/>
    <w:rsid w:val="28EF0619"/>
    <w:rsid w:val="29506857"/>
    <w:rsid w:val="2B4E089B"/>
    <w:rsid w:val="2B62173A"/>
    <w:rsid w:val="2DD66DE3"/>
    <w:rsid w:val="2E462777"/>
    <w:rsid w:val="2EAA00A6"/>
    <w:rsid w:val="30195EF5"/>
    <w:rsid w:val="343B728A"/>
    <w:rsid w:val="34AD7EA2"/>
    <w:rsid w:val="352C6A5F"/>
    <w:rsid w:val="35926D62"/>
    <w:rsid w:val="36482F72"/>
    <w:rsid w:val="36933296"/>
    <w:rsid w:val="371B2276"/>
    <w:rsid w:val="39D64F8F"/>
    <w:rsid w:val="3C046D30"/>
    <w:rsid w:val="3DF17D30"/>
    <w:rsid w:val="3F056573"/>
    <w:rsid w:val="3F135889"/>
    <w:rsid w:val="3FB93A98"/>
    <w:rsid w:val="408908EE"/>
    <w:rsid w:val="426A4E5F"/>
    <w:rsid w:val="428A38B6"/>
    <w:rsid w:val="435747A7"/>
    <w:rsid w:val="43EE6A01"/>
    <w:rsid w:val="441929DC"/>
    <w:rsid w:val="45940E0F"/>
    <w:rsid w:val="45EE3F48"/>
    <w:rsid w:val="46075BC9"/>
    <w:rsid w:val="477D3E56"/>
    <w:rsid w:val="47B03B5B"/>
    <w:rsid w:val="47C82CF5"/>
    <w:rsid w:val="4922747B"/>
    <w:rsid w:val="4BE25B8D"/>
    <w:rsid w:val="4D4E5714"/>
    <w:rsid w:val="4D884FC4"/>
    <w:rsid w:val="4D951D36"/>
    <w:rsid w:val="4DEF4457"/>
    <w:rsid w:val="4E9850B9"/>
    <w:rsid w:val="4EAB1ABD"/>
    <w:rsid w:val="4F080938"/>
    <w:rsid w:val="4F9059A1"/>
    <w:rsid w:val="504A47C7"/>
    <w:rsid w:val="50E23A41"/>
    <w:rsid w:val="514946EA"/>
    <w:rsid w:val="52FA4C60"/>
    <w:rsid w:val="532838FB"/>
    <w:rsid w:val="541D2F0E"/>
    <w:rsid w:val="54645881"/>
    <w:rsid w:val="55D30D1C"/>
    <w:rsid w:val="55EC5708"/>
    <w:rsid w:val="560D3D1A"/>
    <w:rsid w:val="57784E8F"/>
    <w:rsid w:val="57BB6C94"/>
    <w:rsid w:val="58D64F0E"/>
    <w:rsid w:val="5B546464"/>
    <w:rsid w:val="5BD9413E"/>
    <w:rsid w:val="5C414DE8"/>
    <w:rsid w:val="5CDD23AC"/>
    <w:rsid w:val="5CE951D8"/>
    <w:rsid w:val="5E09755D"/>
    <w:rsid w:val="5EE409E6"/>
    <w:rsid w:val="60BA5126"/>
    <w:rsid w:val="633D37C8"/>
    <w:rsid w:val="642C665D"/>
    <w:rsid w:val="65655FC8"/>
    <w:rsid w:val="66D03901"/>
    <w:rsid w:val="66EE72C5"/>
    <w:rsid w:val="676F6B9A"/>
    <w:rsid w:val="68A47FBA"/>
    <w:rsid w:val="69EF3566"/>
    <w:rsid w:val="6B996D13"/>
    <w:rsid w:val="6BA32EA6"/>
    <w:rsid w:val="6F4F5991"/>
    <w:rsid w:val="6F756ED1"/>
    <w:rsid w:val="70DF0F9F"/>
    <w:rsid w:val="719974E5"/>
    <w:rsid w:val="71C35F39"/>
    <w:rsid w:val="72162E3A"/>
    <w:rsid w:val="727608D5"/>
    <w:rsid w:val="72C53831"/>
    <w:rsid w:val="72CA79DF"/>
    <w:rsid w:val="74FD4DFC"/>
    <w:rsid w:val="75F3408F"/>
    <w:rsid w:val="76303528"/>
    <w:rsid w:val="76990D03"/>
    <w:rsid w:val="769E4528"/>
    <w:rsid w:val="77375EEB"/>
    <w:rsid w:val="7794703F"/>
    <w:rsid w:val="7CFC7D9A"/>
    <w:rsid w:val="7D6C7908"/>
    <w:rsid w:val="7DA27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toc 7"/>
    <w:basedOn w:val="1"/>
    <w:next w:val="1"/>
    <w:qFormat/>
    <w:uiPriority w:val="0"/>
    <w:pPr>
      <w:ind w:left="1200"/>
    </w:pPr>
    <w:rPr>
      <w:rFonts w:ascii="Calibri"/>
    </w:rPr>
  </w:style>
  <w:style w:type="paragraph" w:styleId="4">
    <w:name w:val="annotation text"/>
    <w:basedOn w:val="1"/>
    <w:unhideWhenUsed/>
    <w:qFormat/>
    <w:uiPriority w:val="99"/>
    <w:pPr>
      <w:jc w:val="left"/>
    </w:pPr>
  </w:style>
  <w:style w:type="paragraph" w:styleId="5">
    <w:name w:val="Body Text"/>
    <w:basedOn w:val="1"/>
    <w:next w:val="6"/>
    <w:qFormat/>
    <w:uiPriority w:val="0"/>
  </w:style>
  <w:style w:type="paragraph" w:styleId="6">
    <w:name w:val="List Bullet 5"/>
    <w:basedOn w:val="1"/>
    <w:qFormat/>
    <w:uiPriority w:val="0"/>
    <w:pPr>
      <w:numPr>
        <w:ilvl w:val="0"/>
        <w:numId w:val="1"/>
      </w:numPr>
    </w:pPr>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spacing w:line="460" w:lineRule="exact"/>
      <w:ind w:firstLine="567"/>
    </w:pPr>
    <w:rPr>
      <w:rFonts w:ascii="宋体" w:hAnsi="Courier New" w:eastAsia="仿宋_GB2312"/>
      <w:sz w:val="28"/>
      <w:szCs w:val="20"/>
    </w:rPr>
  </w:style>
  <w:style w:type="paragraph" w:styleId="9">
    <w:name w:val="Body Text Indent 2"/>
    <w:basedOn w:val="1"/>
    <w:qFormat/>
    <w:uiPriority w:val="0"/>
    <w:pPr>
      <w:widowControl w:val="0"/>
      <w:ind w:firstLine="540" w:firstLineChars="257"/>
      <w:jc w:val="both"/>
    </w:pPr>
    <w:rPr>
      <w:kern w:val="2"/>
      <w:sz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toc 1"/>
    <w:basedOn w:val="1"/>
    <w:next w:val="1"/>
    <w:qFormat/>
    <w:uiPriority w:val="0"/>
    <w:pPr>
      <w:spacing w:line="180" w:lineRule="auto"/>
      <w:jc w:val="center"/>
    </w:pPr>
    <w:rPr>
      <w:sz w:val="30"/>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5"/>
    <w:qFormat/>
    <w:uiPriority w:val="0"/>
    <w:pPr>
      <w:snapToGrid w:val="0"/>
      <w:spacing w:before="40" w:after="40" w:line="288" w:lineRule="auto"/>
      <w:ind w:firstLine="482"/>
    </w:pPr>
    <w:rPr>
      <w:rFonts w:ascii="仿宋_GB2312" w:hAnsi="仿宋_GB2312" w:eastAsia="仿宋_GB2312"/>
      <w:szCs w:val="20"/>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paragraph" w:customStyle="1" w:styleId="2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标题 5（有编号）（绿盟科技）"/>
    <w:basedOn w:val="1"/>
    <w:next w:val="22"/>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Table Text"/>
    <w:basedOn w:val="1"/>
    <w:semiHidden/>
    <w:qFormat/>
    <w:uiPriority w:val="0"/>
    <w:rPr>
      <w:rFonts w:ascii="宋体" w:hAnsi="宋体" w:eastAsia="宋体" w:cs="宋体"/>
      <w:sz w:val="16"/>
      <w:szCs w:val="16"/>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GW-正文"/>
    <w:basedOn w:val="1"/>
    <w:qFormat/>
    <w:uiPriority w:val="0"/>
    <w:pPr>
      <w:spacing w:line="360" w:lineRule="auto"/>
      <w:ind w:firstLine="200" w:firstLineChars="200"/>
    </w:pPr>
    <w:rPr>
      <w:rFonts w:eastAsia="仿宋_GB2312"/>
      <w:sz w:val="24"/>
      <w:szCs w:val="24"/>
    </w:rPr>
  </w:style>
  <w:style w:type="character" w:customStyle="1" w:styleId="26">
    <w:name w:val="font61"/>
    <w:basedOn w:val="18"/>
    <w:qFormat/>
    <w:uiPriority w:val="0"/>
    <w:rPr>
      <w:rFonts w:hint="eastAsia" w:ascii="宋体" w:hAnsi="宋体" w:eastAsia="宋体" w:cs="宋体"/>
      <w:b/>
      <w:color w:val="000000"/>
      <w:sz w:val="24"/>
      <w:szCs w:val="24"/>
      <w:u w:val="none"/>
    </w:rPr>
  </w:style>
  <w:style w:type="character" w:customStyle="1" w:styleId="27">
    <w:name w:val="font131"/>
    <w:basedOn w:val="18"/>
    <w:qFormat/>
    <w:uiPriority w:val="0"/>
    <w:rPr>
      <w:rFonts w:hint="eastAsia" w:ascii="宋体" w:hAnsi="宋体" w:eastAsia="宋体" w:cs="宋体"/>
      <w:color w:val="000000"/>
      <w:kern w:val="0"/>
      <w:sz w:val="20"/>
      <w:szCs w:val="20"/>
      <w:u w:val="none"/>
      <w:lang w:eastAsia="en-US"/>
    </w:rPr>
  </w:style>
  <w:style w:type="paragraph" w:customStyle="1" w:styleId="28">
    <w:name w:val="正文3"/>
    <w:qFormat/>
    <w:uiPriority w:val="0"/>
    <w:pPr>
      <w:tabs>
        <w:tab w:val="left" w:pos="990"/>
      </w:tabs>
      <w:spacing w:line="360" w:lineRule="auto"/>
      <w:ind w:firstLine="361" w:firstLineChars="150"/>
    </w:pPr>
    <w:rPr>
      <w:rFonts w:ascii="Calibri" w:hAnsi="Calibri" w:eastAsia="宋体" w:cs="Times New Roman"/>
      <w:b/>
      <w:bCs/>
      <w:snapToGrid w:val="0"/>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9128</Words>
  <Characters>9377</Characters>
  <Lines>0</Lines>
  <Paragraphs>0</Paragraphs>
  <TotalTime>1</TotalTime>
  <ScaleCrop>false</ScaleCrop>
  <LinksUpToDate>false</LinksUpToDate>
  <CharactersWithSpaces>9766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2025-07-30T15:06:00Z</dcterms:created>
  <dc:creator>罗珊珊</dc:creator>
  <cp:lastModifiedBy>罗珊珊</cp:lastModifiedBy>
  <dcterms:modified xsi:type="dcterms:W3CDTF">2026-03-30T07:27:48Z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CF940ADDD02F41FD9BE6C92BBE9069A6_13</vt:lpwstr>
  </property>
  <property fmtid="{D5CDD505-2E9C-101B-9397-08002B2CF9AE}" pid="4" name="KSOTemplateDocerSaveRecord">
    <vt:lpwstr>eyJoZGlkIjoiODcwZmE0ZmU3Y2M1ZWQ5MWU4OTc0ZDQ0OGMzYzM2NmMiLCJ1c2VySWQiOiIxMzE0MjM0OTg5In0=</vt:lpwstr>
  </property>
</Properties>
</file>