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outlineLvl w:val="9"/>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四川省妇幼保健院外送检测（检验、病理）</w:t>
      </w:r>
      <w:r>
        <w:rPr>
          <w:rFonts w:hint="eastAsia" w:ascii="方正小标宋_GBK" w:hAnsi="方正小标宋_GBK" w:eastAsia="方正小标宋_GBK" w:cs="方正小标宋_GBK"/>
          <w:b w:val="0"/>
          <w:bCs/>
          <w:color w:val="auto"/>
          <w:sz w:val="44"/>
          <w:szCs w:val="44"/>
          <w:lang w:eastAsia="zh-CN"/>
        </w:rPr>
        <w:t>服务</w:t>
      </w:r>
      <w:r>
        <w:rPr>
          <w:rFonts w:hint="eastAsia" w:ascii="方正小标宋_GBK" w:hAnsi="方正小标宋_GBK" w:eastAsia="方正小标宋_GBK" w:cs="方正小标宋_GBK"/>
          <w:b w:val="0"/>
          <w:bCs/>
          <w:color w:val="auto"/>
          <w:sz w:val="44"/>
          <w:szCs w:val="44"/>
        </w:rPr>
        <w:t>市场调研公示</w:t>
      </w:r>
    </w:p>
    <w:p>
      <w:pPr>
        <w:keepNext w:val="0"/>
        <w:keepLines w:val="0"/>
        <w:pageBreakBefore w:val="0"/>
        <w:widowControl/>
        <w:kinsoku/>
        <w:wordWrap/>
        <w:overflowPunct/>
        <w:topLinePunct w:val="0"/>
        <w:autoSpaceDE/>
        <w:autoSpaceDN/>
        <w:bidi w:val="0"/>
        <w:adjustRightInd/>
        <w:snapToGrid w:val="0"/>
        <w:spacing w:before="0" w:after="0" w:line="360" w:lineRule="auto"/>
        <w:ind w:left="0" w:firstLine="0" w:firstLineChars="0"/>
        <w:jc w:val="center"/>
        <w:textAlignment w:val="auto"/>
        <w:outlineLvl w:val="9"/>
        <w:rPr>
          <w:rFonts w:hint="default" w:ascii="Times New Roman" w:hAnsi="Times New Roman" w:eastAsia="宋体" w:cs="Times New Roman"/>
          <w:b/>
          <w:bCs/>
          <w:sz w:val="28"/>
          <w:szCs w:val="28"/>
        </w:rPr>
      </w:pPr>
    </w:p>
    <w:p>
      <w:pPr>
        <w:pStyle w:val="16"/>
        <w:keepNext w:val="0"/>
        <w:keepLines w:val="0"/>
        <w:pageBreakBefore w:val="0"/>
        <w:widowControl/>
        <w:kinsoku/>
        <w:wordWrap/>
        <w:overflowPunct/>
        <w:topLinePunct w:val="0"/>
        <w:autoSpaceDE/>
        <w:autoSpaceDN/>
        <w:bidi w:val="0"/>
        <w:adjustRightInd/>
        <w:snapToGrid w:val="0"/>
        <w:spacing w:before="0" w:after="0" w:line="360" w:lineRule="auto"/>
        <w:ind w:lef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规范我院检验、病理外送服务管理，保障医疗质量与医疗安全，充分了解当前检验、病理外送服务市场的供应能力、技术标准、服务方案及价格水平，科学合理编制后续采购文件，现面向社会公开开展市场调研，欢迎符合资格要求的供应商积极参与。</w:t>
      </w:r>
    </w:p>
    <w:p>
      <w:pPr>
        <w:keepNext w:val="0"/>
        <w:keepLines w:val="0"/>
        <w:pageBreakBefore w:val="0"/>
        <w:widowControl/>
        <w:kinsoku/>
        <w:wordWrap/>
        <w:overflowPunct/>
        <w:topLinePunct w:val="0"/>
        <w:autoSpaceDE/>
        <w:autoSpaceDN/>
        <w:bidi w:val="0"/>
        <w:adjustRightInd/>
        <w:snapToGrid w:val="0"/>
        <w:spacing w:before="0" w:after="0" w:line="360" w:lineRule="auto"/>
        <w:ind w:left="0" w:firstLine="0" w:firstLine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一、项目概况</w:t>
      </w: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项目名称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四川省妇幼保健院</w:t>
      </w:r>
      <w:r>
        <w:rPr>
          <w:rFonts w:hint="eastAsia" w:ascii="仿宋_GB2312" w:hAnsi="仿宋_GB2312" w:eastAsia="仿宋_GB2312" w:cs="仿宋_GB2312"/>
          <w:sz w:val="32"/>
          <w:szCs w:val="32"/>
        </w:rPr>
        <w:t>外送检测（检验、病理）</w:t>
      </w:r>
      <w:r>
        <w:rPr>
          <w:rFonts w:hint="eastAsia" w:ascii="仿宋_GB2312" w:hAnsi="仿宋_GB2312" w:eastAsia="仿宋_GB2312" w:cs="仿宋_GB2312"/>
          <w:sz w:val="32"/>
          <w:szCs w:val="32"/>
          <w:lang w:eastAsia="zh-CN"/>
        </w:rPr>
        <w:t>服务</w:t>
      </w: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采购主体</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四川省妇幼保健院</w:t>
      </w: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服务内容</w:t>
      </w:r>
      <w:r>
        <w:rPr>
          <w:rFonts w:hint="eastAsia" w:ascii="仿宋_GB2312" w:hAnsi="仿宋_GB2312" w:eastAsia="仿宋_GB2312" w:cs="仿宋_GB2312"/>
          <w:sz w:val="32"/>
          <w:szCs w:val="32"/>
        </w:rPr>
        <w:t>：本次调研覆盖全院临床科室需外送的检验、病理检测项目，供应商</w:t>
      </w:r>
      <w:r>
        <w:rPr>
          <w:rFonts w:hint="eastAsia" w:ascii="仿宋_GB2312" w:hAnsi="仿宋_GB2312" w:eastAsia="仿宋_GB2312" w:cs="仿宋_GB2312"/>
          <w:sz w:val="32"/>
          <w:szCs w:val="32"/>
          <w:lang w:val="en-US" w:eastAsia="zh-CN"/>
        </w:rPr>
        <w:t>须针对</w:t>
      </w:r>
      <w:r>
        <w:rPr>
          <w:rFonts w:hint="eastAsia" w:ascii="仿宋_GB2312" w:hAnsi="仿宋_GB2312" w:eastAsia="仿宋_GB2312" w:cs="仿宋_GB2312"/>
          <w:sz w:val="32"/>
          <w:szCs w:val="32"/>
        </w:rPr>
        <w:t>全板块提交调研材料，具体包括：</w:t>
      </w: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检验外送服务：包括但不限于常规生化免疫、微生物检测、分子诊断、遗传与罕见病检测、药物浓度监测、特种蛋白检测等我院暂未开展、通量不足或成本管控需求的检验项目；</w:t>
      </w: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640" w:firstLineChars="200"/>
        <w:textAlignment w:val="auto"/>
        <w:outlineLvl w:val="9"/>
        <w:rPr>
          <w:rFonts w:hint="eastAsia" w:ascii="仿宋_GB2312" w:hAnsi="仿宋_GB2312" w:eastAsia="仿宋_GB2312" w:cs="仿宋_GB2312"/>
          <w:sz w:val="32"/>
          <w:szCs w:val="32"/>
        </w:rPr>
      </w:pPr>
      <w:bookmarkStart w:id="0" w:name="OLE_LINK1"/>
      <w:r>
        <w:rPr>
          <w:rFonts w:hint="eastAsia" w:ascii="仿宋_GB2312" w:hAnsi="仿宋_GB2312" w:eastAsia="仿宋_GB2312" w:cs="仿宋_GB2312"/>
          <w:sz w:val="32"/>
          <w:szCs w:val="32"/>
        </w:rPr>
        <w:t>病理外送服务：包括但不限于常规组织病理、冰冻病理、免疫组化、分子病理、肿瘤基因检测、肾脏病理、神经病理等我院暂未开展、通量不足或成本管控需求的病理诊断项目。</w:t>
      </w: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具体核心检测项目明细详见本公告技术服务要求，供应商需在调研材料中明确可开展的全部项目清单及对应服务承诺。</w:t>
      </w:r>
    </w:p>
    <w:bookmarkEnd w:id="0"/>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拟服务周期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年（自正式合同签订之日起计算，具体以正式采购文件为准）</w:t>
      </w: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项目规模</w:t>
      </w:r>
      <w:r>
        <w:rPr>
          <w:rFonts w:hint="eastAsia" w:ascii="仿宋_GB2312" w:hAnsi="仿宋_GB2312" w:eastAsia="仿宋_GB2312" w:cs="仿宋_GB2312"/>
          <w:sz w:val="32"/>
          <w:szCs w:val="32"/>
        </w:rPr>
        <w:t>：本项目为全院外送项目集中采购，年度预估结算额约</w:t>
      </w:r>
      <w:r>
        <w:rPr>
          <w:rFonts w:hint="eastAsia" w:ascii="仿宋_GB2312" w:hAnsi="仿宋_GB2312" w:eastAsia="仿宋_GB2312" w:cs="仿宋_GB2312"/>
          <w:sz w:val="32"/>
          <w:szCs w:val="32"/>
          <w:lang w:val="en-US" w:eastAsia="zh-CN"/>
        </w:rPr>
        <w:t>180</w:t>
      </w:r>
      <w:r>
        <w:rPr>
          <w:rFonts w:hint="eastAsia" w:ascii="仿宋_GB2312" w:hAnsi="仿宋_GB2312" w:eastAsia="仿宋_GB2312" w:cs="仿宋_GB2312"/>
          <w:sz w:val="32"/>
          <w:szCs w:val="32"/>
        </w:rPr>
        <w:t>万元（具体以实际发生的合规检测项目结算为准）</w:t>
      </w:r>
    </w:p>
    <w:p>
      <w:pPr>
        <w:keepNext w:val="0"/>
        <w:keepLines w:val="0"/>
        <w:pageBreakBefore w:val="0"/>
        <w:widowControl/>
        <w:kinsoku/>
        <w:wordWrap/>
        <w:overflowPunct/>
        <w:topLinePunct w:val="0"/>
        <w:autoSpaceDE/>
        <w:autoSpaceDN/>
        <w:bidi w:val="0"/>
        <w:adjustRightInd/>
        <w:snapToGrid w:val="0"/>
        <w:spacing w:before="0" w:after="0" w:line="360" w:lineRule="auto"/>
        <w:ind w:left="0" w:firstLine="0" w:firstLine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二、供应商资格要求</w:t>
      </w:r>
    </w:p>
    <w:p>
      <w:pPr>
        <w:pStyle w:val="16"/>
        <w:keepNext w:val="0"/>
        <w:keepLines w:val="0"/>
        <w:pageBreakBefore w:val="0"/>
        <w:widowControl/>
        <w:kinsoku/>
        <w:wordWrap/>
        <w:overflowPunct/>
        <w:topLinePunct w:val="0"/>
        <w:autoSpaceDE/>
        <w:autoSpaceDN/>
        <w:bidi w:val="0"/>
        <w:adjustRightInd/>
        <w:snapToGrid w:val="0"/>
        <w:spacing w:before="0" w:after="0" w:line="360" w:lineRule="auto"/>
        <w:ind w:lef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参与本次调研的供应商须同时满足以下刚性资格要求，所有资质须在有效期内：</w:t>
      </w: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供应商须为在中华人民共和国境内注册，具有独立承担民事责任能力的法人机构，持有有效的营业执照。</w:t>
      </w: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供应商须持有有效期内的《医疗机构执业许可证》，诊疗科目包含医学检验科/病理科，具备开展申报检测项目的全部合法资质。</w:t>
      </w: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供应商须通过ISO15189医学实验室认可，提供认可证书及对应认可的检测项目范围清单；开展分子诊断、基因检测项目的，须同时持有有效的《临床基因扩增检验实验室技术审核合格证书》。</w:t>
      </w: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供应商须在本市设有固定服务机构或服务网点，具备与本项目匹配的本地化物流配送能力、</w:t>
      </w:r>
      <w:r>
        <w:rPr>
          <w:rFonts w:hint="eastAsia" w:ascii="仿宋_GB2312" w:hAnsi="仿宋_GB2312" w:eastAsia="仿宋_GB2312" w:cs="仿宋_GB2312"/>
          <w:sz w:val="32"/>
          <w:szCs w:val="32"/>
          <w:lang w:val="en-US" w:eastAsia="zh-CN"/>
        </w:rPr>
        <w:t>检测能力、</w:t>
      </w:r>
      <w:r>
        <w:rPr>
          <w:rFonts w:hint="eastAsia" w:ascii="仿宋_GB2312" w:hAnsi="仿宋_GB2312" w:eastAsia="仿宋_GB2312" w:cs="仿宋_GB2312"/>
          <w:sz w:val="32"/>
          <w:szCs w:val="32"/>
        </w:rPr>
        <w:t>应急保障能力及全流程服务能力。</w:t>
      </w: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供应商具有健全的质量管理体系，近3年（2023年1月1日至今）同类项目无重大质量事故、无重大医疗纠纷、无相关行政处罚记录。</w:t>
      </w: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供应商未被列入“信用中国”网站失信被执行人、政府采购严重违法失信行为记录名单，未被列入国家企业信用信息公示系统严重违法失信名单。</w:t>
      </w: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本项目不接受联合体参与调研，不允许服务中标后进行转包、违法分包。</w:t>
      </w:r>
    </w:p>
    <w:p>
      <w:pPr>
        <w:keepNext w:val="0"/>
        <w:keepLines w:val="0"/>
        <w:pageBreakBefore w:val="0"/>
        <w:widowControl/>
        <w:kinsoku/>
        <w:wordWrap/>
        <w:overflowPunct/>
        <w:topLinePunct w:val="0"/>
        <w:autoSpaceDE/>
        <w:autoSpaceDN/>
        <w:bidi w:val="0"/>
        <w:adjustRightInd/>
        <w:snapToGrid w:val="0"/>
        <w:spacing w:before="0" w:after="0" w:line="360" w:lineRule="auto"/>
        <w:ind w:left="0" w:firstLine="0" w:firstLine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三、调研需提交的材料清单</w:t>
      </w:r>
    </w:p>
    <w:p>
      <w:pPr>
        <w:pStyle w:val="16"/>
        <w:keepNext w:val="0"/>
        <w:keepLines w:val="0"/>
        <w:pageBreakBefore w:val="0"/>
        <w:widowControl/>
        <w:kinsoku/>
        <w:wordWrap/>
        <w:overflowPunct/>
        <w:topLinePunct w:val="0"/>
        <w:autoSpaceDE/>
        <w:autoSpaceDN/>
        <w:bidi w:val="0"/>
        <w:adjustRightInd/>
        <w:snapToGrid w:val="0"/>
        <w:spacing w:before="0" w:after="0" w:line="360" w:lineRule="auto"/>
        <w:ind w:lef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供应商须按以下顺序编制提交材料，所有材料须加盖供应商公章，内容真实、完整、规范：</w:t>
      </w:r>
    </w:p>
    <w:p>
      <w:pPr>
        <w:keepNext w:val="0"/>
        <w:keepLines w:val="0"/>
        <w:pageBreakBefore w:val="0"/>
        <w:widowControl/>
        <w:kinsoku/>
        <w:wordWrap/>
        <w:overflowPunct/>
        <w:topLinePunct w:val="0"/>
        <w:autoSpaceDE/>
        <w:autoSpaceDN/>
        <w:bidi w:val="0"/>
        <w:adjustRightInd/>
        <w:snapToGrid w:val="0"/>
        <w:spacing w:before="0" w:after="0" w:line="360" w:lineRule="auto"/>
        <w:ind w:left="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（一）资格证明文件</w:t>
      </w: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营业执照副本复印件；</w:t>
      </w: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《医疗机构执业许可证》副本复印件；</w:t>
      </w: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ISO15189医学实验室认可证书、认可项目范围清单复印件；临床基因扩增检验实验室资质证书复印件（如有）；</w:t>
      </w: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法定代表人身份证明及授权委托书（含法定代表人、被授权人身份证复印件）；</w:t>
      </w: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公告发布之日后的信用中国、国家企业信用信息公示系统信用查询记录截图；</w:t>
      </w: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近3年无重大违法违规、无重大质量事故、无行政处罚的书面承诺函。</w:t>
      </w: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实验室核心检测设备清单、主要试剂耗材注册证及供应商资质证明；</w:t>
      </w: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其他与本项目相关的资质认证、荣誉证明、技术能力佐证材料。</w:t>
      </w:r>
    </w:p>
    <w:p>
      <w:pPr>
        <w:keepNext w:val="0"/>
        <w:keepLines w:val="0"/>
        <w:pageBreakBefore w:val="0"/>
        <w:widowControl/>
        <w:kinsoku/>
        <w:wordWrap/>
        <w:overflowPunct/>
        <w:topLinePunct w:val="0"/>
        <w:autoSpaceDE/>
        <w:autoSpaceDN/>
        <w:bidi w:val="0"/>
        <w:adjustRightInd/>
        <w:snapToGrid w:val="0"/>
        <w:spacing w:before="0" w:after="0" w:line="360" w:lineRule="auto"/>
        <w:ind w:left="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（二）同类项目业绩证明材料</w:t>
      </w:r>
    </w:p>
    <w:p>
      <w:pPr>
        <w:keepNext w:val="0"/>
        <w:keepLines w:val="0"/>
        <w:pageBreakBefore w:val="0"/>
        <w:widowControl/>
        <w:kinsoku/>
        <w:wordWrap/>
        <w:overflowPunct/>
        <w:topLinePunct w:val="0"/>
        <w:autoSpaceDE/>
        <w:autoSpaceDN/>
        <w:bidi w:val="0"/>
        <w:adjustRightInd/>
        <w:snapToGrid w:val="0"/>
        <w:spacing w:before="0" w:after="0" w:line="360" w:lineRule="auto"/>
        <w:ind w:lef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近3年（2023年1月1日至今）</w:t>
      </w:r>
      <w:r>
        <w:rPr>
          <w:rFonts w:hint="eastAsia" w:ascii="仿宋_GB2312" w:hAnsi="仿宋_GB2312" w:eastAsia="仿宋_GB2312" w:cs="仿宋_GB2312"/>
          <w:sz w:val="32"/>
          <w:szCs w:val="32"/>
          <w:lang w:val="en-US" w:eastAsia="zh-CN"/>
        </w:rPr>
        <w:t>四川省内</w:t>
      </w:r>
      <w:r>
        <w:rPr>
          <w:rFonts w:hint="eastAsia" w:ascii="仿宋_GB2312" w:hAnsi="仿宋_GB2312" w:eastAsia="仿宋_GB2312" w:cs="仿宋_GB2312"/>
          <w:sz w:val="32"/>
          <w:szCs w:val="32"/>
        </w:rPr>
        <w:t>三级甲等医院同类检验/病理外送服务项目业绩清单，需列明项目名称、服务内容、服务周期、合同金额、甲方联系人及联系方式；</w:t>
      </w: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对应业绩的合同关键页复印件（含合同首页、服务内容页、签字盖章页），至少提供3份有效业绩证明。</w:t>
      </w:r>
    </w:p>
    <w:p>
      <w:pPr>
        <w:keepNext w:val="0"/>
        <w:keepLines w:val="0"/>
        <w:pageBreakBefore w:val="0"/>
        <w:widowControl/>
        <w:kinsoku/>
        <w:wordWrap/>
        <w:overflowPunct/>
        <w:topLinePunct w:val="0"/>
        <w:autoSpaceDE/>
        <w:autoSpaceDN/>
        <w:bidi w:val="0"/>
        <w:adjustRightInd/>
        <w:snapToGrid w:val="0"/>
        <w:spacing w:before="0" w:after="0" w:line="360" w:lineRule="auto"/>
        <w:ind w:left="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（三）核心服务方案（针对本项目需求编制）</w:t>
      </w: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项目整体实施方案：包括项目组织架构、专属人员配置、全流程服务流程、项目对接机制；</w:t>
      </w: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标本转运与生物安全方案：包括固定上门取件频次、紧急标本加急配送时效、冷链转运保障体系、温湿度全程监控与记录、标本交接闭环管理流程、生物安全事件应急处置预案；</w:t>
      </w: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检测质量与质控管理方案：包括可开展的全部检测项目清单、室内质控与室间质评执行方案、近2年对应检测项目室间质评合格证明材料，核心质量指标承诺（如冰冻切片诊断符合率、免疫组化染色合格率、报告差错率等）、检测结果互认合规保障、质量问题追溯与处置机制、医保合规管理方案；</w:t>
      </w: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报告与临床配套服务方案：包括各类型项目报告出具时效承诺、报告推送方式、与我院HIS/LIS系统无缝对接方案、异常结果分级预警机制、临床报告解读与咨询服务、临床科室专项培训方案、科研协作支持能力说明；</w:t>
      </w: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应急保障方案：包括急诊加急标本处置预案、设备故障/系统瘫痪应急方案、极端天气/公共卫生事件等特殊场景的服务保障预案；</w:t>
      </w: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信息安全与患者隐私保密方案。</w:t>
      </w:r>
    </w:p>
    <w:p>
      <w:pPr>
        <w:keepNext w:val="0"/>
        <w:keepLines w:val="0"/>
        <w:pageBreakBefore w:val="0"/>
        <w:widowControl/>
        <w:kinsoku/>
        <w:wordWrap/>
        <w:overflowPunct/>
        <w:topLinePunct w:val="0"/>
        <w:autoSpaceDE/>
        <w:autoSpaceDN/>
        <w:bidi w:val="0"/>
        <w:adjustRightInd/>
        <w:snapToGrid w:val="0"/>
        <w:spacing w:before="0" w:after="0" w:line="360" w:lineRule="auto"/>
        <w:ind w:left="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（四）报价相关材料</w:t>
      </w: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检验、病理外送项目报价清单，按项目类别分类列明项目名称、医保收费编码、本省医疗服务指导价、单项报价、折扣率等；</w:t>
      </w: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报价成本构成说明，以及针对本项目的集中采购专属优惠政策。</w:t>
      </w:r>
    </w:p>
    <w:p>
      <w:pPr>
        <w:keepNext w:val="0"/>
        <w:keepLines w:val="0"/>
        <w:pageBreakBefore w:val="0"/>
        <w:widowControl/>
        <w:kinsoku/>
        <w:wordWrap/>
        <w:overflowPunct/>
        <w:topLinePunct w:val="0"/>
        <w:autoSpaceDE/>
        <w:autoSpaceDN/>
        <w:bidi w:val="0"/>
        <w:adjustRightInd/>
        <w:snapToGrid w:val="0"/>
        <w:spacing w:before="0" w:after="0" w:line="360" w:lineRule="auto"/>
        <w:ind w:left="0" w:firstLine="0" w:firstLine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四、材料提交要求与时间安排</w:t>
      </w: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材料格式要求：所有材料按上述顺序装订，形成1份加盖公章的纸质正本。</w:t>
      </w: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提交截止时间：</w:t>
      </w:r>
      <w:r>
        <w:rPr>
          <w:rFonts w:hint="eastAsia" w:ascii="仿宋_GB2312" w:hAnsi="仿宋_GB2312" w:eastAsia="仿宋_GB2312" w:cs="仿宋_GB2312"/>
          <w:sz w:val="32"/>
          <w:szCs w:val="32"/>
          <w:lang w:val="en-US" w:eastAsia="zh-CN"/>
        </w:rPr>
        <w:t>2026年4月7日17:00</w:t>
      </w:r>
      <w:r>
        <w:rPr>
          <w:rFonts w:hint="default" w:ascii="仿宋_GB2312" w:hAnsi="仿宋_GB2312" w:eastAsia="仿宋_GB2312" w:cs="仿宋_GB2312"/>
          <w:sz w:val="32"/>
          <w:szCs w:val="32"/>
        </w:rPr>
        <w:t>，逾期提交的材料不予接收。</w:t>
      </w: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提交方式：纸质版材料送至</w:t>
      </w:r>
      <w:r>
        <w:rPr>
          <w:rFonts w:hint="default" w:ascii="仿宋_GB2312" w:hAnsi="仿宋_GB2312" w:eastAsia="仿宋_GB2312" w:cs="仿宋_GB2312"/>
          <w:sz w:val="32"/>
          <w:szCs w:val="32"/>
          <w:lang w:eastAsia="zh-CN"/>
        </w:rPr>
        <w:t>四川省妇幼保健院</w:t>
      </w:r>
      <w:r>
        <w:rPr>
          <w:rFonts w:hint="eastAsia" w:ascii="仿宋_GB2312" w:hAnsi="仿宋_GB2312" w:eastAsia="仿宋_GB2312" w:cs="仿宋_GB2312"/>
          <w:sz w:val="32"/>
          <w:szCs w:val="32"/>
          <w:lang w:eastAsia="zh-CN"/>
        </w:rPr>
        <w:t>门诊一楼门诊部办公室</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四川</w:t>
      </w:r>
      <w:r>
        <w:rPr>
          <w:rFonts w:hint="default" w:ascii="仿宋_GB2312" w:hAnsi="仿宋_GB2312" w:eastAsia="仿宋_GB2312" w:cs="仿宋_GB2312"/>
          <w:sz w:val="32"/>
          <w:szCs w:val="32"/>
        </w:rPr>
        <w:t>省</w:t>
      </w:r>
      <w:r>
        <w:rPr>
          <w:rFonts w:hint="eastAsia" w:ascii="仿宋_GB2312" w:hAnsi="仿宋_GB2312" w:eastAsia="仿宋_GB2312" w:cs="仿宋_GB2312"/>
          <w:sz w:val="32"/>
          <w:szCs w:val="32"/>
          <w:lang w:eastAsia="zh-CN"/>
        </w:rPr>
        <w:t>成都</w:t>
      </w:r>
      <w:r>
        <w:rPr>
          <w:rFonts w:hint="default"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武侯</w:t>
      </w:r>
      <w:r>
        <w:rPr>
          <w:rFonts w:hint="default"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沙堰西二街</w:t>
      </w:r>
      <w:r>
        <w:rPr>
          <w:rFonts w:hint="eastAsia" w:ascii="仿宋_GB2312" w:hAnsi="仿宋_GB2312" w:eastAsia="仿宋_GB2312" w:cs="仿宋_GB2312"/>
          <w:sz w:val="32"/>
          <w:szCs w:val="32"/>
          <w:lang w:val="en-US" w:eastAsia="zh-CN"/>
        </w:rPr>
        <w:t>290号</w:t>
      </w:r>
      <w:r>
        <w:rPr>
          <w:rFonts w:hint="default" w:ascii="仿宋_GB2312" w:hAnsi="仿宋_GB2312" w:eastAsia="仿宋_GB2312" w:cs="仿宋_GB2312"/>
          <w:sz w:val="32"/>
          <w:szCs w:val="32"/>
        </w:rPr>
        <w:t>）。</w:t>
      </w: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真实性承诺：供应商须对提交材料的真实性、合法性、有效性负责，如有虚假材料，将取消其参与本次调研及我院后续所有采购项目的资格。</w:t>
      </w:r>
    </w:p>
    <w:p>
      <w:pPr>
        <w:keepNext w:val="0"/>
        <w:keepLines w:val="0"/>
        <w:pageBreakBefore w:val="0"/>
        <w:widowControl/>
        <w:kinsoku/>
        <w:wordWrap/>
        <w:overflowPunct/>
        <w:topLinePunct w:val="0"/>
        <w:autoSpaceDE/>
        <w:autoSpaceDN/>
        <w:bidi w:val="0"/>
        <w:adjustRightInd/>
        <w:snapToGrid w:val="0"/>
        <w:spacing w:before="0" w:after="0" w:line="360" w:lineRule="auto"/>
        <w:ind w:left="0" w:firstLine="0" w:firstLine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五、调研工作安排</w:t>
      </w: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640" w:firstLineChars="200"/>
        <w:textAlignment w:val="auto"/>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rPr>
        <w:t>我院将组建专项调研小组，对收到的调研材料进行汇总、整理与合规性审核；</w:t>
      </w: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640" w:firstLineChars="200"/>
        <w:textAlignment w:val="auto"/>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rPr>
        <w:t>我院将根据调研情况，择期组织符合要求的供应商开展现场沟通/述标会议，具体时间另行通知；</w:t>
      </w: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640" w:firstLineChars="200"/>
        <w:textAlignment w:val="auto"/>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rPr>
        <w:t>我院保留对供应商的实验室、服务场地、同类项目业绩进行实地考察核验的权利；</w:t>
      </w: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640" w:firstLineChars="200"/>
        <w:textAlignment w:val="auto"/>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rPr>
        <w:t>本次调研仅为市场摸底，调研结果将作为我院后续采购文件编制、预算核定、技术参数设置的核心参考依据，正式采购需求以最终发布的招标公告为准。</w:t>
      </w:r>
    </w:p>
    <w:p>
      <w:pPr>
        <w:keepNext w:val="0"/>
        <w:keepLines w:val="0"/>
        <w:pageBreakBefore w:val="0"/>
        <w:widowControl/>
        <w:kinsoku/>
        <w:wordWrap/>
        <w:overflowPunct/>
        <w:topLinePunct w:val="0"/>
        <w:autoSpaceDE/>
        <w:autoSpaceDN/>
        <w:bidi w:val="0"/>
        <w:adjustRightInd/>
        <w:snapToGrid w:val="0"/>
        <w:spacing w:before="0" w:after="0" w:line="360" w:lineRule="auto"/>
        <w:ind w:left="0" w:firstLine="0" w:firstLineChars="0"/>
        <w:textAlignment w:val="auto"/>
        <w:outlineLvl w:val="9"/>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六、重要声明</w:t>
      </w: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本公告仅为市场调研公告，不构成任何采购要约或采购承诺，不代表我院将必然开展正式采购活动，我院有权根据调研情况调整、取消后续采购项目，供应商不得据此向我院主张任何权利。</w:t>
      </w: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本次调研不向供应商收取任何费用，供应商参与本次调研所产生的所有成本、费用均由供应商自行承担。</w:t>
      </w: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我院对供应商提交的所有调研材料严格保密，仅用于本次市场调研工作，未经供应商同意，不向任何第三方泄露。现公示的功能需求、配置及技术性能仅作为市场调研参考使用，无任何针对性，如有不全之处，敬请理解，供应商可根据自身服务能力补充完善相关内容，最终需求以正式遴选/采购时为准。</w:t>
      </w: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参与本次调研的供应商，即视为完全认可本公告的所有内容及要求。</w:t>
      </w:r>
    </w:p>
    <w:p>
      <w:pPr>
        <w:keepNext w:val="0"/>
        <w:keepLines w:val="0"/>
        <w:pageBreakBefore w:val="0"/>
        <w:widowControl/>
        <w:kinsoku/>
        <w:wordWrap/>
        <w:overflowPunct/>
        <w:topLinePunct w:val="0"/>
        <w:autoSpaceDE/>
        <w:autoSpaceDN/>
        <w:bidi w:val="0"/>
        <w:adjustRightInd/>
        <w:snapToGrid w:val="0"/>
        <w:spacing w:before="0" w:after="0" w:line="360" w:lineRule="auto"/>
        <w:ind w:left="0" w:firstLine="0" w:firstLineChars="0"/>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sz w:val="32"/>
          <w:szCs w:val="32"/>
        </w:rPr>
        <w:t>七、联系方式</w:t>
      </w: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rPr>
        <w:t>业务咨询联系人：</w:t>
      </w:r>
      <w:r>
        <w:rPr>
          <w:rFonts w:hint="eastAsia" w:ascii="仿宋_GB2312" w:hAnsi="仿宋_GB2312" w:eastAsia="仿宋_GB2312" w:cs="仿宋_GB2312"/>
          <w:color w:val="auto"/>
          <w:sz w:val="32"/>
          <w:szCs w:val="32"/>
          <w:lang w:eastAsia="zh-CN"/>
        </w:rPr>
        <w:t>检验科</w:t>
      </w:r>
      <w:r>
        <w:rPr>
          <w:rFonts w:hint="eastAsia" w:ascii="仿宋_GB2312" w:hAnsi="仿宋_GB2312" w:eastAsia="仿宋_GB2312" w:cs="仿宋_GB2312"/>
          <w:color w:val="auto"/>
          <w:sz w:val="32"/>
          <w:szCs w:val="32"/>
          <w:lang w:val="en-US" w:eastAsia="zh-CN"/>
        </w:rPr>
        <w:t>谢</w:t>
      </w:r>
      <w:r>
        <w:rPr>
          <w:rFonts w:hint="default" w:ascii="仿宋_GB2312" w:hAnsi="仿宋_GB2312" w:eastAsia="仿宋_GB2312" w:cs="仿宋_GB2312"/>
          <w:color w:val="auto"/>
          <w:sz w:val="32"/>
          <w:szCs w:val="32"/>
        </w:rPr>
        <w:t>老师  联系电话：0</w:t>
      </w:r>
      <w:r>
        <w:rPr>
          <w:rFonts w:hint="eastAsia" w:ascii="仿宋_GB2312" w:hAnsi="仿宋_GB2312" w:eastAsia="仿宋_GB2312" w:cs="仿宋_GB2312"/>
          <w:color w:val="auto"/>
          <w:sz w:val="32"/>
          <w:szCs w:val="32"/>
          <w:lang w:val="en-US" w:eastAsia="zh-CN"/>
        </w:rPr>
        <w:t>28</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65978177</w:t>
      </w: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病理科聂老师  </w:t>
      </w:r>
      <w:r>
        <w:rPr>
          <w:rFonts w:hint="default"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lang w:val="en-US" w:eastAsia="zh-CN"/>
        </w:rPr>
        <w:t>028</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6597</w:t>
      </w:r>
      <w:r>
        <w:rPr>
          <w:rFonts w:hint="eastAsia" w:ascii="仿宋_GB2312" w:hAnsi="仿宋_GB2312" w:eastAsia="仿宋_GB2312" w:cs="仿宋_GB2312"/>
          <w:color w:val="auto"/>
          <w:sz w:val="32"/>
          <w:szCs w:val="32"/>
          <w:lang w:val="en-US" w:eastAsia="zh-CN"/>
        </w:rPr>
        <w:t>8260</w:t>
      </w: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640" w:firstLineChars="200"/>
        <w:textAlignment w:val="auto"/>
        <w:outlineLvl w:val="9"/>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材料提交联系人：</w:t>
      </w:r>
      <w:r>
        <w:rPr>
          <w:rFonts w:hint="eastAsia" w:ascii="仿宋_GB2312" w:hAnsi="仿宋_GB2312" w:eastAsia="仿宋_GB2312" w:cs="仿宋_GB2312"/>
          <w:color w:val="auto"/>
          <w:sz w:val="32"/>
          <w:szCs w:val="32"/>
          <w:lang w:eastAsia="zh-CN"/>
        </w:rPr>
        <w:t>医务部钟</w:t>
      </w:r>
      <w:r>
        <w:rPr>
          <w:rFonts w:hint="default" w:ascii="仿宋_GB2312" w:hAnsi="仿宋_GB2312" w:eastAsia="仿宋_GB2312" w:cs="仿宋_GB2312"/>
          <w:color w:val="auto"/>
          <w:sz w:val="32"/>
          <w:szCs w:val="32"/>
        </w:rPr>
        <w:t>老师  联系电话：</w:t>
      </w:r>
      <w:r>
        <w:rPr>
          <w:rFonts w:hint="eastAsia" w:ascii="仿宋_GB2312" w:hAnsi="仿宋_GB2312" w:eastAsia="仿宋_GB2312" w:cs="仿宋_GB2312"/>
          <w:color w:val="auto"/>
          <w:sz w:val="32"/>
          <w:szCs w:val="32"/>
          <w:lang w:val="en-US" w:eastAsia="zh-CN"/>
        </w:rPr>
        <w:t>028-65978228</w:t>
      </w: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640" w:firstLineChars="200"/>
        <w:textAlignment w:val="auto"/>
        <w:outlineLvl w:val="9"/>
        <w:rPr>
          <w:rFonts w:hint="default" w:ascii="仿宋_GB2312" w:hAnsi="仿宋_GB2312" w:eastAsia="仿宋_GB2312" w:cs="仿宋_GB2312"/>
          <w:color w:val="auto"/>
          <w:sz w:val="32"/>
          <w:szCs w:val="32"/>
          <w:lang w:eastAsia="zh-CN"/>
        </w:rPr>
      </w:pP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640" w:firstLineChars="200"/>
        <w:textAlignment w:val="auto"/>
        <w:outlineLvl w:val="9"/>
        <w:rPr>
          <w:rFonts w:hint="default" w:ascii="仿宋_GB2312" w:hAnsi="仿宋_GB2312" w:eastAsia="仿宋_GB2312" w:cs="仿宋_GB2312"/>
          <w:sz w:val="32"/>
          <w:szCs w:val="32"/>
          <w:lang w:eastAsia="zh-CN"/>
        </w:rPr>
      </w:pP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5440" w:firstLineChars="1700"/>
        <w:textAlignment w:val="auto"/>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四川省妇幼保健院</w:t>
      </w: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5440" w:firstLineChars="1700"/>
        <w:textAlignment w:val="auto"/>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2026</w:t>
      </w:r>
      <w:r>
        <w:rPr>
          <w:rFonts w:hint="default"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default" w:ascii="仿宋_GB2312" w:hAnsi="仿宋_GB2312" w:eastAsia="仿宋_GB2312" w:cs="仿宋_GB2312"/>
          <w:sz w:val="32"/>
          <w:szCs w:val="32"/>
        </w:rPr>
        <w:t>日</w:t>
      </w: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5440" w:firstLineChars="1700"/>
        <w:textAlignment w:val="auto"/>
        <w:outlineLvl w:val="9"/>
        <w:rPr>
          <w:rFonts w:hint="default" w:ascii="仿宋_GB2312" w:hAnsi="仿宋_GB2312" w:eastAsia="仿宋_GB2312" w:cs="仿宋_GB2312"/>
          <w:sz w:val="32"/>
          <w:szCs w:val="32"/>
        </w:rPr>
      </w:pP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5440" w:firstLineChars="1700"/>
        <w:textAlignment w:val="auto"/>
        <w:outlineLvl w:val="9"/>
        <w:rPr>
          <w:rFonts w:hint="default" w:ascii="仿宋_GB2312" w:hAnsi="仿宋_GB2312" w:eastAsia="仿宋_GB2312" w:cs="仿宋_GB2312"/>
          <w:sz w:val="32"/>
          <w:szCs w:val="32"/>
        </w:rPr>
      </w:pP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5440" w:firstLineChars="1700"/>
        <w:textAlignment w:val="auto"/>
        <w:outlineLvl w:val="9"/>
        <w:rPr>
          <w:rFonts w:hint="default" w:ascii="仿宋_GB2312" w:hAnsi="仿宋_GB2312" w:eastAsia="仿宋_GB2312" w:cs="仿宋_GB2312"/>
          <w:sz w:val="32"/>
          <w:szCs w:val="32"/>
        </w:rPr>
      </w:pP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5440" w:firstLineChars="1700"/>
        <w:textAlignment w:val="auto"/>
        <w:outlineLvl w:val="9"/>
        <w:rPr>
          <w:rFonts w:hint="default" w:ascii="仿宋_GB2312" w:hAnsi="仿宋_GB2312" w:eastAsia="仿宋_GB2312" w:cs="仿宋_GB2312"/>
          <w:sz w:val="32"/>
          <w:szCs w:val="32"/>
        </w:rPr>
      </w:pP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5440" w:firstLineChars="1700"/>
        <w:textAlignment w:val="auto"/>
        <w:outlineLvl w:val="9"/>
        <w:rPr>
          <w:rFonts w:hint="default" w:ascii="仿宋_GB2312" w:hAnsi="仿宋_GB2312" w:eastAsia="仿宋_GB2312" w:cs="仿宋_GB2312"/>
          <w:sz w:val="32"/>
          <w:szCs w:val="32"/>
        </w:rPr>
      </w:pP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5440" w:firstLineChars="1700"/>
        <w:textAlignment w:val="auto"/>
        <w:outlineLvl w:val="9"/>
        <w:rPr>
          <w:rFonts w:hint="default" w:ascii="仿宋_GB2312" w:hAnsi="仿宋_GB2312" w:eastAsia="仿宋_GB2312" w:cs="仿宋_GB2312"/>
          <w:sz w:val="32"/>
          <w:szCs w:val="32"/>
        </w:rPr>
      </w:pP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5440" w:firstLineChars="1700"/>
        <w:textAlignment w:val="auto"/>
        <w:outlineLvl w:val="9"/>
        <w:rPr>
          <w:rFonts w:hint="default" w:ascii="仿宋_GB2312" w:hAnsi="仿宋_GB2312" w:eastAsia="仿宋_GB2312" w:cs="仿宋_GB2312"/>
          <w:sz w:val="32"/>
          <w:szCs w:val="32"/>
        </w:rPr>
      </w:pP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5440" w:firstLineChars="1700"/>
        <w:textAlignment w:val="auto"/>
        <w:outlineLvl w:val="9"/>
        <w:rPr>
          <w:rFonts w:hint="default" w:ascii="仿宋_GB2312" w:hAnsi="仿宋_GB2312" w:eastAsia="仿宋_GB2312" w:cs="仿宋_GB2312"/>
          <w:sz w:val="32"/>
          <w:szCs w:val="32"/>
        </w:rPr>
      </w:pP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5440" w:firstLineChars="1700"/>
        <w:textAlignment w:val="auto"/>
        <w:outlineLvl w:val="9"/>
        <w:rPr>
          <w:rFonts w:hint="default" w:ascii="仿宋_GB2312" w:hAnsi="仿宋_GB2312" w:eastAsia="仿宋_GB2312" w:cs="仿宋_GB2312"/>
          <w:sz w:val="32"/>
          <w:szCs w:val="32"/>
        </w:rPr>
      </w:pP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5440" w:firstLineChars="1700"/>
        <w:textAlignment w:val="auto"/>
        <w:outlineLvl w:val="9"/>
        <w:rPr>
          <w:rFonts w:hint="default" w:ascii="仿宋_GB2312" w:hAnsi="仿宋_GB2312" w:eastAsia="仿宋_GB2312" w:cs="仿宋_GB2312"/>
          <w:sz w:val="32"/>
          <w:szCs w:val="32"/>
        </w:rPr>
      </w:pP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5440" w:firstLineChars="1700"/>
        <w:textAlignment w:val="auto"/>
        <w:outlineLvl w:val="9"/>
        <w:rPr>
          <w:rFonts w:hint="default" w:ascii="仿宋_GB2312" w:hAnsi="仿宋_GB2312" w:eastAsia="仿宋_GB2312" w:cs="仿宋_GB2312"/>
          <w:sz w:val="32"/>
          <w:szCs w:val="32"/>
        </w:rPr>
      </w:pP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5440" w:firstLineChars="1700"/>
        <w:textAlignment w:val="auto"/>
        <w:outlineLvl w:val="9"/>
        <w:rPr>
          <w:rFonts w:hint="default"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outlineLvl w:val="9"/>
        <w:rPr>
          <w:rFonts w:hint="default" w:ascii="Times New Roman" w:hAnsi="Times New Roman" w:eastAsia="宋体" w:cs="Times New Roman"/>
          <w:b/>
          <w:color w:val="auto"/>
          <w:sz w:val="21"/>
          <w:szCs w:val="21"/>
        </w:rPr>
      </w:pPr>
      <w:bookmarkStart w:id="2" w:name="_GoBack"/>
      <w:bookmarkEnd w:id="2"/>
      <w:r>
        <w:rPr>
          <w:rFonts w:hint="default" w:ascii="Times New Roman" w:hAnsi="Times New Roman" w:eastAsia="宋体" w:cs="Times New Roman"/>
          <w:b/>
          <w:color w:val="auto"/>
          <w:sz w:val="21"/>
          <w:szCs w:val="21"/>
        </w:rPr>
        <w:t>附件1 报价一览表</w:t>
      </w:r>
    </w:p>
    <w:p>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outlineLvl w:val="9"/>
        <w:rPr>
          <w:rFonts w:hint="default" w:ascii="Times New Roman" w:hAnsi="Times New Roman" w:eastAsia="宋体" w:cs="Times New Roman"/>
          <w:b/>
          <w:color w:val="auto"/>
          <w:sz w:val="21"/>
          <w:szCs w:val="21"/>
        </w:rPr>
      </w:pPr>
      <w:r>
        <w:rPr>
          <w:rFonts w:hint="default" w:ascii="Times New Roman" w:hAnsi="Times New Roman" w:eastAsia="宋体" w:cs="Times New Roman"/>
          <w:color w:val="auto"/>
          <w:sz w:val="21"/>
          <w:szCs w:val="21"/>
        </w:rPr>
        <w:t>项目名称：四川省妇幼保健院外送检测（检验、病理）</w:t>
      </w:r>
      <w:r>
        <w:rPr>
          <w:rFonts w:hint="eastAsia" w:ascii="Times New Roman" w:hAnsi="Times New Roman" w:eastAsia="宋体" w:cs="Times New Roman"/>
          <w:color w:val="auto"/>
          <w:sz w:val="21"/>
          <w:szCs w:val="21"/>
          <w:lang w:eastAsia="zh-CN"/>
        </w:rPr>
        <w:t>服务</w:t>
      </w:r>
      <w:r>
        <w:rPr>
          <w:rFonts w:hint="default" w:ascii="Times New Roman" w:hAnsi="Times New Roman" w:eastAsia="宋体" w:cs="Times New Roman"/>
          <w:color w:val="auto"/>
          <w:sz w:val="21"/>
          <w:szCs w:val="21"/>
        </w:rPr>
        <w:t>市场调研项目</w:t>
      </w:r>
    </w:p>
    <w:tbl>
      <w:tblPr>
        <w:tblStyle w:val="10"/>
        <w:tblW w:w="9504" w:type="dxa"/>
        <w:tblInd w:w="-5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8"/>
        <w:gridCol w:w="2233"/>
        <w:gridCol w:w="2803"/>
        <w:gridCol w:w="830"/>
        <w:gridCol w:w="1220"/>
        <w:gridCol w:w="840"/>
        <w:gridCol w:w="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序号</w:t>
            </w:r>
          </w:p>
        </w:tc>
        <w:tc>
          <w:tcPr>
            <w:tcW w:w="223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检测大类</w:t>
            </w:r>
          </w:p>
        </w:tc>
        <w:tc>
          <w:tcPr>
            <w:tcW w:w="280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项目名称</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统一折扣率</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单例最高限价限价</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标准检测周期</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加急检测周期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b/>
                <w:bCs/>
                <w:i w:val="0"/>
                <w:iCs w:val="0"/>
                <w:color w:val="000000"/>
                <w:sz w:val="22"/>
                <w:szCs w:val="22"/>
                <w:u w:val="none"/>
              </w:rPr>
            </w:pPr>
          </w:p>
        </w:tc>
        <w:tc>
          <w:tcPr>
            <w:tcW w:w="223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b/>
                <w:bCs/>
                <w:i w:val="0"/>
                <w:iCs w:val="0"/>
                <w:color w:val="000000"/>
                <w:sz w:val="22"/>
                <w:szCs w:val="22"/>
                <w:u w:val="none"/>
              </w:rPr>
            </w:pPr>
          </w:p>
        </w:tc>
        <w:tc>
          <w:tcPr>
            <w:tcW w:w="280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b/>
                <w:bCs/>
                <w:i w:val="0"/>
                <w:iCs w:val="0"/>
                <w:color w:val="000000"/>
                <w:sz w:val="22"/>
                <w:szCs w:val="22"/>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（元/例）</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b/>
                <w:bCs/>
                <w:i w:val="0"/>
                <w:iCs w:val="0"/>
                <w:color w:val="000000"/>
                <w:sz w:val="22"/>
                <w:szCs w:val="22"/>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nil"/>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233" w:type="dxa"/>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肿瘤病理分子诊断与基因检测类</w:t>
            </w:r>
          </w:p>
        </w:tc>
        <w:tc>
          <w:tcPr>
            <w:tcW w:w="2803" w:type="dxa"/>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子宫内膜癌精准诊疗检测（≥13个体系突变基因+MSI，FFPE)  </w:t>
            </w:r>
          </w:p>
        </w:tc>
        <w:tc>
          <w:tcPr>
            <w:tcW w:w="830" w:type="dxa"/>
            <w:tcBorders>
              <w:top w:val="nil"/>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nil"/>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nil"/>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nil"/>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肿瘤病理分子诊断与基因检测类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子宫内膜癌相关基因测序检测（≥27基因+MSI，FFPE)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肿瘤病理分子诊断与基因检测类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子宫内膜癌相关基因测序检测（≥54基因+免疫治疗+化疗药物评估+遗传风险评估，FFPE)</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肿瘤病理分子诊断与基因检测类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宫颈癌相关基因测序检测（≥39基因+免疫治疗+化疗药物评估，FFPE)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肿瘤病理分子诊断与基因检测类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乳腺癌精准诊疗检测（≥12个体系突变基因+MSI，FFPE)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肿瘤病理分子诊断与基因检测类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乳腺癌相关基因测序检测（≥32基因+MSI，FFPE)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肿瘤病理分子诊断与基因检测类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乳腺癌相关基因测序检测（≥59基因+免疫治疗+化疗药物评估+遗传风险评估，FFPE)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肿瘤病理分子诊断与基因检测类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卵巢癌精准诊疗检测（≥12个体系突变基因+MSI，FFPE)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肿瘤病理分子诊断与基因检测类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卵巢癌相关基因测序检测（≥28基因+MSI，FFPE)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肿瘤病理分子诊断与基因检测类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卵巢癌相关基因测序检测（≥52基因+免疫治疗+化疗药物评估+遗传风险评估，FFPE)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肿瘤病理分子诊断与基因检测类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甲状腺癌精准诊疗检测（≥10基因+MSI，FFPE)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肿瘤病理分子诊断与基因检测类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软组织和骨肿瘤精准诊疗检测（≥14基因，FFPE)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肿瘤病理分子诊断与基因检测类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软组织和骨肿瘤相关基因测序套餐（≥113基因，FFPE)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肿瘤病理分子诊断与基因检测类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BRAF基因突变热点检测,外显子15的位点V600E(二代测序，FFPE)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肿瘤病理分子诊断与基因检测类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HER-2/neu基因扩增检测(FISH，FFPE)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肿瘤病理分子诊断与基因检测类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PD-L1(DAKO，22C3)全自动免疫组化</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肿瘤病理分子诊断与基因检测类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PD-L1(Ventana，SP263)全自动免疫组化</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肿瘤病理分子诊断与基因检测类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PD-L1(Ventana，SP142)全自动免疫组化</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肿瘤病理分子诊断与基因检测类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POLE基因9-14号外显子测序(FFPE)</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肿瘤病理分子诊断与基因检测类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乳腺癌复发风险21基因检测（SH-21，FFPE）</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肿瘤病理分子诊断与基因检测类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实体肿瘤BRCA基因突变检测(FFPE)</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肿瘤病理分子诊断与基因检测类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BRCA基因测序检测(HBOC,全外显子测序)（ctDNA）</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肿瘤病理分子诊断与基因检测类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BRCA基因测序检测(HBOC,测序+MLPA)（ctDNA）</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肿瘤病理分子诊断与基因检测类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葡萄胎STR基因分型(FFPE)</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肿瘤病理分子诊断与基因检测类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血管瘤与脉管畸形基因检测(FFPE)</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肿瘤病理分子诊断与基因检测类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同源重组修复缺陷HRD评估(FFPE)</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肿瘤病理分子诊断与基因检测类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TERT基因启动子区突变热点检测</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肿瘤病理分子诊断与基因检测类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实体肿瘤FH基因测序检测（FFPE)</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肿瘤病理分子诊断与基因检测类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黑色素瘤精准诊疗Mini套餐（FFPE)</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肿瘤病理分子诊断与基因检测类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黑色素瘤相关基因测序检测（FFPE）</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肿瘤病理分子诊断与基因检测类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黑色素瘤相关基因测序检测（中级套餐，FFPE）</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肿瘤病理分子诊断与基因检测类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实体肿瘤相关热点融合基因靶向RNA测序检测</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肿瘤病理分子诊断与基因检测类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EBV原位杂交</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34</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肿瘤病理分子诊断与基因检测类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EGFR基因T790M突变</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35</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肿瘤病理分子诊断与基因检测类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EGFR基因突变检测</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肿瘤病理分子诊断与基因检测类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KRAS/NRAS/BRAF 基因突变检测</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肿瘤病理分子诊断与基因检测类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KRAS/NRAS/BRAF基因突变检测</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38</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肿瘤病理分子诊断与基因检测类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Lynch综合征基因检测</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肿瘤病理分子诊断与基因检测类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MLH1启动子区甲基化检测</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肿瘤病理分子诊断与基因检测类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白血病融合基因筛查</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肿瘤病理分子诊断与基因检测类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宫颈癌基因甲基化检测</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肿瘤病理分子诊断与基因检测类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骨髓染色体核分型</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43</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肿瘤病理分子诊断与基因检测类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基因重排检测</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44</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肿瘤病理分子诊断与基因检测类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甲状腺癌相关基因突变检测</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45</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肿瘤病理分子诊断与基因检测类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淋巴造血组织病理诊断(免疫组化/基因重排/FISH/EBV原位杂交)</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46</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肿瘤病理分子诊断与基因检测类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内分泌肿瘤易感基因检测</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肿瘤病理分子诊断与基因检测类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全景基因检测</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48</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肿瘤病理分子诊断与基因检测类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肾上腺皮质增生基因检查</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49</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肿瘤病理分子诊断与基因检测类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实体肿瘤多基因突变检测</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肿瘤病理分子诊断与基因检测类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嗜铬细胞瘤/副神经节瘤易感基因检测</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肿瘤病理分子诊断与基因检测类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微卫星序列不稳定性检测（MSI）</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肿瘤病理分子诊断与基因检测类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胃肠间质瘤精准诊疗检测</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53</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肿瘤病理分子诊断与基因检测类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胃肠间质瘤相关基因测序检测</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肿瘤病理分子诊断与基因检测类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循环肿瘤细胞（CTC）技术分型</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55</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肿瘤病理分子诊断与基因检测类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中枢神经系统肿瘤相关分子检测</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56</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肿瘤病理其他检测类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肝脏病理会诊</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57</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肿瘤病理其他检测类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肝脏穿刺电镜检查</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58</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肿瘤病理其他检测类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肝脏活检检查与诊断</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59</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肿瘤病理其他检测类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肝脏免疫组化</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60</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肿瘤病理其他检测类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肝脏特殊染色</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61</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肿瘤病理其他检测类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甲胎蛋白异质体测定</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62</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肿瘤病理其他检测类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免疫荧光</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63</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肿瘤病理其他检测类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肾穿免疫电镜</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肿瘤病理其他检测类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肾穿免疫组化</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65</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肿瘤病理其他检测类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肾穿特染</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66</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肿瘤病理其他检测类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肾穿原位杂交</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67</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肿瘤病理其他检测类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肾脏病理会诊</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68</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肿瘤病理其他检测类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肾脏全套电镜检查与诊断</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69</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肿瘤病理其他检测类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特殊染色</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70</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感染性疾病精准检测类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EB病毒DNA定量检测</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71</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感染性疾病精准检测类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Th细胞因子检测</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72</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感染性疾病精准检测类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百日咳杆菌核酸检测</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73</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感染性疾病精准检测类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丙肝病毒RNA定量检测</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74</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感染性疾病精准检测类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病毒性脑炎核酸检测</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75</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感染性疾病精准检测类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病原微生物高通量测序(MetaCAP)</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76</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感染性疾病精准检测类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大便艰难梭菌毒素A/B</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77</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感染性疾病精准检测类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肥达试验</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感染性疾病精准检测类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肺寄生虫抗体检测</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79</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感染性疾病精准检测类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肝寄生虫抗体检测</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感染性疾病精准检测类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宏基因组学检测</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81</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感染性疾病精准检测类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呼吸道多种病原体靶向测序</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82</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感染性疾病精准检测类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艰难梭菌抗原GDH及毒素A和B</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83</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感染性疾病精准检测类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结核杆菌核酸定性检测</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84</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感染性疾病精准检测类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结核感染T细胞试验(IGRA)</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85</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感染性疾病精准检测类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结核感染T细胞试验(TSPOT)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86</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感染性疾病精准检测类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结核抗体检测</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87</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感染性疾病精准检测类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脑脊液病原学宏基因学检测</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感染性疾病精准检测类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脑寄生虫抗体检测</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89</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感染性疾病精准检测类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七种常见寄生虫抗体检测</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感染性疾病精准检测类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曲霉菌抗原检测(GM试验)</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91</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感染性疾病精准检测类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水痘带状疱疹病毒核酸检测</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92</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感染性疾病精准检测类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水痘带状疱疹病毒抗体检测</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93</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感染性疾病精准检测类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外斐试验</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94</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感染性疾病精准检测类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血液病原学宏基因学检测</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95</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感染性疾病精准检测类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真菌D葡聚糖检测(G试验)</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96</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感染性疾病精准检测类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中枢神经系统多种病原体靶向测序</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97</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内分泌及代谢病检测类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I型胶原前肽</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98</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内分泌及代谢病检测类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β</w:t>
            </w:r>
            <w:r>
              <w:rPr>
                <w:rStyle w:val="20"/>
                <w:lang w:val="en-US" w:eastAsia="zh-CN" w:bidi="ar"/>
              </w:rPr>
              <w:t>胶原降解产物</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99</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内分泌及代谢病检测类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促甲状腺素受体抗体检测</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内分泌及代谢病检测类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高血压三项</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101</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内分泌及代谢病检测类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高血压四项</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102</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内分泌及代谢病检测类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骨钙素</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103</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内分泌及代谢病检测类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甲状旁腺激素</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104</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内分泌及代谢病检测类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降钙素测定</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105</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内分泌及代谢病检测类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尿香草扁桃酸VMA</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106</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内分泌及代谢病检测类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尿有机酸分析检测</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107</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内分泌及代谢病检测类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双氢睾酮</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108</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内分泌及代谢病检测类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铜蓝蛋白</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109</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内分泌及代谢病检测类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脱氢表雄酮</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110</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内分泌及代谢病检测类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微量元素钙镁铁锌铜铅(ICP-MS法)</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111</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内分泌及代谢病检测类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微量元素硒(ICP-MS法)</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112</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内分泌及代谢病检测类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胃泌素17</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113</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内分泌及代谢病检测类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血铜</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114</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凝血与蛋白检测类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蛋白C</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115</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凝血与蛋白检测类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蛋白S</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116</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凝血与蛋白检测类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血浆凝血因子全套检测</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117</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凝血与蛋白检测类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血小板相关抗体检测</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118</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其他临床特殊检测类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24小时尿铜</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119</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其他临床特殊检测类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乳糜泻抗体</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细胞因子与免疫检测类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白介素10</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121</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细胞因子与免疫检测类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白介素2</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122</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细胞因子与免疫检测类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白介素4</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123</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细胞因子与免疫检测类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白介素6</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124</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细胞因子与免疫检测类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钙卫蛋白</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125</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细胞因子与免疫检测类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肿瘤坏死因子</w:t>
            </w:r>
            <w:r>
              <w:rPr>
                <w:rStyle w:val="21"/>
                <w:rFonts w:eastAsia="等线"/>
                <w:lang w:val="en-US" w:eastAsia="zh-CN" w:bidi="ar"/>
              </w:rPr>
              <w:t>α</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126</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血药浓度监测类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奥卡西平血药浓度监测</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127</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血药浓度监测类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丙戊酸血药浓度监测</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128</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血药浓度监测类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地高辛血药浓度监测</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129</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血药浓度监测类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环孢霉素A血药浓度监测</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130</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血药浓度监测类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嘌呤类等化疗药物浓度及基因检测</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131</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血药浓度监测类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他克莫司血药浓度监测</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132</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血药浓度监测类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托吡酯血药浓度监测</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133</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血药浓度监测类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万古霉素血药浓度监测</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134</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血药浓度监测类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西罗莫司血药浓度监测</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135</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血药浓度监测类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血药浓度监测</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136</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血药浓度监测类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左乙拉西坦血药浓度监测</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137</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自身免疫性疾病检测类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IgG4亚类</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138</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自身免疫性疾病检测类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抗CCP抗体</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139</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自身免疫性疾病检测类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抗Xa(低分子肝素)浓度监测</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140</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自身免疫性疾病检测类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抗核抗体(ANA)滴度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141</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自身免疫性疾病检测类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抗中性粒细胞胞浆抗体(ANCA)</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142</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自身免疫性疾病检测类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人类白细胞抗原B27测定(HLA-B27)</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143</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自身免疫性疾病检测类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神经节苷脂抗体谱</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144</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自身免疫性疾病检测类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血和脑脊液神经免疫性抗体检测</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28" w:type="dxa"/>
            <w:tcBorders>
              <w:top w:val="single" w:color="000000" w:sz="8" w:space="0"/>
              <w:left w:val="single" w:color="000000" w:sz="12" w:space="0"/>
              <w:bottom w:val="nil"/>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自身免疫性疾病检测类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重症肌无力相关抗体检测</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2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146</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自身免疫性疾病检测类</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自免肝抗体检测</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等线" w:hAnsi="等线" w:eastAsia="等线" w:cs="等线"/>
                <w:i w:val="0"/>
                <w:iCs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注：1. 所有报价均为人民币，包含完成本项目服务所需的试剂、运输、检测、报告出具、税费、售后技术支持等全部费用；2. 需另附详细的单项检测项目报价明细表。3.标准检测周期列中，请供应商按实际服务能力填写，单位为工作日；4.统一折扣率以四川省三甲医院医疗服务价格检验检查项目统一定价为基准计算；5.未填写内容视为无相关服务承诺，最终以供应商填报内容为准。</w:t>
      </w:r>
    </w:p>
    <w:p>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供应商名称（盖章）：</w:t>
      </w:r>
    </w:p>
    <w:p>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法定代表人/授权代表（签字）：</w:t>
      </w:r>
    </w:p>
    <w:p>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日期： </w:t>
      </w:r>
      <w:r>
        <w:rPr>
          <w:rFonts w:hint="eastAsia"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 xml:space="preserve">年 </w:t>
      </w:r>
      <w:r>
        <w:rPr>
          <w:rFonts w:hint="eastAsia"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日</w:t>
      </w:r>
    </w:p>
    <w:p>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outlineLvl w:val="9"/>
        <w:rPr>
          <w:rFonts w:hint="default" w:ascii="Times New Roman" w:hAnsi="Times New Roman" w:eastAsia="宋体" w:cs="Times New Roman"/>
          <w:color w:val="auto"/>
          <w:sz w:val="21"/>
          <w:szCs w:val="21"/>
        </w:rPr>
      </w:pPr>
      <w:bookmarkStart w:id="1" w:name="heading_13"/>
      <w:r>
        <w:rPr>
          <w:rFonts w:hint="default" w:ascii="Times New Roman" w:hAnsi="Times New Roman" w:eastAsia="宋体" w:cs="Times New Roman"/>
          <w:b/>
          <w:color w:val="auto"/>
          <w:sz w:val="21"/>
          <w:szCs w:val="21"/>
        </w:rPr>
        <w:br w:type="page"/>
      </w:r>
      <w:r>
        <w:rPr>
          <w:rFonts w:hint="default" w:ascii="Times New Roman" w:hAnsi="Times New Roman" w:eastAsia="宋体" w:cs="Times New Roman"/>
          <w:b/>
          <w:color w:val="auto"/>
          <w:sz w:val="21"/>
          <w:szCs w:val="21"/>
        </w:rPr>
        <w:t>附件2 类似项目业绩一览表</w:t>
      </w:r>
      <w:bookmarkEnd w:id="1"/>
    </w:p>
    <w:tbl>
      <w:tblPr>
        <w:tblStyle w:val="10"/>
        <w:tblW w:w="9434" w:type="dxa"/>
        <w:jc w:val="center"/>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Layout w:type="autofit"/>
        <w:tblCellMar>
          <w:top w:w="0" w:type="dxa"/>
          <w:left w:w="10" w:type="dxa"/>
          <w:bottom w:w="0" w:type="dxa"/>
          <w:right w:w="10" w:type="dxa"/>
        </w:tblCellMar>
      </w:tblPr>
      <w:tblGrid>
        <w:gridCol w:w="561"/>
        <w:gridCol w:w="782"/>
        <w:gridCol w:w="762"/>
        <w:gridCol w:w="983"/>
        <w:gridCol w:w="983"/>
        <w:gridCol w:w="983"/>
        <w:gridCol w:w="1404"/>
        <w:gridCol w:w="2248"/>
        <w:gridCol w:w="728"/>
      </w:tblGrid>
      <w:tr>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tblHeader/>
          <w:jc w:val="center"/>
        </w:trPr>
        <w:tc>
          <w:tcPr>
            <w:tcW w:w="561" w:type="dxa"/>
            <w:tcBorders>
              <w:top w:val="single" w:color="auto" w:sz="12" w:space="0"/>
              <w:left w:val="single" w:color="auto" w:sz="12" w:space="0"/>
              <w:bottom w:val="nil"/>
              <w:right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序号</w:t>
            </w:r>
          </w:p>
        </w:tc>
        <w:tc>
          <w:tcPr>
            <w:tcW w:w="782" w:type="dxa"/>
            <w:tcBorders>
              <w:top w:val="single" w:color="auto" w:sz="12" w:space="0"/>
              <w:left w:val="single" w:color="auto" w:sz="4" w:space="0"/>
              <w:bottom w:val="nil"/>
              <w:right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年份</w:t>
            </w:r>
          </w:p>
        </w:tc>
        <w:tc>
          <w:tcPr>
            <w:tcW w:w="762" w:type="dxa"/>
            <w:tcBorders>
              <w:top w:val="single" w:color="auto" w:sz="12" w:space="0"/>
              <w:left w:val="single" w:color="auto" w:sz="4" w:space="0"/>
              <w:bottom w:val="nil"/>
              <w:right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用户名称</w:t>
            </w:r>
          </w:p>
        </w:tc>
        <w:tc>
          <w:tcPr>
            <w:tcW w:w="983" w:type="dxa"/>
            <w:tcBorders>
              <w:top w:val="single" w:color="auto" w:sz="12" w:space="0"/>
              <w:left w:val="single" w:color="auto" w:sz="4" w:space="0"/>
              <w:bottom w:val="nil"/>
              <w:right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项目名称</w:t>
            </w:r>
          </w:p>
        </w:tc>
        <w:tc>
          <w:tcPr>
            <w:tcW w:w="983" w:type="dxa"/>
            <w:tcBorders>
              <w:top w:val="single" w:color="auto" w:sz="12" w:space="0"/>
              <w:left w:val="single" w:color="auto" w:sz="4" w:space="0"/>
              <w:bottom w:val="nil"/>
              <w:right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完成时间</w:t>
            </w:r>
          </w:p>
        </w:tc>
        <w:tc>
          <w:tcPr>
            <w:tcW w:w="983" w:type="dxa"/>
            <w:tcBorders>
              <w:top w:val="single" w:color="auto" w:sz="12" w:space="0"/>
              <w:left w:val="single" w:color="auto" w:sz="4" w:space="0"/>
              <w:bottom w:val="nil"/>
              <w:right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合同金额</w:t>
            </w:r>
          </w:p>
        </w:tc>
        <w:tc>
          <w:tcPr>
            <w:tcW w:w="1404" w:type="dxa"/>
            <w:tcBorders>
              <w:top w:val="single" w:color="auto" w:sz="12" w:space="0"/>
              <w:left w:val="single" w:color="auto" w:sz="4" w:space="0"/>
              <w:bottom w:val="nil"/>
              <w:right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是否通过验收</w:t>
            </w:r>
          </w:p>
        </w:tc>
        <w:tc>
          <w:tcPr>
            <w:tcW w:w="2248" w:type="dxa"/>
            <w:tcBorders>
              <w:top w:val="single" w:color="auto" w:sz="12" w:space="0"/>
              <w:left w:val="single" w:color="auto" w:sz="4" w:space="0"/>
              <w:bottom w:val="nil"/>
              <w:right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项目联系人及联系电话</w:t>
            </w:r>
          </w:p>
        </w:tc>
        <w:tc>
          <w:tcPr>
            <w:tcW w:w="728" w:type="dxa"/>
            <w:tcBorders>
              <w:top w:val="single" w:color="auto" w:sz="12" w:space="0"/>
              <w:left w:val="single" w:color="auto" w:sz="4" w:space="0"/>
              <w:bottom w:val="nil"/>
              <w:right w:val="single" w:color="auto" w:sz="12" w:space="0"/>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备注</w:t>
            </w:r>
          </w:p>
        </w:tc>
      </w:tr>
      <w:tr>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561" w:type="dxa"/>
            <w:tcBorders>
              <w:top w:val="single" w:color="auto" w:sz="4" w:space="0"/>
              <w:left w:val="single" w:color="auto" w:sz="12" w:space="0"/>
              <w:bottom w:val="nil"/>
              <w:right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782"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p>
        </w:tc>
        <w:tc>
          <w:tcPr>
            <w:tcW w:w="762"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p>
        </w:tc>
        <w:tc>
          <w:tcPr>
            <w:tcW w:w="983"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p>
        </w:tc>
        <w:tc>
          <w:tcPr>
            <w:tcW w:w="983"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p>
        </w:tc>
        <w:tc>
          <w:tcPr>
            <w:tcW w:w="983"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p>
        </w:tc>
        <w:tc>
          <w:tcPr>
            <w:tcW w:w="1404"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right"/>
              <w:textAlignment w:val="auto"/>
              <w:outlineLvl w:val="9"/>
              <w:rPr>
                <w:rFonts w:hint="default" w:ascii="Times New Roman" w:hAnsi="Times New Roman" w:eastAsia="宋体" w:cs="Times New Roman"/>
                <w:color w:val="auto"/>
                <w:sz w:val="21"/>
                <w:szCs w:val="21"/>
              </w:rPr>
            </w:pPr>
          </w:p>
        </w:tc>
        <w:tc>
          <w:tcPr>
            <w:tcW w:w="2248"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p>
        </w:tc>
        <w:tc>
          <w:tcPr>
            <w:tcW w:w="728" w:type="dxa"/>
            <w:tcBorders>
              <w:top w:val="single" w:color="auto" w:sz="4" w:space="0"/>
              <w:left w:val="single" w:color="auto" w:sz="4" w:space="0"/>
              <w:bottom w:val="nil"/>
              <w:right w:val="single" w:color="auto" w:sz="12" w:space="0"/>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p>
        </w:tc>
      </w:tr>
      <w:tr>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561" w:type="dxa"/>
            <w:tcBorders>
              <w:top w:val="single" w:color="auto" w:sz="4" w:space="0"/>
              <w:left w:val="single" w:color="auto" w:sz="12" w:space="0"/>
              <w:bottom w:val="nil"/>
              <w:right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782"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p>
        </w:tc>
        <w:tc>
          <w:tcPr>
            <w:tcW w:w="762"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p>
        </w:tc>
        <w:tc>
          <w:tcPr>
            <w:tcW w:w="983"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p>
        </w:tc>
        <w:tc>
          <w:tcPr>
            <w:tcW w:w="983"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p>
        </w:tc>
        <w:tc>
          <w:tcPr>
            <w:tcW w:w="983"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p>
        </w:tc>
        <w:tc>
          <w:tcPr>
            <w:tcW w:w="1404"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right"/>
              <w:textAlignment w:val="auto"/>
              <w:outlineLvl w:val="9"/>
              <w:rPr>
                <w:rFonts w:hint="default" w:ascii="Times New Roman" w:hAnsi="Times New Roman" w:eastAsia="宋体" w:cs="Times New Roman"/>
                <w:color w:val="auto"/>
                <w:sz w:val="21"/>
                <w:szCs w:val="21"/>
              </w:rPr>
            </w:pPr>
          </w:p>
        </w:tc>
        <w:tc>
          <w:tcPr>
            <w:tcW w:w="2248"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p>
        </w:tc>
        <w:tc>
          <w:tcPr>
            <w:tcW w:w="728" w:type="dxa"/>
            <w:tcBorders>
              <w:top w:val="single" w:color="auto" w:sz="4" w:space="0"/>
              <w:left w:val="single" w:color="auto" w:sz="4" w:space="0"/>
              <w:bottom w:val="nil"/>
              <w:right w:val="single" w:color="auto" w:sz="12" w:space="0"/>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p>
        </w:tc>
      </w:tr>
      <w:tr>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561" w:type="dxa"/>
            <w:tcBorders>
              <w:top w:val="single" w:color="auto" w:sz="4" w:space="0"/>
              <w:left w:val="single" w:color="auto" w:sz="12" w:space="0"/>
              <w:bottom w:val="single" w:color="auto" w:sz="12" w:space="0"/>
              <w:right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782" w:type="dxa"/>
            <w:tcBorders>
              <w:top w:val="single" w:color="auto" w:sz="4" w:space="0"/>
              <w:left w:val="single" w:color="auto" w:sz="4" w:space="0"/>
              <w:bottom w:val="single" w:color="auto" w:sz="12" w:space="0"/>
              <w:right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p>
        </w:tc>
        <w:tc>
          <w:tcPr>
            <w:tcW w:w="762" w:type="dxa"/>
            <w:tcBorders>
              <w:top w:val="single" w:color="auto" w:sz="4" w:space="0"/>
              <w:left w:val="single" w:color="auto" w:sz="4" w:space="0"/>
              <w:bottom w:val="single" w:color="auto" w:sz="12" w:space="0"/>
              <w:right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p>
        </w:tc>
        <w:tc>
          <w:tcPr>
            <w:tcW w:w="983" w:type="dxa"/>
            <w:tcBorders>
              <w:top w:val="single" w:color="auto" w:sz="4" w:space="0"/>
              <w:left w:val="single" w:color="auto" w:sz="4" w:space="0"/>
              <w:bottom w:val="single" w:color="auto" w:sz="12" w:space="0"/>
              <w:right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p>
        </w:tc>
        <w:tc>
          <w:tcPr>
            <w:tcW w:w="983" w:type="dxa"/>
            <w:tcBorders>
              <w:top w:val="single" w:color="auto" w:sz="4" w:space="0"/>
              <w:left w:val="single" w:color="auto" w:sz="4" w:space="0"/>
              <w:bottom w:val="single" w:color="auto" w:sz="12" w:space="0"/>
              <w:right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p>
        </w:tc>
        <w:tc>
          <w:tcPr>
            <w:tcW w:w="983" w:type="dxa"/>
            <w:tcBorders>
              <w:top w:val="single" w:color="auto" w:sz="4" w:space="0"/>
              <w:left w:val="single" w:color="auto" w:sz="4" w:space="0"/>
              <w:bottom w:val="single" w:color="auto" w:sz="12" w:space="0"/>
              <w:right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p>
        </w:tc>
        <w:tc>
          <w:tcPr>
            <w:tcW w:w="1404" w:type="dxa"/>
            <w:tcBorders>
              <w:top w:val="single" w:color="auto" w:sz="4" w:space="0"/>
              <w:left w:val="single" w:color="auto" w:sz="4" w:space="0"/>
              <w:bottom w:val="single" w:color="auto" w:sz="12" w:space="0"/>
              <w:right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right"/>
              <w:textAlignment w:val="auto"/>
              <w:outlineLvl w:val="9"/>
              <w:rPr>
                <w:rFonts w:hint="default" w:ascii="Times New Roman" w:hAnsi="Times New Roman" w:eastAsia="宋体" w:cs="Times New Roman"/>
                <w:color w:val="auto"/>
                <w:sz w:val="21"/>
                <w:szCs w:val="21"/>
              </w:rPr>
            </w:pPr>
          </w:p>
        </w:tc>
        <w:tc>
          <w:tcPr>
            <w:tcW w:w="2248" w:type="dxa"/>
            <w:tcBorders>
              <w:top w:val="single" w:color="auto" w:sz="4" w:space="0"/>
              <w:left w:val="single" w:color="auto" w:sz="4" w:space="0"/>
              <w:bottom w:val="single" w:color="auto" w:sz="12" w:space="0"/>
              <w:right w:val="nil"/>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p>
        </w:tc>
        <w:tc>
          <w:tcPr>
            <w:tcW w:w="728" w:type="dxa"/>
            <w:tcBorders>
              <w:top w:val="single" w:color="auto" w:sz="4" w:space="0"/>
              <w:left w:val="single" w:color="auto" w:sz="4" w:space="0"/>
              <w:bottom w:val="single" w:color="auto" w:sz="12" w:space="0"/>
              <w:right w:val="single" w:color="auto" w:sz="12" w:space="0"/>
            </w:tcBorders>
            <w:noWrap w:val="0"/>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p>
        </w:tc>
      </w:tr>
    </w:tbl>
    <w:p>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注：需附对应项目的合同/中标通知书复印件加盖公章，否则业绩不予认可。</w:t>
      </w:r>
    </w:p>
    <w:p>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供应商名称（盖章）：</w:t>
      </w:r>
    </w:p>
    <w:p>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法定代表人/授权代表（签字）：</w:t>
      </w:r>
    </w:p>
    <w:p>
      <w:pPr>
        <w:keepNext w:val="0"/>
        <w:keepLines w:val="0"/>
        <w:pageBreakBefore w:val="0"/>
        <w:widowControl w:val="0"/>
        <w:kinsoku/>
        <w:wordWrap/>
        <w:overflowPunct/>
        <w:topLinePunct w:val="0"/>
        <w:autoSpaceDE/>
        <w:autoSpaceDN/>
        <w:bidi w:val="0"/>
        <w:adjustRightInd/>
        <w:snapToGrid w:val="0"/>
        <w:spacing w:line="360" w:lineRule="auto"/>
        <w:ind w:left="0"/>
        <w:jc w:val="both"/>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日期： 年 月</w:t>
      </w:r>
      <w:r>
        <w:rPr>
          <w:rFonts w:hint="eastAsia"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 xml:space="preserve"> 日</w:t>
      </w:r>
    </w:p>
    <w:p>
      <w:pPr>
        <w:pStyle w:val="16"/>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firstLine="5440" w:firstLineChars="1700"/>
        <w:textAlignment w:val="auto"/>
        <w:outlineLvl w:val="9"/>
        <w:rPr>
          <w:rFonts w:hint="default" w:ascii="仿宋_GB2312" w:hAnsi="仿宋_GB2312" w:eastAsia="仿宋_GB2312" w:cs="仿宋_GB2312"/>
          <w:sz w:val="32"/>
          <w:szCs w:val="32"/>
        </w:rPr>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Gulim">
    <w:panose1 w:val="020B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trackRevisions w:val="1"/>
  <w:documentProtection w:enforcement="0"/>
  <w:displayHorizontalDrawingGridEvery w:val="1"/>
  <w:displayVerticalDrawingGridEvery w:val="1"/>
  <w:noPunctuationKerning w:val="1"/>
  <w:compat>
    <w:doNotExpandShiftReturn/>
    <w:doNotWrapTextWithPunct/>
    <w:doNotUseEastAsianBreakRules/>
    <w:useFELayout/>
    <w:doNotUseIndentAsNumberingTabStop/>
    <w:compatSetting w:name="compatibilityMode" w:uri="http://schemas.microsoft.com/office/word" w:val="15"/>
  </w:compat>
  <w:docVars>
    <w:docVar w:name="commondata" w:val="eyJoZGlkIjoiM2Y1NWJhN2IwODAyYjMxYjEzYWJhNjkyNzM5OTY4NDEifQ=="/>
  </w:docVars>
  <w:rsids>
    <w:rsidRoot w:val="00000000"/>
    <w:rsid w:val="07686571"/>
    <w:rsid w:val="0E8E6D4C"/>
    <w:rsid w:val="203D6B2C"/>
    <w:rsid w:val="2254647C"/>
    <w:rsid w:val="29AE7AF9"/>
    <w:rsid w:val="35784900"/>
    <w:rsid w:val="3BA76885"/>
    <w:rsid w:val="40B47E47"/>
    <w:rsid w:val="4FD317CF"/>
    <w:rsid w:val="54031E42"/>
    <w:rsid w:val="5ED11616"/>
    <w:rsid w:val="619407B2"/>
    <w:rsid w:val="62B04F94"/>
    <w:rsid w:val="707A742E"/>
    <w:rsid w:val="7105288E"/>
    <w:rsid w:val="79AB4A88"/>
    <w:rsid w:val="7A4E711C"/>
    <w:rsid w:val="7D282B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footnote text"/>
    <w:link w:val="15"/>
    <w:semiHidden/>
    <w:unhideWhenUsed/>
    <w:qFormat/>
    <w:uiPriority w:val="99"/>
    <w:pPr>
      <w:spacing w:after="0" w:line="240" w:lineRule="auto"/>
    </w:pPr>
    <w:rPr>
      <w:rFonts w:asciiTheme="minorHAnsi" w:hAnsiTheme="minorHAnsi" w:eastAsiaTheme="minorEastAsia" w:cstheme="minorBidi"/>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qFormat/>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qFormat/>
    <w:uiPriority w:val="0"/>
    <w:rPr>
      <w:rFonts w:asciiTheme="minorHAnsi" w:hAnsiTheme="minorHAnsi" w:eastAsiaTheme="minorEastAsia" w:cstheme="minorBidi"/>
      <w:sz w:val="21"/>
      <w:szCs w:val="22"/>
    </w:rPr>
  </w:style>
  <w:style w:type="character" w:customStyle="1" w:styleId="15">
    <w:name w:val="Footnote Text Char"/>
    <w:link w:val="8"/>
    <w:semiHidden/>
    <w:unhideWhenUsed/>
    <w:qFormat/>
    <w:uiPriority w:val="99"/>
    <w:rPr>
      <w:sz w:val="20"/>
      <w:szCs w:val="20"/>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 w:type="paragraph" w:customStyle="1" w:styleId="17">
    <w:name w:val="_Style 14"/>
    <w:qFormat/>
    <w:uiPriority w:val="0"/>
    <w:pPr>
      <w:spacing w:before="120" w:after="120" w:line="288" w:lineRule="auto"/>
      <w:ind w:left="0"/>
      <w:jc w:val="left"/>
    </w:pPr>
    <w:rPr>
      <w:rFonts w:ascii="Arial" w:hAnsi="Arial" w:eastAsia="等线" w:cs="Arial"/>
      <w:color w:val="8F959E"/>
      <w:sz w:val="22"/>
      <w:szCs w:val="22"/>
    </w:rPr>
  </w:style>
  <w:style w:type="character" w:customStyle="1" w:styleId="18">
    <w:name w:val="font21"/>
    <w:basedOn w:val="11"/>
    <w:qFormat/>
    <w:uiPriority w:val="0"/>
    <w:rPr>
      <w:rFonts w:ascii="Arial" w:hAnsi="Arial" w:cs="Arial"/>
      <w:color w:val="000000"/>
      <w:sz w:val="22"/>
      <w:szCs w:val="22"/>
      <w:u w:val="none"/>
    </w:rPr>
  </w:style>
  <w:style w:type="character" w:customStyle="1" w:styleId="19">
    <w:name w:val="font11"/>
    <w:basedOn w:val="11"/>
    <w:qFormat/>
    <w:uiPriority w:val="0"/>
    <w:rPr>
      <w:rFonts w:hint="eastAsia" w:ascii="等线" w:hAnsi="等线" w:eastAsia="等线" w:cs="等线"/>
      <w:color w:val="000000"/>
      <w:sz w:val="22"/>
      <w:szCs w:val="22"/>
      <w:u w:val="none"/>
    </w:rPr>
  </w:style>
  <w:style w:type="character" w:customStyle="1" w:styleId="20">
    <w:name w:val="font81"/>
    <w:basedOn w:val="11"/>
    <w:qFormat/>
    <w:uiPriority w:val="0"/>
    <w:rPr>
      <w:rFonts w:hint="eastAsia" w:ascii="等线" w:hAnsi="等线" w:eastAsia="等线" w:cs="等线"/>
      <w:color w:val="000000"/>
      <w:sz w:val="18"/>
      <w:szCs w:val="18"/>
      <w:u w:val="none"/>
    </w:rPr>
  </w:style>
  <w:style w:type="character" w:customStyle="1" w:styleId="21">
    <w:name w:val="font91"/>
    <w:basedOn w:val="11"/>
    <w:qFormat/>
    <w:uiPriority w:val="0"/>
    <w:rPr>
      <w:rFonts w:hint="default" w:ascii="Arial" w:hAnsi="Arial" w:cs="Arial"/>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2589</Words>
  <Characters>2694</Characters>
  <TotalTime>7</TotalTime>
  <ScaleCrop>false</ScaleCrop>
  <LinksUpToDate>false</LinksUpToDate>
  <CharactersWithSpaces>2717</CharactersWithSpaces>
  <Application>WPS Office_11.8.6.9023_F1E327BC-269C-435d-A152-05C5408002CA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2026-03-25T23:12:00Z</dcterms:created>
  <dc:creator>Un-named</dc:creator>
  <cp:lastModifiedBy>ೄ:ღ࿆₅₂₀CC¹³¹⁴</cp:lastModifiedBy>
  <dcterms:modified xsi:type="dcterms:W3CDTF">2026-03-27T10:26:27Z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eyJoZGlkIjoiOTExMDQwNWQ4ZTc3ZWRiNDZiNzAyMDI4Y2NmMDliMTAiLCJ1c2VySWQiOiIyOTE0NDY3MDUifQ==</vt:lpwstr>
  </property>
  <property fmtid="{D5CDD505-2E9C-101B-9397-08002B2CF9AE}" pid="3" name="KSOProductBuildVer">
    <vt:lpwstr>2052-11.8.6.9023</vt:lpwstr>
  </property>
  <property fmtid="{D5CDD505-2E9C-101B-9397-08002B2CF9AE}" pid="4" name="ICV">
    <vt:lpwstr>457D09E6E95543BFBAD040651135F882_13</vt:lpwstr>
  </property>
</Properties>
</file>