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1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eastAsia" w:ascii="黑体" w:hAnsi="黑体" w:eastAsia="黑体" w:cs="黑体"/>
          <w:b/>
          <w:bCs/>
          <w:i w:val="0"/>
          <w:caps w:val="0"/>
          <w:color w:val="auto"/>
          <w:spacing w:val="0"/>
          <w:sz w:val="40"/>
          <w:szCs w:val="40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sz w:val="44"/>
          <w:szCs w:val="44"/>
          <w:shd w:val="clear" w:color="auto" w:fill="FFFFFF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>退休职工节假日慰问券采购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sz w:val="44"/>
          <w:szCs w:val="44"/>
          <w:shd w:val="clear" w:color="auto" w:fill="FFFFFF"/>
          <w:lang w:eastAsia="zh-CN"/>
        </w:rPr>
        <w:t>项目方案要求</w:t>
      </w:r>
    </w:p>
    <w:bookmarkEnd w:id="0"/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160" w:leftChars="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160" w:leftChars="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项目慨况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16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每年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为退休职工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发放上下半年节假日慰问劵。现需采购供应商一名，为我院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退休职工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提供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节假日慰问券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服务，要求供应商有便利的提货实体店和商品种类，以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便退休职工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提取生活必需品。</w:t>
      </w:r>
    </w:p>
    <w:p>
      <w:pPr>
        <w:pStyle w:val="3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320" w:firstLineChars="1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二、项目要求</w:t>
      </w:r>
    </w:p>
    <w:p>
      <w:pPr>
        <w:pStyle w:val="3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供应商须提供符合工商及食品监督管理部门要求的相关资质，并在服务期内保证上述证件的有效性。</w:t>
      </w:r>
    </w:p>
    <w:p>
      <w:pPr>
        <w:pStyle w:val="3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供应商应为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退休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职工提供优质的服务。若发生职工投诉供应商服务态度、商品质量有问题或发生违反合同、或与投标文件不符的事情，一经查实，医院将采取相应的处罚措施或解除合同。</w:t>
      </w:r>
    </w:p>
    <w:p>
      <w:pPr>
        <w:pStyle w:val="3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供应商应严格遵守食品安全、消防管理等相关法律法规并接受食品卫生、消防等主管部门的监督和指导，并自行承担相应责任，如发生相关行政处罚，医院将采取相应的处罚措施或解除合同。</w:t>
      </w:r>
    </w:p>
    <w:p>
      <w:pPr>
        <w:pStyle w:val="3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供应商自主经营，独立核算，自负盈亏，发生的债权、债务与医院无关，均由供应商负责。</w:t>
      </w:r>
    </w:p>
    <w:p>
      <w:pPr>
        <w:pStyle w:val="3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经营范围：农副产品、预包装食品兼散装食品、乳制品、生活用品等，不能经营未经国家许可的医疗器械、药品、消毒剂等相关医疗用品和国家及有关部门规定的禁营物品；以及不得向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医院退休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职工销售“政府采购目录范围内的商品”（具体商品种类中标后需与医院确认）。</w:t>
      </w:r>
    </w:p>
    <w:p>
      <w:pPr>
        <w:pStyle w:val="3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6.供应商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各类食品应在固定购货点采购（供应商须向医院交齐购货点的各种证件、资料）。采购食品不得超过保质期，定型包装食品应有厂名、品名、厂地、生产日期、保质期，进口食品要有中文标识。  </w:t>
      </w:r>
    </w:p>
    <w:p>
      <w:pPr>
        <w:pStyle w:val="3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积极做好预防和控制疫情、食品安全事件，一旦发生食品安全事件，及时向采购人和卫生检疫机构报告，保留现场，封存可疑食品。  </w:t>
      </w:r>
    </w:p>
    <w:p>
      <w:pPr>
        <w:pStyle w:val="3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8.每次发放慰问券时需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与医院工作人员核对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本次发放人数与金额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，出具符合财务相关规范要求的正规发票，医院完善报销手续后支付。</w:t>
      </w:r>
    </w:p>
    <w:p>
      <w:pPr>
        <w:pStyle w:val="3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★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供应商中标后需购买食品安全责任险（赔付金额不低于100万元），需提供承诺函。</w:t>
      </w:r>
    </w:p>
    <w:p>
      <w:pPr>
        <w:pStyle w:val="3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10.供应商需有实体门店。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472" w:firstLineChars="147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472" w:firstLineChars="147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EB2FF4"/>
    <w:rsid w:val="47EB2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qFormat/>
    <w:uiPriority w:val="0"/>
    <w:pPr>
      <w:spacing w:after="120"/>
      <w:jc w:val="both"/>
      <w:textAlignment w:val="baseline"/>
    </w:pPr>
    <w:rPr>
      <w:rFonts w:ascii="Times New Roman"/>
      <w:kern w:val="2"/>
      <w:sz w:val="21"/>
      <w:szCs w:val="24"/>
      <w:lang w:val="en-US" w:eastAsia="zh-CN" w:bidi="ar-SA"/>
    </w:rPr>
  </w:style>
  <w:style w:type="paragraph" w:styleId="3">
    <w:name w:val="Plain Text"/>
    <w:basedOn w:val="1"/>
    <w:qFormat/>
    <w:uiPriority w:val="99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2026-03-12T00:23:00Z</dcterms:created>
  <dc:creator>一筒脸</dc:creator>
  <cp:lastModifiedBy>一筒脸</cp:lastModifiedBy>
  <dcterms:modified xsi:type="dcterms:W3CDTF">2026-03-12T00:29:38Z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