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胎儿染色体非整倍体（T21、T18、T13)检测试剂盒（可逆末端终止测序法）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96人份/盒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47999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血浆游离DNA提取试剂盒（磁珠法）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100次/盒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7378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高通量测序文库构建DNA纯化试剂盒（磁珠法）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100次/盒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7378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测序反应通用试剂盒（测序法）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75循环/测试，1测试/包装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25675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元/套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2026-02-13T08:12:16Z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