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DC17D">
      <w:pPr>
        <w:pStyle w:val="2"/>
        <w:spacing w:before="340" w:after="330" w:line="578" w:lineRule="auto"/>
        <w:jc w:val="center"/>
        <w:rPr>
          <w:rFonts w:hint="eastAsia" w:ascii="宋体" w:hAnsi="宋体" w:eastAsia="宋体" w:cs="宋体"/>
          <w:b/>
          <w:bCs/>
          <w:color w:val="000000"/>
          <w:sz w:val="36"/>
          <w:szCs w:val="36"/>
        </w:rPr>
      </w:pPr>
      <w:r>
        <w:rPr>
          <w:rFonts w:hint="eastAsia" w:ascii="宋体" w:hAnsi="宋体" w:eastAsia="宋体" w:cs="宋体"/>
          <w:b/>
          <w:bCs/>
          <w:color w:val="000000"/>
          <w:sz w:val="36"/>
          <w:szCs w:val="36"/>
          <w:lang w:val="en-US" w:eastAsia="zh-CN"/>
        </w:rPr>
        <w:t>四川省妇幼保健院（四川省妇女儿童医院）天府院区二期工程建设项目人防平战转换预案编制服务询价采购要求</w:t>
      </w:r>
    </w:p>
    <w:p w14:paraId="7133883D">
      <w:pPr>
        <w:pStyle w:val="11"/>
        <w:ind w:firstLine="420"/>
        <w:rPr>
          <w:rFonts w:hint="eastAsia" w:hAnsi="宋体" w:eastAsia="宋体" w:cs="宋体"/>
          <w:b/>
          <w:sz w:val="24"/>
          <w:szCs w:val="21"/>
        </w:rPr>
      </w:pPr>
      <w:r>
        <w:rPr>
          <w:rFonts w:hint="eastAsia" w:hAnsi="宋体" w:eastAsia="宋体" w:cs="宋体"/>
          <w:b/>
          <w:sz w:val="24"/>
          <w:szCs w:val="21"/>
        </w:rPr>
        <w:t>前提：本章中标注“★”号的条款为本项目的实质性要求，供应商应全部满足，否则其投标文件作无效处理。未标识符号的条款为一般参数条款。</w:t>
      </w:r>
    </w:p>
    <w:p w14:paraId="7265722A">
      <w:pPr>
        <w:pStyle w:val="34"/>
        <w:keepNext w:val="0"/>
        <w:keepLines w:val="0"/>
        <w:pageBreakBefore w:val="0"/>
        <w:widowControl w:val="0"/>
        <w:numPr>
          <w:ilvl w:val="0"/>
          <w:numId w:val="1"/>
        </w:numPr>
        <w:kinsoku/>
        <w:wordWrap/>
        <w:overflowPunct/>
        <w:topLinePunct w:val="0"/>
        <w:autoSpaceDE/>
        <w:autoSpaceDN/>
        <w:bidi w:val="0"/>
        <w:adjustRightInd w:val="0"/>
        <w:snapToGrid w:val="0"/>
        <w:ind w:left="0" w:firstLine="0"/>
        <w:textAlignment w:val="auto"/>
        <w:outlineLvl w:val="0"/>
        <w:rPr>
          <w:rFonts w:hint="eastAsia" w:ascii="宋体" w:hAnsi="宋体" w:eastAsia="宋体" w:cs="宋体"/>
          <w:b/>
          <w:color w:val="000000"/>
          <w:sz w:val="32"/>
          <w:szCs w:val="32"/>
        </w:rPr>
      </w:pPr>
      <w:r>
        <w:rPr>
          <w:rFonts w:hint="eastAsia" w:ascii="宋体" w:hAnsi="宋体" w:eastAsia="宋体" w:cs="宋体"/>
          <w:b/>
          <w:color w:val="000000"/>
          <w:sz w:val="32"/>
          <w:szCs w:val="32"/>
          <w:lang w:val="en-US" w:eastAsia="zh-CN"/>
        </w:rPr>
        <w:t>项目概况</w:t>
      </w:r>
    </w:p>
    <w:p w14:paraId="31B89EEE">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仿宋_GB2312" w:cstheme="minorBidi"/>
          <w:kern w:val="2"/>
          <w:sz w:val="24"/>
          <w:szCs w:val="22"/>
          <w:lang w:val="en-US" w:eastAsia="zh-CN" w:bidi="ar-SA"/>
          <w14:ligatures w14:val="standardContextual"/>
        </w:rPr>
      </w:pPr>
      <w:r>
        <w:rPr>
          <w:rFonts w:hint="eastAsia" w:ascii="Times New Roman" w:hAnsi="Times New Roman" w:eastAsia="仿宋_GB2312" w:cstheme="minorBidi"/>
          <w:kern w:val="2"/>
          <w:sz w:val="24"/>
          <w:szCs w:val="22"/>
          <w:lang w:val="en-US" w:eastAsia="zh-CN" w:bidi="ar-SA"/>
          <w14:ligatures w14:val="standardContextual"/>
        </w:rPr>
        <w:t>天府院区二期工程项目</w:t>
      </w:r>
      <w:r>
        <w:rPr>
          <w:rFonts w:hint="eastAsia" w:cstheme="minorBidi"/>
          <w:kern w:val="2"/>
          <w:sz w:val="24"/>
          <w:szCs w:val="22"/>
          <w:lang w:val="en-US" w:eastAsia="zh-CN" w:bidi="ar-SA"/>
          <w14:ligatures w14:val="standardContextual"/>
        </w:rPr>
        <w:t>位于双流区岐黄二路1515号，总建筑面积79975平方米,其中地上建筑面积51520平方米，包括住院综合楼、科教楼、垃圾站等;地下建筑面积28455平方米，包括地下停车场、人防急救医院及设备用房等。</w:t>
      </w:r>
      <w:r>
        <w:rPr>
          <w:rFonts w:hint="eastAsia" w:ascii="Times New Roman" w:hAnsi="Times New Roman" w:eastAsia="仿宋_GB2312" w:cstheme="minorBidi"/>
          <w:kern w:val="2"/>
          <w:sz w:val="24"/>
          <w:szCs w:val="22"/>
          <w:lang w:val="en-US" w:eastAsia="zh-CN" w:bidi="ar-SA"/>
          <w14:ligatures w14:val="standardContextual"/>
        </w:rPr>
        <w:t>按照相关人防规划、规范即政府部门要求等设计有人防急救医院3060</w:t>
      </w:r>
      <w:r>
        <w:rPr>
          <w:rFonts w:hint="eastAsia"/>
          <w:lang w:val="en-US" w:eastAsia="zh-CN"/>
        </w:rPr>
        <w:t>平方米</w:t>
      </w:r>
      <w:r>
        <w:rPr>
          <w:rFonts w:hint="eastAsia" w:ascii="Times New Roman" w:hAnsi="Times New Roman" w:eastAsia="仿宋_GB2312" w:cstheme="minorBidi"/>
          <w:kern w:val="2"/>
          <w:sz w:val="24"/>
          <w:szCs w:val="22"/>
          <w:lang w:val="en-US" w:eastAsia="zh-CN" w:bidi="ar-SA"/>
          <w14:ligatures w14:val="standardContextual"/>
        </w:rPr>
        <w:t>和二等人员掩蔽所4900平方米</w:t>
      </w:r>
      <w:r>
        <w:rPr>
          <w:rFonts w:hint="eastAsia" w:cstheme="minorBidi"/>
          <w:kern w:val="2"/>
          <w:sz w:val="24"/>
          <w:szCs w:val="22"/>
          <w:lang w:val="en-US" w:eastAsia="zh-CN" w:bidi="ar-SA"/>
          <w14:ligatures w14:val="standardContextual"/>
        </w:rPr>
        <w:t>。</w:t>
      </w:r>
    </w:p>
    <w:p w14:paraId="76128FD6">
      <w:pPr>
        <w:pStyle w:val="34"/>
        <w:numPr>
          <w:ilvl w:val="0"/>
          <w:numId w:val="1"/>
        </w:numPr>
        <w:adjustRightInd w:val="0"/>
        <w:snapToGrid w:val="0"/>
        <w:spacing w:before="312" w:beforeLines="100" w:after="624" w:afterLines="200"/>
        <w:ind w:left="0" w:firstLine="0"/>
        <w:outlineLvl w:val="0"/>
        <w:rPr>
          <w:rFonts w:hint="eastAsia" w:ascii="宋体" w:hAnsi="宋体" w:eastAsia="宋体" w:cs="宋体"/>
          <w:b/>
          <w:color w:val="000000"/>
          <w:sz w:val="32"/>
          <w:szCs w:val="32"/>
        </w:rPr>
      </w:pPr>
      <w:r>
        <w:rPr>
          <w:rFonts w:hint="eastAsia" w:ascii="宋体" w:hAnsi="宋体" w:eastAsia="宋体" w:cs="宋体"/>
          <w:b/>
          <w:color w:val="000000"/>
          <w:sz w:val="32"/>
          <w:szCs w:val="32"/>
        </w:rPr>
        <w:t>预算及采购清单</w:t>
      </w:r>
    </w:p>
    <w:p w14:paraId="41250D09">
      <w:pPr>
        <w:pStyle w:val="34"/>
        <w:numPr>
          <w:ilvl w:val="0"/>
          <w:numId w:val="2"/>
        </w:numPr>
        <w:adjustRightInd w:val="0"/>
        <w:snapToGrid w:val="0"/>
        <w:spacing w:before="156" w:beforeLines="50" w:after="156" w:afterLines="50"/>
        <w:ind w:left="0" w:firstLine="560" w:firstLineChars="200"/>
        <w:jc w:val="left"/>
        <w:outlineLvl w:val="0"/>
        <w:rPr>
          <w:rFonts w:hint="eastAsia" w:ascii="宋体" w:hAnsi="宋体" w:eastAsia="宋体" w:cs="宋体"/>
          <w:bCs/>
          <w:color w:val="000000"/>
          <w:sz w:val="28"/>
          <w:szCs w:val="28"/>
        </w:rPr>
      </w:pPr>
      <w:r>
        <w:rPr>
          <w:rFonts w:hint="eastAsia" w:ascii="宋体" w:hAnsi="宋体" w:eastAsia="宋体" w:cs="宋体"/>
          <w:bCs/>
          <w:color w:val="000000"/>
          <w:sz w:val="28"/>
          <w:szCs w:val="28"/>
        </w:rPr>
        <w:t>最高限价：</w:t>
      </w:r>
      <w:r>
        <w:rPr>
          <w:rFonts w:hint="eastAsia" w:ascii="宋体" w:hAnsi="宋体" w:eastAsia="宋体" w:cs="宋体"/>
          <w:bCs/>
          <w:color w:val="000000"/>
          <w:sz w:val="28"/>
          <w:szCs w:val="28"/>
          <w:lang w:val="en-US" w:eastAsia="zh-CN"/>
        </w:rPr>
        <w:t>2</w:t>
      </w:r>
      <w:r>
        <w:rPr>
          <w:rFonts w:hint="eastAsia" w:ascii="宋体" w:hAnsi="宋体" w:eastAsia="宋体" w:cs="宋体"/>
          <w:bCs/>
          <w:color w:val="000000"/>
          <w:sz w:val="28"/>
          <w:szCs w:val="28"/>
        </w:rPr>
        <w:t>万元</w:t>
      </w:r>
    </w:p>
    <w:p w14:paraId="4571FBB2">
      <w:pPr>
        <w:pStyle w:val="34"/>
        <w:numPr>
          <w:ilvl w:val="0"/>
          <w:numId w:val="2"/>
        </w:numPr>
        <w:adjustRightInd w:val="0"/>
        <w:snapToGrid w:val="0"/>
        <w:spacing w:before="156" w:beforeLines="50" w:after="156" w:afterLines="50"/>
        <w:ind w:left="0" w:firstLine="560" w:firstLineChars="200"/>
        <w:jc w:val="left"/>
        <w:outlineLvl w:val="0"/>
        <w:rPr>
          <w:rFonts w:hint="eastAsia" w:ascii="宋体" w:hAnsi="宋体" w:eastAsia="宋体" w:cs="宋体"/>
          <w:bCs/>
          <w:color w:val="000000"/>
          <w:sz w:val="28"/>
          <w:szCs w:val="28"/>
        </w:rPr>
      </w:pPr>
      <w:r>
        <w:rPr>
          <w:rFonts w:hint="eastAsia" w:ascii="宋体" w:hAnsi="宋体" w:eastAsia="宋体" w:cs="宋体"/>
          <w:bCs/>
          <w:color w:val="000000"/>
          <w:sz w:val="28"/>
          <w:szCs w:val="28"/>
        </w:rPr>
        <w:t>采购清单</w:t>
      </w:r>
    </w:p>
    <w:tbl>
      <w:tblPr>
        <w:tblStyle w:val="18"/>
        <w:tblW w:w="8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3645"/>
        <w:gridCol w:w="765"/>
        <w:gridCol w:w="690"/>
        <w:gridCol w:w="2344"/>
      </w:tblGrid>
      <w:tr w14:paraId="7F31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694" w:type="dxa"/>
            <w:vAlign w:val="center"/>
          </w:tcPr>
          <w:p w14:paraId="40D1A4F2">
            <w:pPr>
              <w:widowControl/>
              <w:adjustRightInd w:val="0"/>
              <w:snapToGrid w:val="0"/>
              <w:spacing w:line="300" w:lineRule="exact"/>
              <w:contextualSpacing/>
              <w:jc w:val="center"/>
              <w:rPr>
                <w:rFonts w:hint="eastAsia" w:ascii="宋体" w:hAnsi="宋体" w:eastAsia="宋体" w:cs="宋体"/>
                <w:b/>
                <w:bCs/>
                <w:color w:val="000000"/>
                <w:kern w:val="0"/>
                <w:sz w:val="20"/>
                <w:szCs w:val="21"/>
                <w14:ligatures w14:val="none"/>
              </w:rPr>
            </w:pPr>
            <w:r>
              <w:rPr>
                <w:rFonts w:hint="eastAsia" w:ascii="宋体" w:hAnsi="宋体" w:eastAsia="宋体" w:cs="宋体"/>
                <w:b/>
                <w:bCs/>
                <w:color w:val="000000"/>
                <w:kern w:val="0"/>
                <w:sz w:val="20"/>
                <w:szCs w:val="21"/>
                <w14:ligatures w14:val="none"/>
              </w:rPr>
              <w:t>序号</w:t>
            </w:r>
          </w:p>
        </w:tc>
        <w:tc>
          <w:tcPr>
            <w:tcW w:w="3645" w:type="dxa"/>
            <w:vAlign w:val="center"/>
          </w:tcPr>
          <w:p w14:paraId="45B1A41E">
            <w:pPr>
              <w:widowControl/>
              <w:adjustRightInd w:val="0"/>
              <w:snapToGrid w:val="0"/>
              <w:spacing w:line="300" w:lineRule="exact"/>
              <w:contextualSpacing/>
              <w:jc w:val="center"/>
              <w:rPr>
                <w:rFonts w:hint="eastAsia" w:ascii="宋体" w:hAnsi="宋体" w:eastAsia="宋体" w:cs="宋体"/>
                <w:b/>
                <w:bCs/>
                <w:color w:val="000000"/>
                <w:kern w:val="0"/>
                <w:sz w:val="20"/>
                <w:szCs w:val="21"/>
                <w14:ligatures w14:val="none"/>
              </w:rPr>
            </w:pPr>
            <w:r>
              <w:rPr>
                <w:rFonts w:hint="eastAsia" w:ascii="宋体" w:hAnsi="宋体" w:eastAsia="宋体" w:cs="宋体"/>
                <w:b/>
                <w:bCs/>
                <w:color w:val="000000"/>
                <w:kern w:val="0"/>
                <w:sz w:val="20"/>
                <w:szCs w:val="21"/>
                <w14:ligatures w14:val="none"/>
              </w:rPr>
              <w:t>采购清单</w:t>
            </w:r>
          </w:p>
        </w:tc>
        <w:tc>
          <w:tcPr>
            <w:tcW w:w="765" w:type="dxa"/>
            <w:vAlign w:val="center"/>
          </w:tcPr>
          <w:p w14:paraId="4AF1E252">
            <w:pPr>
              <w:widowControl/>
              <w:adjustRightInd w:val="0"/>
              <w:snapToGrid w:val="0"/>
              <w:spacing w:line="300" w:lineRule="exact"/>
              <w:contextualSpacing/>
              <w:jc w:val="center"/>
              <w:rPr>
                <w:rFonts w:hint="eastAsia" w:ascii="宋体" w:hAnsi="宋体" w:eastAsia="宋体" w:cs="宋体"/>
                <w:b/>
                <w:bCs/>
                <w:color w:val="000000"/>
                <w:kern w:val="0"/>
                <w:sz w:val="20"/>
                <w:szCs w:val="21"/>
                <w14:ligatures w14:val="none"/>
              </w:rPr>
            </w:pPr>
            <w:r>
              <w:rPr>
                <w:rFonts w:hint="eastAsia" w:ascii="宋体" w:hAnsi="宋体" w:eastAsia="宋体" w:cs="宋体"/>
                <w:b/>
                <w:bCs/>
                <w:color w:val="000000"/>
                <w:kern w:val="0"/>
                <w:sz w:val="20"/>
                <w:szCs w:val="21"/>
                <w14:ligatures w14:val="none"/>
              </w:rPr>
              <w:t>单位</w:t>
            </w:r>
          </w:p>
        </w:tc>
        <w:tc>
          <w:tcPr>
            <w:tcW w:w="690" w:type="dxa"/>
            <w:vAlign w:val="center"/>
          </w:tcPr>
          <w:p w14:paraId="3C84524F">
            <w:pPr>
              <w:widowControl/>
              <w:adjustRightInd w:val="0"/>
              <w:snapToGrid w:val="0"/>
              <w:spacing w:line="300" w:lineRule="exact"/>
              <w:contextualSpacing/>
              <w:jc w:val="center"/>
              <w:rPr>
                <w:rFonts w:hint="eastAsia" w:ascii="宋体" w:hAnsi="宋体" w:eastAsia="宋体" w:cs="宋体"/>
                <w:b/>
                <w:bCs/>
                <w:color w:val="000000"/>
                <w:kern w:val="0"/>
                <w:sz w:val="20"/>
                <w:szCs w:val="21"/>
                <w14:ligatures w14:val="none"/>
              </w:rPr>
            </w:pPr>
            <w:r>
              <w:rPr>
                <w:rFonts w:hint="eastAsia" w:ascii="宋体" w:hAnsi="宋体" w:eastAsia="宋体" w:cs="宋体"/>
                <w:b/>
                <w:bCs/>
                <w:color w:val="000000"/>
                <w:kern w:val="0"/>
                <w:sz w:val="20"/>
                <w:szCs w:val="21"/>
                <w14:ligatures w14:val="none"/>
              </w:rPr>
              <w:t>数量</w:t>
            </w:r>
          </w:p>
        </w:tc>
        <w:tc>
          <w:tcPr>
            <w:tcW w:w="2344" w:type="dxa"/>
            <w:vAlign w:val="center"/>
          </w:tcPr>
          <w:p w14:paraId="3B567777">
            <w:pPr>
              <w:widowControl/>
              <w:adjustRightInd w:val="0"/>
              <w:snapToGrid w:val="0"/>
              <w:spacing w:line="300" w:lineRule="exact"/>
              <w:contextualSpacing/>
              <w:jc w:val="center"/>
              <w:rPr>
                <w:rFonts w:hint="eastAsia" w:ascii="宋体" w:hAnsi="宋体" w:eastAsia="宋体" w:cs="宋体"/>
                <w:b/>
                <w:bCs/>
                <w:color w:val="000000"/>
                <w:kern w:val="0"/>
                <w:sz w:val="20"/>
                <w:szCs w:val="21"/>
                <w14:ligatures w14:val="none"/>
              </w:rPr>
            </w:pPr>
            <w:r>
              <w:rPr>
                <w:rFonts w:hint="eastAsia" w:ascii="宋体" w:hAnsi="宋体" w:eastAsia="宋体" w:cs="宋体"/>
                <w:b/>
                <w:bCs/>
                <w:color w:val="000000"/>
                <w:kern w:val="0"/>
                <w:sz w:val="20"/>
                <w:szCs w:val="21"/>
                <w14:ligatures w14:val="none"/>
              </w:rPr>
              <w:t>单价限价（元）</w:t>
            </w:r>
          </w:p>
        </w:tc>
      </w:tr>
      <w:tr w14:paraId="04F4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4" w:type="dxa"/>
            <w:vAlign w:val="center"/>
          </w:tcPr>
          <w:p w14:paraId="5FF0B428">
            <w:pPr>
              <w:widowControl/>
              <w:adjustRightInd w:val="0"/>
              <w:snapToGrid w:val="0"/>
              <w:spacing w:line="300" w:lineRule="exact"/>
              <w:contextualSpacing/>
              <w:jc w:val="center"/>
              <w:rPr>
                <w:rFonts w:hint="eastAsia" w:ascii="宋体" w:hAnsi="宋体" w:eastAsia="宋体" w:cs="宋体"/>
                <w:color w:val="000000"/>
                <w:kern w:val="0"/>
                <w:sz w:val="20"/>
                <w:szCs w:val="21"/>
                <w14:ligatures w14:val="none"/>
              </w:rPr>
            </w:pPr>
            <w:r>
              <w:rPr>
                <w:rFonts w:hint="eastAsia" w:ascii="宋体" w:hAnsi="宋体" w:eastAsia="宋体" w:cs="宋体"/>
                <w:color w:val="000000"/>
                <w:kern w:val="0"/>
                <w:sz w:val="20"/>
                <w:szCs w:val="21"/>
                <w14:ligatures w14:val="none"/>
              </w:rPr>
              <w:t>1</w:t>
            </w:r>
          </w:p>
        </w:tc>
        <w:tc>
          <w:tcPr>
            <w:tcW w:w="3645" w:type="dxa"/>
            <w:vAlign w:val="center"/>
          </w:tcPr>
          <w:p w14:paraId="303C56D2">
            <w:pPr>
              <w:widowControl/>
              <w:jc w:val="left"/>
              <w:textAlignment w:val="center"/>
              <w:rPr>
                <w:rFonts w:hint="eastAsia" w:ascii="宋体" w:hAnsi="宋体" w:eastAsia="宋体" w:cs="宋体"/>
                <w:color w:val="000000"/>
                <w:kern w:val="0"/>
                <w:sz w:val="20"/>
                <w:szCs w:val="20"/>
                <w14:ligatures w14:val="none"/>
              </w:rPr>
            </w:pPr>
            <w:r>
              <w:rPr>
                <w:rFonts w:hint="eastAsia" w:ascii="Times New Roman" w:hAnsi="Times New Roman" w:eastAsia="仿宋_GB2312" w:cstheme="minorBidi"/>
                <w:kern w:val="2"/>
                <w:sz w:val="24"/>
                <w:szCs w:val="22"/>
                <w:lang w:val="en-US" w:eastAsia="zh-CN" w:bidi="ar-SA"/>
                <w14:ligatures w14:val="standardContextual"/>
              </w:rPr>
              <w:t>四川省妇幼保健院（四川省妇女儿童医院）天府院区二期工程建设项目人防平战转换预案编制服务</w:t>
            </w:r>
          </w:p>
        </w:tc>
        <w:tc>
          <w:tcPr>
            <w:tcW w:w="765" w:type="dxa"/>
            <w:vAlign w:val="center"/>
          </w:tcPr>
          <w:p w14:paraId="15DB8C89">
            <w:pPr>
              <w:widowControl/>
              <w:jc w:val="center"/>
              <w:textAlignment w:val="center"/>
              <w:rPr>
                <w:rFonts w:hint="eastAsia" w:ascii="宋体" w:hAnsi="宋体" w:eastAsia="宋体" w:cs="宋体"/>
                <w:color w:val="000000"/>
                <w:kern w:val="0"/>
                <w:sz w:val="20"/>
                <w:szCs w:val="20"/>
                <w:lang w:eastAsia="zh-CN"/>
                <w14:ligatures w14:val="none"/>
              </w:rPr>
            </w:pPr>
            <w:r>
              <w:rPr>
                <w:rFonts w:hint="eastAsia" w:ascii="宋体" w:hAnsi="宋体" w:eastAsia="宋体" w:cs="宋体"/>
                <w:color w:val="000000"/>
                <w:kern w:val="0"/>
                <w:sz w:val="20"/>
                <w:szCs w:val="20"/>
                <w:lang w:val="en-US" w:eastAsia="zh-CN"/>
                <w14:ligatures w14:val="none"/>
              </w:rPr>
              <w:t>项</w:t>
            </w:r>
          </w:p>
        </w:tc>
        <w:tc>
          <w:tcPr>
            <w:tcW w:w="690" w:type="dxa"/>
            <w:vAlign w:val="center"/>
          </w:tcPr>
          <w:p w14:paraId="22AB19DF">
            <w:pPr>
              <w:widowControl/>
              <w:adjustRightInd w:val="0"/>
              <w:snapToGrid w:val="0"/>
              <w:spacing w:line="300" w:lineRule="exact"/>
              <w:contextualSpacing/>
              <w:jc w:val="center"/>
              <w:rPr>
                <w:rFonts w:hint="eastAsia" w:ascii="宋体" w:hAnsi="宋体" w:eastAsia="宋体" w:cs="宋体"/>
                <w:color w:val="000000"/>
                <w:kern w:val="0"/>
                <w:sz w:val="20"/>
                <w:szCs w:val="21"/>
                <w14:ligatures w14:val="none"/>
              </w:rPr>
            </w:pPr>
            <w:r>
              <w:rPr>
                <w:rFonts w:hint="eastAsia" w:ascii="宋体" w:hAnsi="宋体" w:eastAsia="宋体" w:cs="宋体"/>
                <w:color w:val="000000"/>
                <w:kern w:val="0"/>
                <w:sz w:val="20"/>
                <w:szCs w:val="21"/>
                <w14:ligatures w14:val="none"/>
              </w:rPr>
              <w:t>1</w:t>
            </w:r>
          </w:p>
        </w:tc>
        <w:tc>
          <w:tcPr>
            <w:tcW w:w="2344" w:type="dxa"/>
            <w:vAlign w:val="center"/>
          </w:tcPr>
          <w:p w14:paraId="190C3909">
            <w:pPr>
              <w:widowControl/>
              <w:jc w:val="center"/>
              <w:textAlignment w:val="center"/>
              <w:rPr>
                <w:rFonts w:hint="eastAsia" w:ascii="宋体" w:hAnsi="宋体" w:eastAsia="宋体" w:cs="宋体"/>
                <w:color w:val="000000"/>
                <w:kern w:val="0"/>
                <w:sz w:val="20"/>
                <w:szCs w:val="21"/>
                <w14:ligatures w14:val="none"/>
              </w:rPr>
            </w:pPr>
            <w:r>
              <w:rPr>
                <w:rFonts w:hint="eastAsia" w:ascii="宋体" w:hAnsi="宋体" w:eastAsia="宋体" w:cs="宋体"/>
                <w:color w:val="000000"/>
                <w:kern w:val="0"/>
                <w:sz w:val="20"/>
                <w:szCs w:val="20"/>
                <w:lang w:val="en-US" w:eastAsia="zh-CN" w:bidi="ar"/>
                <w14:ligatures w14:val="none"/>
              </w:rPr>
              <w:t>2</w:t>
            </w:r>
            <w:r>
              <w:rPr>
                <w:rFonts w:hint="eastAsia" w:ascii="宋体" w:hAnsi="宋体" w:eastAsia="宋体" w:cs="宋体"/>
                <w:color w:val="000000"/>
                <w:kern w:val="0"/>
                <w:sz w:val="20"/>
                <w:szCs w:val="20"/>
                <w:lang w:bidi="ar"/>
                <w14:ligatures w14:val="none"/>
              </w:rPr>
              <w:t>0000</w:t>
            </w:r>
          </w:p>
        </w:tc>
      </w:tr>
    </w:tbl>
    <w:p w14:paraId="0E780B3B">
      <w:pPr>
        <w:pStyle w:val="34"/>
        <w:numPr>
          <w:ilvl w:val="0"/>
          <w:numId w:val="1"/>
        </w:numPr>
        <w:adjustRightInd w:val="0"/>
        <w:snapToGrid w:val="0"/>
        <w:spacing w:before="312" w:beforeLines="100" w:after="312" w:afterLines="100"/>
        <w:ind w:left="0" w:firstLine="0"/>
        <w:outlineLvl w:val="0"/>
        <w:rPr>
          <w:rFonts w:hint="eastAsia" w:ascii="宋体" w:hAnsi="宋体" w:eastAsia="宋体" w:cs="宋体"/>
          <w:b/>
          <w:color w:val="000000"/>
          <w:sz w:val="32"/>
          <w:szCs w:val="32"/>
        </w:rPr>
      </w:pPr>
      <w:r>
        <w:rPr>
          <w:rFonts w:hint="eastAsia" w:ascii="宋体" w:hAnsi="宋体" w:eastAsia="宋体" w:cs="宋体"/>
          <w:b/>
          <w:color w:val="000000"/>
          <w:sz w:val="32"/>
          <w:szCs w:val="32"/>
        </w:rPr>
        <w:t>技术要求</w:t>
      </w:r>
    </w:p>
    <w:p w14:paraId="791A43E5">
      <w:pPr>
        <w:pStyle w:val="34"/>
        <w:numPr>
          <w:ilvl w:val="0"/>
          <w:numId w:val="0"/>
        </w:numPr>
        <w:adjustRightInd w:val="0"/>
        <w:snapToGrid w:val="0"/>
        <w:spacing w:before="312" w:beforeLines="100" w:after="312" w:afterLines="100"/>
        <w:ind w:leftChars="0"/>
        <w:outlineLvl w:val="0"/>
        <w:rPr>
          <w:rFonts w:hint="default" w:ascii="宋体" w:hAnsi="宋体" w:eastAsia="宋体" w:cs="宋体"/>
          <w:b/>
          <w:color w:val="000000"/>
          <w:sz w:val="32"/>
          <w:szCs w:val="32"/>
          <w:lang w:val="en-US" w:eastAsia="zh-CN"/>
        </w:rPr>
      </w:pPr>
    </w:p>
    <w:tbl>
      <w:tblPr>
        <w:tblStyle w:val="18"/>
        <w:tblW w:w="9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2327"/>
        <w:gridCol w:w="6892"/>
      </w:tblGrid>
      <w:tr w14:paraId="0DE5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vAlign w:val="center"/>
          </w:tcPr>
          <w:p w14:paraId="308A7144">
            <w:pPr>
              <w:widowControl/>
              <w:adjustRightInd w:val="0"/>
              <w:snapToGrid w:val="0"/>
              <w:spacing w:line="300" w:lineRule="exact"/>
              <w:contextualSpacing/>
              <w:jc w:val="center"/>
              <w:rPr>
                <w:rFonts w:hint="eastAsia" w:ascii="宋体" w:hAnsi="宋体" w:eastAsia="宋体" w:cs="宋体"/>
                <w:color w:val="000000"/>
                <w:kern w:val="0"/>
                <w:sz w:val="20"/>
                <w:szCs w:val="21"/>
                <w14:ligatures w14:val="none"/>
              </w:rPr>
            </w:pPr>
            <w:r>
              <w:rPr>
                <w:rFonts w:hint="eastAsia" w:ascii="宋体" w:hAnsi="宋体" w:eastAsia="宋体" w:cs="宋体"/>
                <w:kern w:val="0"/>
                <w:sz w:val="20"/>
                <w:szCs w:val="21"/>
                <w14:ligatures w14:val="none"/>
              </w:rPr>
              <w:t>序号</w:t>
            </w:r>
          </w:p>
        </w:tc>
        <w:tc>
          <w:tcPr>
            <w:tcW w:w="2327" w:type="dxa"/>
            <w:vAlign w:val="center"/>
          </w:tcPr>
          <w:p w14:paraId="4A28190A">
            <w:pPr>
              <w:adjustRightInd w:val="0"/>
              <w:snapToGrid w:val="0"/>
              <w:jc w:val="center"/>
              <w:rPr>
                <w:rFonts w:hint="eastAsia" w:ascii="宋体" w:hAnsi="宋体" w:eastAsia="宋体" w:cs="宋体"/>
                <w:color w:val="000000"/>
                <w:kern w:val="0"/>
                <w:sz w:val="20"/>
                <w:szCs w:val="20"/>
                <w14:ligatures w14:val="none"/>
              </w:rPr>
            </w:pPr>
            <w:r>
              <w:rPr>
                <w:rFonts w:hint="eastAsia" w:ascii="宋体" w:hAnsi="宋体" w:eastAsia="宋体" w:cs="宋体"/>
                <w:kern w:val="0"/>
                <w:sz w:val="20"/>
                <w:szCs w:val="21"/>
                <w14:ligatures w14:val="none"/>
              </w:rPr>
              <w:t>名称</w:t>
            </w:r>
          </w:p>
        </w:tc>
        <w:tc>
          <w:tcPr>
            <w:tcW w:w="6892" w:type="dxa"/>
            <w:vAlign w:val="center"/>
          </w:tcPr>
          <w:p w14:paraId="7F557E94">
            <w:pPr>
              <w:widowControl/>
              <w:shd w:val="clear" w:color="auto" w:fill="FFFFFF"/>
              <w:jc w:val="left"/>
              <w:rPr>
                <w:rFonts w:hint="eastAsia" w:ascii="宋体" w:hAnsi="宋体" w:eastAsia="宋体" w:cs="宋体"/>
                <w:color w:val="000000"/>
                <w:kern w:val="0"/>
                <w:sz w:val="20"/>
                <w:szCs w:val="21"/>
                <w14:ligatures w14:val="none"/>
              </w:rPr>
            </w:pPr>
            <w:r>
              <w:rPr>
                <w:rFonts w:hint="eastAsia" w:ascii="宋体" w:hAnsi="宋体" w:eastAsia="宋体" w:cs="宋体"/>
                <w:kern w:val="0"/>
                <w:sz w:val="20"/>
                <w:szCs w:val="21"/>
                <w14:ligatures w14:val="none"/>
              </w:rPr>
              <w:t>技术参数</w:t>
            </w:r>
          </w:p>
        </w:tc>
      </w:tr>
      <w:tr w14:paraId="35D6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vAlign w:val="center"/>
          </w:tcPr>
          <w:p w14:paraId="03D1859D">
            <w:pPr>
              <w:widowControl/>
              <w:adjustRightInd w:val="0"/>
              <w:snapToGrid w:val="0"/>
              <w:spacing w:line="300" w:lineRule="exact"/>
              <w:contextualSpacing/>
              <w:jc w:val="center"/>
              <w:rPr>
                <w:rFonts w:hint="eastAsia" w:ascii="宋体" w:hAnsi="宋体" w:eastAsia="宋体" w:cs="宋体"/>
                <w:kern w:val="0"/>
                <w:sz w:val="20"/>
                <w:szCs w:val="21"/>
                <w14:ligatures w14:val="none"/>
              </w:rPr>
            </w:pPr>
            <w:r>
              <w:rPr>
                <w:rFonts w:hint="eastAsia" w:ascii="宋体" w:hAnsi="宋体" w:eastAsia="宋体" w:cs="宋体"/>
                <w:color w:val="000000"/>
                <w:kern w:val="0"/>
                <w:sz w:val="20"/>
                <w:szCs w:val="21"/>
                <w14:ligatures w14:val="none"/>
              </w:rPr>
              <w:t>4</w:t>
            </w:r>
          </w:p>
        </w:tc>
        <w:tc>
          <w:tcPr>
            <w:tcW w:w="2327" w:type="dxa"/>
            <w:vAlign w:val="center"/>
          </w:tcPr>
          <w:p w14:paraId="17FF8D50">
            <w:pPr>
              <w:widowControl/>
              <w:shd w:val="clear" w:color="auto" w:fill="FFFFFF"/>
              <w:jc w:val="left"/>
              <w:rPr>
                <w:rFonts w:hint="default" w:ascii="宋体" w:hAnsi="宋体" w:eastAsia="宋体" w:cs="宋体"/>
                <w:color w:val="000000"/>
                <w:kern w:val="0"/>
                <w:sz w:val="20"/>
                <w:szCs w:val="21"/>
                <w:lang w:val="en-US" w:eastAsia="zh-CN"/>
                <w14:ligatures w14:val="none"/>
              </w:rPr>
            </w:pPr>
            <w:r>
              <w:rPr>
                <w:rFonts w:hint="eastAsia" w:hAnsi="宋体" w:eastAsia="宋体" w:cs="宋体"/>
                <w:b/>
                <w:kern w:val="0"/>
                <w:sz w:val="24"/>
                <w:szCs w:val="21"/>
                <w14:ligatures w14:val="none"/>
              </w:rPr>
              <w:t>★</w:t>
            </w:r>
            <w:r>
              <w:rPr>
                <w:rFonts w:hint="eastAsia" w:ascii="宋体" w:hAnsi="宋体" w:eastAsia="宋体" w:cs="宋体"/>
                <w:color w:val="000000"/>
                <w:kern w:val="0"/>
                <w:sz w:val="20"/>
                <w:szCs w:val="21"/>
                <w:lang w:val="en-US" w:eastAsia="zh-CN"/>
                <w14:ligatures w14:val="none"/>
              </w:rPr>
              <w:t>预案要求</w:t>
            </w:r>
          </w:p>
        </w:tc>
        <w:tc>
          <w:tcPr>
            <w:tcW w:w="6892" w:type="dxa"/>
            <w:vAlign w:val="center"/>
          </w:tcPr>
          <w:p w14:paraId="29DDE7C2">
            <w:pPr>
              <w:rPr>
                <w:rFonts w:hint="eastAsia"/>
              </w:rPr>
            </w:pPr>
            <w:r>
              <w:rPr>
                <w:rFonts w:hint="eastAsia"/>
              </w:rPr>
              <w:t>（一）预案编制所用的平战转换设计图纸应当到工地现场核对，与现状保持一致。</w:t>
            </w:r>
          </w:p>
          <w:p w14:paraId="559599D2">
            <w:pPr>
              <w:rPr>
                <w:rFonts w:hint="eastAsia"/>
              </w:rPr>
            </w:pPr>
            <w:r>
              <w:rPr>
                <w:rFonts w:hint="eastAsia"/>
              </w:rPr>
              <w:t>（二）编制内容应包括平战转换设计、平战转换工程量、设备清单、转换时限要求、转换部位、转换方法、技术措施以及平战转换造价计算等内容。</w:t>
            </w:r>
          </w:p>
          <w:p w14:paraId="5C80964B">
            <w:pPr>
              <w:rPr>
                <w:rFonts w:hint="eastAsia"/>
              </w:rPr>
            </w:pPr>
            <w:r>
              <w:rPr>
                <w:rFonts w:hint="eastAsia"/>
              </w:rPr>
              <w:t>（三）编制深度和格式应符合相关要求。</w:t>
            </w:r>
          </w:p>
          <w:p w14:paraId="54E87FE3">
            <w:pPr>
              <w:rPr>
                <w:rFonts w:hint="eastAsia"/>
              </w:rPr>
            </w:pPr>
            <w:r>
              <w:rPr>
                <w:rFonts w:hint="eastAsia"/>
              </w:rPr>
              <w:t>（四）平战转换造价编制应当符合人防工程造价计算有关要求。</w:t>
            </w:r>
          </w:p>
          <w:p w14:paraId="7812D1B2">
            <w:pPr>
              <w:rPr>
                <w:rFonts w:hint="eastAsia"/>
                <w:lang w:val="en-US" w:eastAsia="zh-CN"/>
              </w:rPr>
            </w:pPr>
            <w:r>
              <w:rPr>
                <w:rFonts w:hint="eastAsia"/>
                <w:lang w:eastAsia="zh-CN"/>
              </w:rPr>
              <w:t>（</w:t>
            </w:r>
            <w:r>
              <w:rPr>
                <w:rFonts w:hint="eastAsia"/>
                <w:lang w:val="en-US" w:eastAsia="zh-CN"/>
              </w:rPr>
              <w:t>五</w:t>
            </w:r>
            <w:r>
              <w:rPr>
                <w:rFonts w:hint="eastAsia"/>
                <w:lang w:eastAsia="zh-CN"/>
              </w:rPr>
              <w:t>）</w:t>
            </w:r>
            <w:r>
              <w:rPr>
                <w:rFonts w:hint="eastAsia"/>
                <w:lang w:val="en-US" w:eastAsia="zh-CN"/>
              </w:rPr>
              <w:t>编制平战转换预案须符合现行相关标准，满足人防质量监督部门等要求，并能通过相关审核。</w:t>
            </w:r>
          </w:p>
        </w:tc>
      </w:tr>
    </w:tbl>
    <w:p w14:paraId="255AF81D">
      <w:r>
        <w:rPr>
          <w:rFonts w:hint="eastAsia"/>
        </w:rPr>
        <w:t>三、</w:t>
      </w:r>
      <w:r>
        <w:rPr>
          <w:rFonts w:hint="eastAsia"/>
        </w:rPr>
        <w:tab/>
      </w:r>
      <w:r>
        <w:rPr>
          <w:rFonts w:hint="eastAsia"/>
        </w:rPr>
        <w:t>★商务要求</w:t>
      </w:r>
    </w:p>
    <w:p w14:paraId="2DED473B">
      <w:r>
        <w:rPr>
          <w:rFonts w:hint="eastAsia"/>
        </w:rPr>
        <w:t xml:space="preserve">1．交货期及地点 </w:t>
      </w:r>
    </w:p>
    <w:p w14:paraId="02D25BFC">
      <w:r>
        <w:rPr>
          <w:rFonts w:hint="eastAsia"/>
        </w:rPr>
        <w:t>(1)</w:t>
      </w:r>
      <w:r>
        <w:rPr>
          <w:rFonts w:hint="eastAsia"/>
        </w:rPr>
        <w:tab/>
      </w:r>
      <w:r>
        <w:rPr>
          <w:rFonts w:hint="eastAsia"/>
        </w:rPr>
        <w:t>交货期：合同签订生效后，</w:t>
      </w:r>
      <w:r>
        <w:rPr>
          <w:rFonts w:hint="eastAsia"/>
          <w:lang w:val="en-US" w:eastAsia="zh-CN"/>
        </w:rPr>
        <w:t>1</w:t>
      </w:r>
      <w:r>
        <w:rPr>
          <w:rFonts w:hint="eastAsia"/>
        </w:rPr>
        <w:t>0日内</w:t>
      </w:r>
      <w:r>
        <w:rPr>
          <w:rFonts w:hint="eastAsia"/>
          <w:lang w:val="en-US" w:eastAsia="zh-CN"/>
        </w:rPr>
        <w:t>完成预案编制</w:t>
      </w:r>
      <w:r>
        <w:rPr>
          <w:rFonts w:hint="eastAsia"/>
        </w:rPr>
        <w:t xml:space="preserve">。 </w:t>
      </w:r>
    </w:p>
    <w:p w14:paraId="5B1F72D7">
      <w:r>
        <w:rPr>
          <w:rFonts w:hint="eastAsia"/>
        </w:rPr>
        <w:t>(2)</w:t>
      </w:r>
      <w:r>
        <w:rPr>
          <w:rFonts w:hint="eastAsia"/>
        </w:rPr>
        <w:tab/>
      </w:r>
      <w:r>
        <w:rPr>
          <w:rFonts w:hint="eastAsia"/>
        </w:rPr>
        <w:t>交货地点: 四川省妇幼保健院</w:t>
      </w:r>
      <w:r>
        <w:rPr>
          <w:rFonts w:hint="eastAsia"/>
          <w:lang w:val="en-US" w:eastAsia="zh-CN"/>
        </w:rPr>
        <w:t>天府院区</w:t>
      </w:r>
      <w:r>
        <w:rPr>
          <w:rFonts w:hint="eastAsia"/>
        </w:rPr>
        <w:t xml:space="preserve"> </w:t>
      </w:r>
    </w:p>
    <w:p w14:paraId="608586F6">
      <w:r>
        <w:rPr>
          <w:rFonts w:hint="eastAsia"/>
        </w:rPr>
        <w:t>2．付款方式及履约保证金</w:t>
      </w:r>
    </w:p>
    <w:p w14:paraId="7D976893">
      <w:r>
        <w:rPr>
          <w:rFonts w:hint="eastAsia"/>
        </w:rPr>
        <w:t>（1）付款方式：</w:t>
      </w:r>
      <w:r>
        <w:rPr>
          <w:rFonts w:hint="eastAsia"/>
          <w:lang w:val="en-US" w:eastAsia="zh-CN"/>
        </w:rPr>
        <w:t>预案编制完成并将成果提交甲方后</w:t>
      </w:r>
      <w:r>
        <w:rPr>
          <w:rFonts w:hint="eastAsia"/>
        </w:rPr>
        <w:t>60日内支付合同金额的</w:t>
      </w:r>
      <w:r>
        <w:rPr>
          <w:rFonts w:hint="eastAsia"/>
          <w:lang w:val="en-US" w:eastAsia="zh-CN"/>
        </w:rPr>
        <w:t>6</w:t>
      </w:r>
      <w:r>
        <w:rPr>
          <w:rFonts w:hint="eastAsia"/>
        </w:rPr>
        <w:t>0%</w:t>
      </w:r>
      <w:r>
        <w:rPr>
          <w:rFonts w:hint="eastAsia"/>
          <w:lang w:eastAsia="zh-CN"/>
        </w:rPr>
        <w:t>，</w:t>
      </w:r>
      <w:r>
        <w:rPr>
          <w:rFonts w:hint="eastAsia"/>
          <w:lang w:val="en-US" w:eastAsia="zh-CN"/>
        </w:rPr>
        <w:t>并联验收合格后</w:t>
      </w:r>
      <w:r>
        <w:rPr>
          <w:rFonts w:hint="eastAsia"/>
        </w:rPr>
        <w:t>60日内</w:t>
      </w:r>
      <w:r>
        <w:rPr>
          <w:rFonts w:hint="eastAsia"/>
          <w:lang w:val="en-US" w:eastAsia="zh-CN"/>
        </w:rPr>
        <w:t>支付至</w:t>
      </w:r>
      <w:r>
        <w:rPr>
          <w:rFonts w:hint="eastAsia"/>
        </w:rPr>
        <w:t>合同金额</w:t>
      </w:r>
      <w:r>
        <w:rPr>
          <w:rFonts w:hint="eastAsia"/>
          <w:lang w:val="en-US" w:eastAsia="zh-CN"/>
        </w:rPr>
        <w:t>100%</w:t>
      </w:r>
      <w:r>
        <w:rPr>
          <w:rFonts w:hint="eastAsia"/>
        </w:rPr>
        <w:t>。</w:t>
      </w:r>
    </w:p>
    <w:p w14:paraId="4D23A610">
      <w:r>
        <w:rPr>
          <w:rFonts w:hint="eastAsia"/>
          <w:lang w:val="en-US" w:eastAsia="zh-CN"/>
        </w:rPr>
        <w:t>3</w:t>
      </w:r>
      <w:r>
        <w:rPr>
          <w:rFonts w:hint="eastAsia"/>
        </w:rPr>
        <w:t>．报价要求</w:t>
      </w:r>
    </w:p>
    <w:p w14:paraId="6BA698BD">
      <w:r>
        <w:rPr>
          <w:rFonts w:hint="eastAsia"/>
        </w:rPr>
        <w:t>(1)</w:t>
      </w:r>
      <w:r>
        <w:rPr>
          <w:rFonts w:hint="eastAsia"/>
        </w:rPr>
        <w:tab/>
      </w:r>
      <w:r>
        <w:rPr>
          <w:rFonts w:hint="eastAsia"/>
        </w:rPr>
        <w:t>本次报价包含完成本项目的所有费用，采购人不再额外支付任何费用。</w:t>
      </w:r>
    </w:p>
    <w:p w14:paraId="713E7E32">
      <w:r>
        <w:rPr>
          <w:rFonts w:hint="eastAsia"/>
          <w:lang w:val="en-US" w:eastAsia="zh-CN"/>
        </w:rPr>
        <w:t>4</w:t>
      </w:r>
      <w:r>
        <w:rPr>
          <w:rFonts w:hint="eastAsia"/>
        </w:rPr>
        <w:t>．验收标准</w:t>
      </w:r>
    </w:p>
    <w:p w14:paraId="057C47F8">
      <w:r>
        <w:rPr>
          <w:rFonts w:hint="eastAsia"/>
        </w:rPr>
        <w:t>(1)</w:t>
      </w:r>
      <w:r>
        <w:rPr>
          <w:rFonts w:hint="eastAsia"/>
        </w:rPr>
        <w:tab/>
      </w:r>
      <w:r>
        <w:rPr>
          <w:rFonts w:hint="eastAsia"/>
          <w:lang w:val="en-US" w:eastAsia="zh-CN"/>
        </w:rPr>
        <w:t>预案编制符合项目相关实际，满足国家相关标准要求</w:t>
      </w:r>
      <w:r>
        <w:rPr>
          <w:rFonts w:hint="eastAsia"/>
        </w:rPr>
        <w:t xml:space="preserve">。 </w:t>
      </w:r>
    </w:p>
    <w:p w14:paraId="0BE195B1">
      <w:pPr>
        <w:rPr>
          <w:rFonts w:hint="eastAsia"/>
        </w:rPr>
      </w:pPr>
      <w:r>
        <w:rPr>
          <w:rFonts w:hint="eastAsia"/>
        </w:rPr>
        <w:t>(2)</w:t>
      </w:r>
      <w:r>
        <w:rPr>
          <w:rFonts w:hint="eastAsia"/>
        </w:rPr>
        <w:tab/>
      </w:r>
      <w:r>
        <w:rPr>
          <w:rFonts w:hint="eastAsia"/>
          <w:lang w:val="en-US" w:eastAsia="zh-CN"/>
        </w:rPr>
        <w:t>通过项目并联验收</w:t>
      </w:r>
      <w:bookmarkStart w:id="0" w:name="_GoBack"/>
      <w:bookmarkEnd w:id="0"/>
      <w:r>
        <w:rPr>
          <w:rFonts w:hint="eastAsia"/>
        </w:rPr>
        <w:t>。</w:t>
      </w:r>
    </w:p>
    <w:p w14:paraId="68385B4D">
      <w:r>
        <w:rPr>
          <w:rFonts w:hint="eastAsia"/>
          <w:lang w:val="en-US" w:eastAsia="zh-CN"/>
        </w:rPr>
        <w:t>5</w:t>
      </w:r>
      <w:r>
        <w:rPr>
          <w:rFonts w:hint="eastAsia"/>
        </w:rPr>
        <w:t>．售后服务</w:t>
      </w:r>
    </w:p>
    <w:p w14:paraId="4FF47B85">
      <w:r>
        <w:rPr>
          <w:rFonts w:hint="eastAsia"/>
          <w:lang w:val="en-US" w:eastAsia="zh-CN"/>
        </w:rPr>
        <w:t>自合同签订之日起至人防质量监督部门审核通过之日内，需按方案编制要求进行相关服务</w:t>
      </w:r>
      <w:r>
        <w:rPr>
          <w:rFonts w:hint="eastAsi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9D1A39"/>
    <w:multiLevelType w:val="multilevel"/>
    <w:tmpl w:val="8F9D1A39"/>
    <w:lvl w:ilvl="0" w:tentative="0">
      <w:start w:val="1"/>
      <w:numFmt w:val="decimal"/>
      <w:lvlText w:val="%1."/>
      <w:lvlJc w:val="left"/>
      <w:pPr>
        <w:tabs>
          <w:tab w:val="left" w:pos="-108"/>
        </w:tabs>
        <w:ind w:left="-420"/>
      </w:p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40D2721A"/>
    <w:multiLevelType w:val="multilevel"/>
    <w:tmpl w:val="40D2721A"/>
    <w:lvl w:ilvl="0" w:tentative="0">
      <w:start w:val="1"/>
      <w:numFmt w:val="chineseCountingThousand"/>
      <w:lvlText w:val="%1、"/>
      <w:lvlJc w:val="left"/>
      <w:pPr>
        <w:ind w:left="2831" w:hanging="420"/>
      </w:pPr>
      <w:rPr>
        <w:rFonts w:hint="eastAsia"/>
        <w:b/>
        <w:i w:val="0"/>
        <w:iCs w:val="0"/>
        <w:caps w:val="0"/>
        <w:strike w:val="0"/>
        <w:dstrike w:val="0"/>
        <w:vanish w:val="0"/>
        <w:color w:val="000000"/>
        <w:spacing w:val="0"/>
        <w:w w:val="100"/>
        <w:position w:val="0"/>
        <w:sz w:val="28"/>
        <w:u w:val="none"/>
        <w:vertAlign w:val="baseline"/>
        <w:lang w:val="en-US"/>
        <w14:shadow w14:blurRad="0" w14:dist="0" w14:dir="0" w14:sx="0" w14:sy="0" w14:kx="0" w14:ky="0" w14:algn="none">
          <w14:srgbClr w14:val="000000"/>
        </w14:shadow>
      </w:rPr>
    </w:lvl>
    <w:lvl w:ilvl="1" w:tentative="0">
      <w:start w:val="1"/>
      <w:numFmt w:val="japaneseCounting"/>
      <w:lvlText w:val="（%2）"/>
      <w:lvlJc w:val="left"/>
      <w:pPr>
        <w:ind w:left="-2751" w:hanging="1080"/>
      </w:pPr>
      <w:rPr>
        <w:rFonts w:hint="default"/>
      </w:rPr>
    </w:lvl>
    <w:lvl w:ilvl="2" w:tentative="0">
      <w:start w:val="1"/>
      <w:numFmt w:val="lowerRoman"/>
      <w:lvlText w:val="%3."/>
      <w:lvlJc w:val="right"/>
      <w:pPr>
        <w:ind w:left="-2991" w:hanging="420"/>
      </w:pPr>
    </w:lvl>
    <w:lvl w:ilvl="3" w:tentative="0">
      <w:start w:val="1"/>
      <w:numFmt w:val="decimal"/>
      <w:lvlText w:val="%4."/>
      <w:lvlJc w:val="left"/>
      <w:pPr>
        <w:ind w:left="-2571" w:hanging="420"/>
      </w:pPr>
    </w:lvl>
    <w:lvl w:ilvl="4" w:tentative="0">
      <w:start w:val="1"/>
      <w:numFmt w:val="lowerLetter"/>
      <w:lvlText w:val="%5)"/>
      <w:lvlJc w:val="left"/>
      <w:pPr>
        <w:ind w:left="-2151" w:hanging="420"/>
      </w:pPr>
    </w:lvl>
    <w:lvl w:ilvl="5" w:tentative="0">
      <w:start w:val="1"/>
      <w:numFmt w:val="lowerRoman"/>
      <w:lvlText w:val="%6."/>
      <w:lvlJc w:val="right"/>
      <w:pPr>
        <w:ind w:left="-1731" w:hanging="420"/>
      </w:pPr>
    </w:lvl>
    <w:lvl w:ilvl="6" w:tentative="0">
      <w:start w:val="1"/>
      <w:numFmt w:val="decimal"/>
      <w:lvlText w:val="%7."/>
      <w:lvlJc w:val="left"/>
      <w:pPr>
        <w:ind w:left="-1311" w:hanging="420"/>
      </w:pPr>
    </w:lvl>
    <w:lvl w:ilvl="7" w:tentative="0">
      <w:start w:val="1"/>
      <w:numFmt w:val="lowerLetter"/>
      <w:lvlText w:val="%8)"/>
      <w:lvlJc w:val="left"/>
      <w:pPr>
        <w:ind w:left="-891" w:hanging="420"/>
      </w:pPr>
    </w:lvl>
    <w:lvl w:ilvl="8" w:tentative="0">
      <w:start w:val="1"/>
      <w:numFmt w:val="lowerRoman"/>
      <w:lvlText w:val="%9."/>
      <w:lvlJc w:val="right"/>
      <w:pPr>
        <w:ind w:left="-471"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5C0"/>
    <w:rsid w:val="00016705"/>
    <w:rsid w:val="00022024"/>
    <w:rsid w:val="00080D68"/>
    <w:rsid w:val="00083AB3"/>
    <w:rsid w:val="00154C32"/>
    <w:rsid w:val="00185EA8"/>
    <w:rsid w:val="00190144"/>
    <w:rsid w:val="001A2DA9"/>
    <w:rsid w:val="001B37FA"/>
    <w:rsid w:val="00232CCB"/>
    <w:rsid w:val="002549E1"/>
    <w:rsid w:val="002D156A"/>
    <w:rsid w:val="002F0B6B"/>
    <w:rsid w:val="003355FF"/>
    <w:rsid w:val="003551B8"/>
    <w:rsid w:val="003D2592"/>
    <w:rsid w:val="003F1BD4"/>
    <w:rsid w:val="003F4ED9"/>
    <w:rsid w:val="00401969"/>
    <w:rsid w:val="00405B6D"/>
    <w:rsid w:val="004355C0"/>
    <w:rsid w:val="00550961"/>
    <w:rsid w:val="005A2F71"/>
    <w:rsid w:val="005F7CE5"/>
    <w:rsid w:val="00623AB0"/>
    <w:rsid w:val="00637684"/>
    <w:rsid w:val="00644704"/>
    <w:rsid w:val="00656D07"/>
    <w:rsid w:val="006A4C7F"/>
    <w:rsid w:val="006B79FA"/>
    <w:rsid w:val="00784DE7"/>
    <w:rsid w:val="007C4669"/>
    <w:rsid w:val="007E397E"/>
    <w:rsid w:val="007F7259"/>
    <w:rsid w:val="00827B84"/>
    <w:rsid w:val="008A19FB"/>
    <w:rsid w:val="0092155A"/>
    <w:rsid w:val="0095020F"/>
    <w:rsid w:val="00966552"/>
    <w:rsid w:val="00A34702"/>
    <w:rsid w:val="00A75742"/>
    <w:rsid w:val="00AE7BD7"/>
    <w:rsid w:val="00AF706C"/>
    <w:rsid w:val="00B01BC9"/>
    <w:rsid w:val="00B15711"/>
    <w:rsid w:val="00BC1504"/>
    <w:rsid w:val="00BF586C"/>
    <w:rsid w:val="00C470F3"/>
    <w:rsid w:val="00CA1465"/>
    <w:rsid w:val="00CD0047"/>
    <w:rsid w:val="00CF4334"/>
    <w:rsid w:val="00D21C77"/>
    <w:rsid w:val="00D77733"/>
    <w:rsid w:val="00D855F7"/>
    <w:rsid w:val="00DF5557"/>
    <w:rsid w:val="00DF629E"/>
    <w:rsid w:val="00EA34C9"/>
    <w:rsid w:val="00EA77AA"/>
    <w:rsid w:val="00EE1928"/>
    <w:rsid w:val="00F01036"/>
    <w:rsid w:val="00F043FD"/>
    <w:rsid w:val="00F65823"/>
    <w:rsid w:val="00F87AB6"/>
    <w:rsid w:val="00FA69C3"/>
    <w:rsid w:val="00FB0608"/>
    <w:rsid w:val="00FC0BAA"/>
    <w:rsid w:val="00FC49F4"/>
    <w:rsid w:val="00FC565A"/>
    <w:rsid w:val="2F2F5238"/>
    <w:rsid w:val="32F80037"/>
    <w:rsid w:val="40F347C9"/>
    <w:rsid w:val="49782F18"/>
    <w:rsid w:val="4C035E32"/>
    <w:rsid w:val="4C2F01CE"/>
    <w:rsid w:val="665666ED"/>
    <w:rsid w:val="690E58E3"/>
    <w:rsid w:val="6E966999"/>
    <w:rsid w:val="706E7E07"/>
    <w:rsid w:val="774150D6"/>
    <w:rsid w:val="7F1E7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24"/>
      <w:szCs w:val="22"/>
      <w:lang w:val="en-US" w:eastAsia="zh-CN" w:bidi="ar-SA"/>
      <w14:ligatures w14:val="standardContextual"/>
    </w:rPr>
  </w:style>
  <w:style w:type="paragraph" w:styleId="2">
    <w:name w:val="heading 1"/>
    <w:basedOn w:val="1"/>
    <w:next w:val="1"/>
    <w:link w:val="21"/>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Cs w:val="24"/>
    </w:rPr>
  </w:style>
  <w:style w:type="paragraph" w:styleId="7">
    <w:name w:val="heading 6"/>
    <w:basedOn w:val="1"/>
    <w:next w:val="1"/>
    <w:link w:val="26"/>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basedOn w:val="1"/>
    <w:next w:val="1"/>
    <w:link w:val="41"/>
    <w:qFormat/>
    <w:uiPriority w:val="0"/>
    <w:pPr>
      <w:adjustRightInd w:val="0"/>
      <w:snapToGrid w:val="0"/>
      <w:spacing w:line="360" w:lineRule="auto"/>
      <w:jc w:val="left"/>
      <w:textAlignment w:val="baseline"/>
    </w:pPr>
    <w:rPr>
      <w:rFonts w:ascii="宋体" w:hAnsiTheme="minorHAnsi" w:eastAsiaTheme="minorEastAsia"/>
      <w:sz w:val="21"/>
      <w14:ligatures w14:val="none"/>
    </w:rPr>
  </w:style>
  <w:style w:type="paragraph" w:styleId="12">
    <w:name w:val="footer"/>
    <w:basedOn w:val="1"/>
    <w:link w:val="40"/>
    <w:unhideWhenUsed/>
    <w:qFormat/>
    <w:uiPriority w:val="99"/>
    <w:pPr>
      <w:tabs>
        <w:tab w:val="center" w:pos="4153"/>
        <w:tab w:val="right" w:pos="8306"/>
      </w:tabs>
      <w:snapToGrid w:val="0"/>
      <w:jc w:val="left"/>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8">
    <w:name w:val="Table Grid"/>
    <w:basedOn w:val="17"/>
    <w:unhideWhenUsed/>
    <w:qFormat/>
    <w:uiPriority w:val="99"/>
    <w:pPr>
      <w:widowControl w:val="0"/>
      <w:jc w:val="both"/>
    </w:pPr>
    <w:rPr>
      <w:rFonts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b/>
      <w:bCs/>
    </w:rPr>
  </w:style>
  <w:style w:type="character" w:customStyle="1" w:styleId="21">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9"/>
    <w:link w:val="5"/>
    <w:semiHidden/>
    <w:qFormat/>
    <w:uiPriority w:val="9"/>
    <w:rPr>
      <w:rFonts w:asciiTheme="minorHAnsi" w:hAnsiTheme="minorHAnsi" w:eastAsiaTheme="minorEastAsia" w:cstheme="majorBidi"/>
      <w:color w:val="2F5597" w:themeColor="accent1" w:themeShade="BF"/>
      <w:sz w:val="28"/>
      <w:szCs w:val="28"/>
    </w:rPr>
  </w:style>
  <w:style w:type="character" w:customStyle="1" w:styleId="25">
    <w:name w:val="标题 5 字符"/>
    <w:basedOn w:val="19"/>
    <w:link w:val="6"/>
    <w:semiHidden/>
    <w:qFormat/>
    <w:uiPriority w:val="9"/>
    <w:rPr>
      <w:rFonts w:asciiTheme="minorHAnsi" w:hAnsiTheme="minorHAnsi" w:eastAsiaTheme="minorEastAsia" w:cstheme="majorBidi"/>
      <w:color w:val="2F5597" w:themeColor="accent1" w:themeShade="BF"/>
      <w:szCs w:val="24"/>
    </w:rPr>
  </w:style>
  <w:style w:type="character" w:customStyle="1" w:styleId="26">
    <w:name w:val="标题 6 字符"/>
    <w:basedOn w:val="19"/>
    <w:link w:val="7"/>
    <w:semiHidden/>
    <w:qFormat/>
    <w:uiPriority w:val="9"/>
    <w:rPr>
      <w:rFonts w:asciiTheme="minorHAnsi" w:hAnsiTheme="minorHAnsi" w:eastAsiaTheme="minorEastAsia" w:cstheme="majorBidi"/>
      <w:b/>
      <w:bCs/>
      <w:color w:val="2F5597" w:themeColor="accent1" w:themeShade="BF"/>
    </w:rPr>
  </w:style>
  <w:style w:type="character" w:customStyle="1" w:styleId="27">
    <w:name w:val="标题 7 字符"/>
    <w:basedOn w:val="19"/>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9"/>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19"/>
    <w:link w:val="36"/>
    <w:qFormat/>
    <w:uiPriority w:val="30"/>
    <w:rPr>
      <w:i/>
      <w:iCs/>
      <w:color w:val="2F5597" w:themeColor="accent1" w:themeShade="BF"/>
    </w:rPr>
  </w:style>
  <w:style w:type="character" w:customStyle="1" w:styleId="38">
    <w:name w:val="Intense Reference"/>
    <w:basedOn w:val="19"/>
    <w:qFormat/>
    <w:uiPriority w:val="32"/>
    <w:rPr>
      <w:b/>
      <w:bCs/>
      <w:smallCaps/>
      <w:color w:val="2F5597" w:themeColor="accent1" w:themeShade="BF"/>
      <w:spacing w:val="5"/>
    </w:rPr>
  </w:style>
  <w:style w:type="character" w:customStyle="1" w:styleId="39">
    <w:name w:val="页眉 字符"/>
    <w:basedOn w:val="19"/>
    <w:link w:val="13"/>
    <w:qFormat/>
    <w:uiPriority w:val="99"/>
    <w:rPr>
      <w:sz w:val="18"/>
      <w:szCs w:val="18"/>
    </w:rPr>
  </w:style>
  <w:style w:type="character" w:customStyle="1" w:styleId="40">
    <w:name w:val="页脚 字符"/>
    <w:basedOn w:val="19"/>
    <w:link w:val="12"/>
    <w:qFormat/>
    <w:uiPriority w:val="99"/>
    <w:rPr>
      <w:sz w:val="18"/>
      <w:szCs w:val="18"/>
    </w:rPr>
  </w:style>
  <w:style w:type="character" w:customStyle="1" w:styleId="41">
    <w:name w:val="正文文本 字符"/>
    <w:basedOn w:val="19"/>
    <w:link w:val="11"/>
    <w:qFormat/>
    <w:uiPriority w:val="0"/>
    <w:rPr>
      <w:rFonts w:ascii="宋体" w:hAnsiTheme="minorHAnsi" w:eastAsiaTheme="minorEastAsia"/>
      <w:sz w:val="21"/>
      <w14:ligatures w14:val="none"/>
    </w:rPr>
  </w:style>
  <w:style w:type="paragraph" w:customStyle="1" w:styleId="42">
    <w:name w:val="Revision"/>
    <w:hidden/>
    <w:semiHidden/>
    <w:qFormat/>
    <w:uiPriority w:val="99"/>
    <w:rPr>
      <w:rFonts w:ascii="Times New Roman" w:hAnsi="Times New Roman" w:eastAsia="仿宋_GB2312" w:cstheme="minorBidi"/>
      <w:kern w:val="2"/>
      <w:sz w:val="24"/>
      <w:szCs w:val="22"/>
      <w:lang w:val="en-US" w:eastAsia="zh-CN" w:bidi="ar-SA"/>
      <w14:ligatures w14:val="standardContextu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800</Words>
  <Characters>842</Characters>
  <Lines>10</Lines>
  <Paragraphs>2</Paragraphs>
  <TotalTime>7</TotalTime>
  <ScaleCrop>false</ScaleCrop>
  <LinksUpToDate>false</LinksUpToDate>
  <CharactersWithSpaces>853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2025-09-29T01:51:00Z</dcterms:created>
  <dc:creator>子 欢</dc:creator>
  <cp:lastModifiedBy>平淡</cp:lastModifiedBy>
  <dcterms:modified xsi:type="dcterms:W3CDTF">2026-01-16T07:30:43Z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eyJoZGlkIjoiYmI0Yzk1NDRkNTkxYTliYjE5YmExODRlMDE4NWYyNWUiLCJ1c2VySWQiOiIzMzk1MDY4NTYifQ==</vt:lpwstr>
  </property>
  <property fmtid="{D5CDD505-2E9C-101B-9397-08002B2CF9AE}" pid="3" name="KSOProductBuildVer">
    <vt:lpwstr>2052-12.1.0.20784</vt:lpwstr>
  </property>
  <property fmtid="{D5CDD505-2E9C-101B-9397-08002B2CF9AE}" pid="4" name="ICV">
    <vt:lpwstr>163655727FBF45BAB77C4A8A510DC5EB_12</vt:lpwstr>
  </property>
</Properties>
</file>