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E462">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14:paraId="7AA0FAD1">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乳管镜院内采购项目（二次）</w:t>
      </w:r>
    </w:p>
    <w:p w14:paraId="253B9DCD">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
          <w:bCs w:val="0"/>
          <w:sz w:val="24"/>
          <w:szCs w:val="24"/>
          <w:lang w:val="en-US" w:eastAsia="zh-CN"/>
        </w:rPr>
        <w:t>7万元</w:t>
      </w:r>
    </w:p>
    <w:p w14:paraId="4C092CDD">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14:paraId="7E232318">
      <w:pPr>
        <w:pStyle w:val="9"/>
        <w:ind w:leftChars="200"/>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1.镜管外径≤Φ</w:t>
      </w:r>
      <w:r>
        <w:rPr>
          <w:rFonts w:hint="eastAsia" w:ascii="宋体" w:hAnsi="宋体" w:eastAsia="宋体" w:cs="宋体"/>
          <w:color w:val="000000"/>
          <w:kern w:val="0"/>
          <w:sz w:val="21"/>
          <w:szCs w:val="22"/>
          <w:lang w:eastAsia="zh-CN"/>
        </w:rPr>
        <w:t>0.75mm×(1+5%)</w:t>
      </w:r>
      <w:r>
        <w:rPr>
          <w:rFonts w:hint="eastAsia" w:ascii="宋体" w:hAnsi="宋体" w:eastAsia="宋体" w:cs="宋体"/>
          <w:color w:val="000000"/>
          <w:kern w:val="0"/>
          <w:sz w:val="21"/>
          <w:szCs w:val="22"/>
          <w:lang w:val="en-US" w:eastAsia="zh-CN" w:bidi="ar-SA"/>
        </w:rPr>
        <w:t>，下限不计；</w:t>
      </w:r>
    </w:p>
    <w:p w14:paraId="71886ABF">
      <w:pPr>
        <w:pStyle w:val="9"/>
        <w:ind w:leftChars="200"/>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2.内径：Φ0.18mm，允许偏差-0.02，上限不计</w:t>
      </w:r>
    </w:p>
    <w:p w14:paraId="3AA29AC7">
      <w:pPr>
        <w:pStyle w:val="9"/>
        <w:ind w:leftChars="200"/>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3.工作长度：80mm±3%；</w:t>
      </w:r>
    </w:p>
    <w:p w14:paraId="3F8629FF">
      <w:pPr>
        <w:pStyle w:val="9"/>
        <w:ind w:leftChars="200"/>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4.内窥镜视场角：40°～70°</w:t>
      </w:r>
    </w:p>
    <w:p w14:paraId="3B3B8BE5">
      <w:pPr>
        <w:pStyle w:val="9"/>
        <w:ind w:leftChars="200"/>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▲5.</w:t>
      </w:r>
      <w:r>
        <w:rPr>
          <w:rFonts w:ascii="Arial" w:hAnsi="Arial" w:eastAsia="Arial" w:cs="Arial"/>
          <w:i w:val="0"/>
          <w:iCs w:val="0"/>
          <w:caps w:val="0"/>
          <w:color w:val="333333"/>
          <w:spacing w:val="0"/>
          <w:sz w:val="21"/>
          <w:szCs w:val="21"/>
          <w:shd w:val="clear" w:fill="FFFFFF"/>
        </w:rPr>
        <w:t>导像束分辨率≥10000 像</w:t>
      </w:r>
      <w:bookmarkStart w:id="0" w:name="_GoBack"/>
      <w:bookmarkEnd w:id="0"/>
    </w:p>
    <w:p w14:paraId="54CD861F">
      <w:pPr>
        <w:pStyle w:val="9"/>
        <w:ind w:leftChars="200"/>
        <w:rPr>
          <w:rFonts w:hint="eastAsia" w:ascii="仿宋_GB2312" w:hAnsi="黑体" w:eastAsia="仿宋_GB2312" w:cs="仿宋_GB2312"/>
          <w:b/>
          <w:bCs/>
          <w:sz w:val="21"/>
          <w:szCs w:val="21"/>
          <w:highlight w:val="none"/>
          <w:vertAlign w:val="baseline"/>
          <w:lang w:val="en-US" w:eastAsia="zh-CN"/>
        </w:rPr>
      </w:pPr>
      <w:r>
        <w:rPr>
          <w:rFonts w:hint="eastAsia" w:ascii="宋体" w:hAnsi="宋体" w:eastAsia="宋体" w:cs="宋体"/>
          <w:color w:val="000000"/>
          <w:kern w:val="0"/>
          <w:sz w:val="21"/>
          <w:szCs w:val="22"/>
          <w:lang w:val="en-US" w:eastAsia="zh-CN" w:bidi="ar-SA"/>
        </w:rPr>
        <w:t>★6.实现与我院现有设备乳导管内窥镜系统（品牌：博莱德，型号：FVS-6000M1）配套使用。</w:t>
      </w:r>
    </w:p>
    <w:p w14:paraId="4FB55AD8">
      <w:pPr>
        <w:pStyle w:val="22"/>
        <w:numPr>
          <w:ilvl w:val="-1"/>
          <w:numId w:val="0"/>
        </w:numPr>
        <w:adjustRightInd w:val="0"/>
        <w:spacing w:before="156" w:beforeLines="50" w:after="156" w:afterLines="50" w:line="360" w:lineRule="auto"/>
        <w:ind w:firstLine="482" w:firstLineChars="20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14:paraId="0B33CE2D">
      <w:pPr>
        <w:numPr>
          <w:ilvl w:val="0"/>
          <w:numId w:val="0"/>
        </w:numPr>
        <w:spacing w:line="360" w:lineRule="exact"/>
        <w:ind w:leftChars="200"/>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14:paraId="18CF3E83">
      <w:pPr>
        <w:numPr>
          <w:ilvl w:val="0"/>
          <w:numId w:val="0"/>
        </w:numPr>
        <w:spacing w:line="360" w:lineRule="exact"/>
        <w:ind w:leftChars="200"/>
        <w:rPr>
          <w:rFonts w:hint="default" w:ascii="宋体" w:hAnsi="宋体" w:eastAsia="宋体" w:cs="宋体"/>
          <w:color w:val="000000"/>
          <w:kern w:val="0"/>
          <w:lang w:val="en-US"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经甲乙双方法定代表人（或授权代表）签字并加盖公章（或合同专用章）之日起生效</w:t>
      </w:r>
      <w:r>
        <w:rPr>
          <w:rFonts w:hint="eastAsia" w:ascii="宋体" w:hAnsi="宋体" w:eastAsia="宋体" w:cs="宋体"/>
          <w:color w:val="000000"/>
          <w:kern w:val="0"/>
          <w:lang w:eastAsia="zh-CN"/>
        </w:rPr>
        <w:t>，完成日期：</w:t>
      </w:r>
      <w:r>
        <w:rPr>
          <w:rFonts w:hint="eastAsia" w:ascii="宋体" w:hAnsi="宋体" w:eastAsia="宋体" w:cs="宋体"/>
          <w:color w:val="000000"/>
          <w:kern w:val="0"/>
          <w:lang w:val="en-US" w:eastAsia="zh-CN"/>
        </w:rPr>
        <w:t>质保期结束之日</w:t>
      </w:r>
      <w:r>
        <w:rPr>
          <w:rFonts w:hint="eastAsia" w:ascii="宋体" w:hAnsi="宋体" w:eastAsia="宋体" w:cs="宋体"/>
          <w:color w:val="000000"/>
          <w:kern w:val="0"/>
          <w:lang w:eastAsia="zh-CN"/>
        </w:rPr>
        <w:t>。</w:t>
      </w:r>
    </w:p>
    <w:p w14:paraId="13DB7A6C">
      <w:pPr>
        <w:numPr>
          <w:ilvl w:val="0"/>
          <w:numId w:val="0"/>
        </w:numPr>
        <w:spacing w:line="360" w:lineRule="exact"/>
        <w:ind w:leftChars="200"/>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p>
    <w:p w14:paraId="0E4EAA32">
      <w:pPr>
        <w:numPr>
          <w:ilvl w:val="0"/>
          <w:numId w:val="0"/>
        </w:numPr>
        <w:spacing w:line="360" w:lineRule="exact"/>
        <w:ind w:leftChars="20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w:t>
      </w:r>
      <w:r>
        <w:rPr>
          <w:rFonts w:hint="eastAsia" w:ascii="宋体" w:hAnsi="宋体" w:eastAsia="宋体" w:cs="宋体"/>
          <w:color w:val="000000"/>
          <w:kern w:val="0"/>
          <w:lang w:eastAsia="zh-CN"/>
        </w:rPr>
        <w:t>合同签订生效后，收到采购人通知后30日内完成安装调试并交付采购人验收。</w:t>
      </w:r>
    </w:p>
    <w:p w14:paraId="039BFC3D">
      <w:pPr>
        <w:spacing w:line="360" w:lineRule="exact"/>
        <w:ind w:leftChars="200"/>
        <w:rPr>
          <w:rFonts w:hint="eastAsia" w:ascii="宋体" w:hAnsi="宋体" w:cs="宋体"/>
          <w:color w:val="000000"/>
          <w:kern w:val="0"/>
        </w:rPr>
      </w:pPr>
      <w:r>
        <w:rPr>
          <w:rFonts w:hint="eastAsia" w:ascii="宋体" w:hAnsi="宋体" w:cs="宋体"/>
          <w:color w:val="000000"/>
          <w:kern w:val="0"/>
        </w:rPr>
        <w:t>2.付款方法和条件：</w:t>
      </w:r>
    </w:p>
    <w:p w14:paraId="6CCFFD77">
      <w:pPr>
        <w:spacing w:line="360" w:lineRule="exact"/>
        <w:ind w:leftChars="200"/>
        <w:rPr>
          <w:rFonts w:hint="eastAsia" w:ascii="宋体" w:hAnsi="宋体" w:cs="宋体"/>
          <w:color w:val="000000"/>
          <w:kern w:val="0"/>
        </w:rPr>
      </w:pPr>
      <w:r>
        <w:rPr>
          <w:rFonts w:hint="eastAsia" w:ascii="宋体" w:hAnsi="宋体" w:cs="宋体"/>
          <w:color w:val="000000"/>
          <w:kern w:val="0"/>
        </w:rPr>
        <w:t>采购人最终验收合格后，投标人须向采购人出具合法有效完整的完税发票及凭证资料，采购人自收到上述发票及凭证资料后，达到付款条件起60日内，支付合同总金额的100.00%</w:t>
      </w:r>
    </w:p>
    <w:p w14:paraId="2589BCCD">
      <w:pPr>
        <w:spacing w:line="360" w:lineRule="exact"/>
        <w:ind w:leftChars="200"/>
        <w:rPr>
          <w:rFonts w:hint="eastAsia" w:ascii="宋体" w:hAnsi="宋体" w:cs="宋体"/>
          <w:color w:val="000000"/>
          <w:kern w:val="0"/>
        </w:rPr>
      </w:pPr>
      <w:r>
        <w:rPr>
          <w:rFonts w:hint="eastAsia" w:ascii="宋体" w:hAnsi="宋体" w:cs="宋体"/>
          <w:color w:val="000000"/>
          <w:kern w:val="0"/>
        </w:rPr>
        <w:t>3.安装调试及验收：</w:t>
      </w:r>
    </w:p>
    <w:p w14:paraId="6D2A24F4">
      <w:pPr>
        <w:spacing w:line="360" w:lineRule="exact"/>
        <w:ind w:leftChars="200"/>
        <w:rPr>
          <w:rFonts w:hint="eastAsia" w:ascii="宋体" w:hAnsi="宋体" w:cs="宋体"/>
          <w:color w:val="000000"/>
          <w:kern w:val="0"/>
        </w:rPr>
      </w:pPr>
      <w:r>
        <w:rPr>
          <w:rFonts w:hint="eastAsia" w:ascii="宋体" w:hAnsi="宋体" w:cs="宋体"/>
          <w:color w:val="000000"/>
          <w:kern w:val="0"/>
        </w:rPr>
        <w:t>3.1中标人负责货物安装、调试。</w:t>
      </w:r>
    </w:p>
    <w:p w14:paraId="39F96D6B">
      <w:pPr>
        <w:spacing w:line="360" w:lineRule="exact"/>
        <w:ind w:leftChars="200"/>
        <w:rPr>
          <w:rFonts w:hint="eastAsia" w:ascii="宋体" w:hAnsi="宋体" w:cs="宋体"/>
          <w:color w:val="000000"/>
          <w:kern w:val="0"/>
        </w:rPr>
      </w:pPr>
      <w:r>
        <w:rPr>
          <w:rFonts w:hint="eastAsia" w:ascii="宋体" w:hAnsi="宋体" w:cs="宋体"/>
          <w:color w:val="000000"/>
          <w:kern w:val="0"/>
        </w:rPr>
        <w:t>3.2货物安装调试完毕后，中标人应对采购人操作人员进行现场培训，直至采购人的技术人员能独立操作，同时能完成一般常见故障的维修工作。</w:t>
      </w:r>
    </w:p>
    <w:p w14:paraId="41C7379D">
      <w:pPr>
        <w:spacing w:line="360" w:lineRule="exact"/>
        <w:ind w:leftChars="200"/>
        <w:rPr>
          <w:rFonts w:hint="eastAsia" w:ascii="宋体" w:hAnsi="宋体" w:cs="宋体"/>
          <w:color w:val="000000"/>
          <w:kern w:val="0"/>
        </w:rPr>
      </w:pPr>
      <w:r>
        <w:rPr>
          <w:rFonts w:hint="eastAsia" w:ascii="宋体" w:hAnsi="宋体" w:cs="宋体"/>
          <w:color w:val="000000"/>
          <w:kern w:val="0"/>
        </w:rPr>
        <w:t>3.3完成中标产品所有安装、调试、培训后，采购人组织项目验收，验收标准按照《财政部关于进一步加强政府采购需求和履约验收管理的指导意见》（财库〔2016〕205号）、招标文件、中标人投标文件为准。</w:t>
      </w:r>
    </w:p>
    <w:p w14:paraId="326B5286">
      <w:pPr>
        <w:spacing w:line="360" w:lineRule="exact"/>
        <w:ind w:leftChars="200"/>
        <w:rPr>
          <w:rFonts w:hint="eastAsia" w:ascii="宋体" w:hAnsi="宋体" w:cs="宋体"/>
          <w:color w:val="000000"/>
          <w:kern w:val="0"/>
        </w:rPr>
      </w:pPr>
      <w:r>
        <w:rPr>
          <w:rFonts w:hint="eastAsia" w:ascii="宋体" w:hAnsi="宋体" w:cs="宋体"/>
          <w:color w:val="000000"/>
          <w:kern w:val="0"/>
        </w:rPr>
        <w:t>4.售后服务：</w:t>
      </w:r>
    </w:p>
    <w:p w14:paraId="59AFA47E">
      <w:pPr>
        <w:spacing w:line="360" w:lineRule="exact"/>
        <w:ind w:leftChars="200"/>
        <w:rPr>
          <w:rFonts w:hint="eastAsia" w:ascii="宋体" w:hAnsi="宋体" w:cs="宋体"/>
          <w:color w:val="000000"/>
          <w:kern w:val="0"/>
        </w:rPr>
      </w:pPr>
      <w:r>
        <w:rPr>
          <w:rFonts w:hint="eastAsia" w:ascii="宋体" w:hAnsi="宋体" w:cs="宋体"/>
          <w:color w:val="000000"/>
          <w:kern w:val="0"/>
        </w:rPr>
        <w:t>4.1质保期：</w:t>
      </w:r>
      <w:r>
        <w:rPr>
          <w:rFonts w:hint="eastAsia" w:ascii="宋体" w:hAnsi="宋体" w:cs="宋体"/>
          <w:color w:val="000000"/>
          <w:kern w:val="0"/>
          <w:lang w:val="en-US" w:eastAsia="zh-CN"/>
        </w:rPr>
        <w:t>乳管镜最终</w:t>
      </w:r>
      <w:r>
        <w:rPr>
          <w:rFonts w:hint="eastAsia" w:ascii="宋体" w:hAnsi="宋体" w:cs="宋体"/>
          <w:color w:val="000000"/>
          <w:kern w:val="0"/>
        </w:rPr>
        <w:t>验收合格后质保时间≥</w:t>
      </w:r>
      <w:r>
        <w:rPr>
          <w:rFonts w:hint="eastAsia" w:ascii="宋体" w:hAnsi="宋体" w:cs="宋体"/>
          <w:color w:val="000000"/>
          <w:kern w:val="0"/>
          <w:lang w:val="en-US" w:eastAsia="zh-CN"/>
        </w:rPr>
        <w:t>12</w:t>
      </w:r>
      <w:r>
        <w:rPr>
          <w:rFonts w:hint="eastAsia" w:ascii="宋体" w:hAnsi="宋体" w:cs="宋体"/>
          <w:color w:val="000000"/>
          <w:kern w:val="0"/>
        </w:rPr>
        <w:t>个月，</w:t>
      </w:r>
      <w:r>
        <w:rPr>
          <w:rFonts w:hint="eastAsia" w:ascii="宋体" w:hAnsi="宋体" w:cs="宋体"/>
          <w:color w:val="000000"/>
          <w:kern w:val="0"/>
          <w:lang w:val="en-US" w:eastAsia="zh-CN"/>
        </w:rPr>
        <w:t>乳管镜</w:t>
      </w:r>
      <w:r>
        <w:rPr>
          <w:rFonts w:hint="eastAsia" w:ascii="宋体" w:hAnsi="宋体" w:cs="宋体"/>
          <w:color w:val="000000"/>
          <w:kern w:val="0"/>
        </w:rPr>
        <w:t>不维修，质保期内出现故障直接更换同型号器械，退换货周期≤10个日历日。</w:t>
      </w:r>
      <w:r>
        <w:rPr>
          <w:rStyle w:val="20"/>
          <w:rFonts w:hint="eastAsia" w:ascii="宋体" w:hAnsi="宋体" w:cs="宋体"/>
          <w:color w:val="000000"/>
          <w:kern w:val="0"/>
        </w:rPr>
        <w:endnoteReference w:id="0"/>
      </w:r>
    </w:p>
    <w:p w14:paraId="591D78FE">
      <w:pPr>
        <w:spacing w:line="360" w:lineRule="exact"/>
        <w:ind w:leftChars="200"/>
        <w:rPr>
          <w:rFonts w:hint="eastAsia" w:ascii="宋体" w:hAnsi="宋体" w:cs="宋体"/>
          <w:color w:val="000000"/>
          <w:kern w:val="0"/>
        </w:rPr>
      </w:pPr>
      <w:r>
        <w:rPr>
          <w:rFonts w:hint="eastAsia" w:ascii="宋体" w:hAnsi="宋体" w:cs="宋体"/>
          <w:color w:val="000000"/>
          <w:kern w:val="0"/>
        </w:rPr>
        <w:t>4.2中标人接到采购人故障通知后4小时内响应，24小时内到达现场</w:t>
      </w:r>
      <w:r>
        <w:rPr>
          <w:rFonts w:hint="eastAsia" w:ascii="宋体" w:hAnsi="宋体" w:cs="宋体"/>
          <w:color w:val="000000"/>
          <w:kern w:val="0"/>
          <w:lang w:val="en-US" w:eastAsia="zh-CN"/>
        </w:rPr>
        <w:t>完成更换</w:t>
      </w:r>
      <w:r>
        <w:rPr>
          <w:rFonts w:hint="eastAsia" w:ascii="宋体" w:hAnsi="宋体" w:cs="宋体"/>
          <w:color w:val="000000"/>
          <w:kern w:val="0"/>
        </w:rPr>
        <w:t>。若中标人未在规定期限内</w:t>
      </w:r>
      <w:r>
        <w:rPr>
          <w:rFonts w:hint="eastAsia" w:ascii="宋体" w:hAnsi="宋体" w:cs="宋体"/>
          <w:color w:val="000000"/>
          <w:kern w:val="0"/>
          <w:lang w:val="en-US" w:eastAsia="zh-CN"/>
        </w:rPr>
        <w:t>完成更换</w:t>
      </w:r>
      <w:r>
        <w:rPr>
          <w:rFonts w:hint="eastAsia" w:ascii="宋体" w:hAnsi="宋体" w:cs="宋体"/>
          <w:color w:val="000000"/>
          <w:kern w:val="0"/>
        </w:rPr>
        <w:t>而给采购人造成经济损失，由中标人全额承担。</w:t>
      </w:r>
    </w:p>
    <w:p w14:paraId="0A74A3A8">
      <w:pPr>
        <w:spacing w:line="360" w:lineRule="exact"/>
        <w:ind w:leftChars="200"/>
        <w:rPr>
          <w:rFonts w:hint="eastAsia" w:ascii="宋体" w:hAnsi="宋体" w:cs="宋体"/>
          <w:color w:val="000000"/>
          <w:kern w:val="0"/>
        </w:rPr>
      </w:pPr>
      <w:r>
        <w:rPr>
          <w:rFonts w:hint="eastAsia" w:ascii="宋体" w:hAnsi="宋体" w:cs="宋体"/>
          <w:color w:val="000000"/>
          <w:kern w:val="0"/>
        </w:rPr>
        <w:t>4.3如质保期内货物经中标人两次</w:t>
      </w:r>
      <w:r>
        <w:rPr>
          <w:rFonts w:hint="eastAsia" w:ascii="宋体" w:hAnsi="宋体" w:cs="宋体"/>
          <w:color w:val="000000"/>
          <w:kern w:val="0"/>
          <w:lang w:val="en-US" w:eastAsia="zh-CN"/>
        </w:rPr>
        <w:t>更换</w:t>
      </w:r>
      <w:r>
        <w:rPr>
          <w:rFonts w:hint="eastAsia" w:ascii="宋体" w:hAnsi="宋体" w:cs="宋体"/>
          <w:color w:val="000000"/>
          <w:kern w:val="0"/>
        </w:rPr>
        <w:t>仍不能达到国家相关质量标准，采购人有权要求中标人无条件退货，并追究中标人违约责任。</w:t>
      </w:r>
    </w:p>
    <w:p w14:paraId="4DC3BC74">
      <w:pPr>
        <w:spacing w:line="360" w:lineRule="exact"/>
        <w:ind w:leftChars="200"/>
        <w:rPr>
          <w:rFonts w:hint="eastAsia" w:ascii="宋体" w:hAnsi="宋体" w:cs="宋体"/>
          <w:color w:val="000000"/>
          <w:kern w:val="0"/>
        </w:rPr>
      </w:pPr>
      <w:r>
        <w:rPr>
          <w:rFonts w:hint="eastAsia" w:ascii="宋体" w:hAnsi="宋体" w:cs="宋体"/>
          <w:color w:val="000000"/>
          <w:kern w:val="0"/>
        </w:rPr>
        <w:t>4.4如货物涉及软件升级，中标人承诺为采购人提供软件升级服务，费用包含在投标总价内，采购人不再另行支付费用。</w:t>
      </w:r>
    </w:p>
    <w:p w14:paraId="2D75CDFA">
      <w:pPr>
        <w:spacing w:line="360" w:lineRule="exact"/>
        <w:ind w:leftChars="200"/>
        <w:rPr>
          <w:rFonts w:hint="eastAsia" w:ascii="宋体" w:hAnsi="宋体" w:eastAsia="宋体" w:cs="宋体"/>
          <w:color w:val="000000"/>
          <w:sz w:val="21"/>
          <w:szCs w:val="21"/>
          <w:lang w:val="en-US" w:eastAsia="zh-CN"/>
        </w:rPr>
      </w:pPr>
      <w:r>
        <w:rPr>
          <w:rFonts w:hint="eastAsia" w:ascii="宋体" w:hAnsi="宋体" w:cs="宋体"/>
          <w:color w:val="000000"/>
          <w:kern w:val="0"/>
        </w:rPr>
        <w:t>4.5中标人应承诺保证设备停产后至少5年的零配件供应。</w:t>
      </w:r>
      <w:r>
        <w:rPr>
          <w:rFonts w:hint="eastAsia" w:ascii="宋体" w:hAnsi="宋体" w:cs="宋体"/>
          <w:b w:val="0"/>
          <w:color w:val="000000"/>
          <w:sz w:val="21"/>
          <w:szCs w:val="21"/>
          <w:lang w:eastAsia="zh-CN"/>
        </w:rPr>
        <w:t>质</w:t>
      </w:r>
      <w:r>
        <w:rPr>
          <w:rFonts w:hint="eastAsia" w:ascii="宋体" w:hAnsi="宋体" w:cs="宋体"/>
          <w:b w:val="0"/>
          <w:color w:val="000000"/>
          <w:sz w:val="21"/>
          <w:szCs w:val="21"/>
          <w:highlight w:val="none"/>
          <w:lang w:eastAsia="zh-CN"/>
        </w:rPr>
        <w:t>保期</w:t>
      </w:r>
      <w:r>
        <w:rPr>
          <w:rFonts w:hint="eastAsia" w:ascii="宋体" w:hAnsi="宋体" w:eastAsia="宋体" w:cs="宋体"/>
          <w:bCs/>
          <w:color w:val="auto"/>
          <w:sz w:val="21"/>
          <w:szCs w:val="21"/>
          <w:highlight w:val="none"/>
        </w:rPr>
        <w:t>内，</w:t>
      </w:r>
      <w:r>
        <w:rPr>
          <w:rFonts w:hint="eastAsia" w:ascii="宋体" w:hAnsi="宋体" w:eastAsia="宋体" w:cs="宋体"/>
          <w:color w:val="000000"/>
          <w:sz w:val="21"/>
          <w:szCs w:val="21"/>
          <w:highlight w:val="none"/>
          <w:lang w:val="en-US" w:eastAsia="zh-CN"/>
        </w:rPr>
        <w:t>乙方每半年</w:t>
      </w:r>
      <w:r>
        <w:rPr>
          <w:rFonts w:hint="eastAsia" w:ascii="宋体" w:hAnsi="宋体" w:cs="宋体"/>
          <w:color w:val="000000"/>
          <w:sz w:val="21"/>
          <w:szCs w:val="21"/>
          <w:highlight w:val="none"/>
          <w:lang w:val="en-US" w:eastAsia="zh-CN"/>
        </w:rPr>
        <w:t>提供巡检及保养</w:t>
      </w:r>
      <w:r>
        <w:rPr>
          <w:rFonts w:hint="eastAsia" w:ascii="宋体" w:hAnsi="宋体" w:eastAsia="宋体" w:cs="宋体"/>
          <w:color w:val="000000"/>
          <w:sz w:val="21"/>
          <w:szCs w:val="21"/>
          <w:highlight w:val="none"/>
          <w:lang w:val="en-US" w:eastAsia="zh-CN"/>
        </w:rPr>
        <w:t>≥1次，</w:t>
      </w:r>
      <w:r>
        <w:rPr>
          <w:rFonts w:hint="eastAsia" w:ascii="宋体" w:hAnsi="宋体" w:eastAsia="宋体" w:cs="宋体"/>
          <w:color w:val="000000"/>
          <w:sz w:val="21"/>
          <w:szCs w:val="21"/>
          <w:lang w:val="en-US" w:eastAsia="zh-CN"/>
        </w:rPr>
        <w:t>并按医院要求</w:t>
      </w:r>
      <w:r>
        <w:rPr>
          <w:rFonts w:hint="eastAsia" w:ascii="宋体" w:hAnsi="宋体" w:cs="宋体"/>
          <w:color w:val="000000"/>
          <w:sz w:val="21"/>
          <w:szCs w:val="21"/>
          <w:lang w:val="en-US" w:eastAsia="zh-CN"/>
        </w:rPr>
        <w:t>提供巡检及保养</w:t>
      </w:r>
      <w:r>
        <w:rPr>
          <w:rFonts w:hint="eastAsia" w:ascii="宋体" w:hAnsi="宋体" w:eastAsia="宋体" w:cs="宋体"/>
          <w:color w:val="000000"/>
          <w:sz w:val="21"/>
          <w:szCs w:val="21"/>
          <w:lang w:val="en-US" w:eastAsia="zh-CN"/>
        </w:rPr>
        <w:t>记录。</w:t>
      </w:r>
    </w:p>
    <w:p w14:paraId="4FF045EA">
      <w:pPr>
        <w:numPr>
          <w:ilvl w:val="0"/>
          <w:numId w:val="3"/>
        </w:numPr>
        <w:adjustRightInd w:val="0"/>
        <w:snapToGrid w:val="0"/>
        <w:spacing w:line="360" w:lineRule="auto"/>
        <w:ind w:leftChars="200"/>
        <w:rPr>
          <w:rFonts w:hint="eastAsia" w:ascii="宋体" w:hAnsi="宋体" w:cs="宋体"/>
          <w:lang w:val="en-US" w:eastAsia="zh-CN"/>
        </w:rPr>
      </w:pPr>
      <w:r>
        <w:rPr>
          <w:rFonts w:hint="eastAsia" w:ascii="宋体" w:hAnsi="宋体" w:cs="宋体"/>
          <w:bCs/>
        </w:rPr>
        <w:t>履约担保：</w:t>
      </w:r>
      <w:r>
        <w:rPr>
          <w:rFonts w:hint="eastAsia" w:ascii="宋体" w:hAnsi="宋体" w:cs="宋体"/>
        </w:rPr>
        <w:t>是否收取履约保证金：</w:t>
      </w:r>
      <w:r>
        <w:rPr>
          <w:rFonts w:hint="eastAsia" w:ascii="宋体" w:hAnsi="宋体" w:cs="宋体"/>
          <w:iCs/>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r>
        <w:rPr>
          <w:rFonts w:hint="eastAsia" w:ascii="宋体" w:hAnsi="宋体" w:cs="宋体"/>
          <w:lang w:val="en-US" w:eastAsia="zh-CN"/>
        </w:rPr>
        <w:t xml:space="preserve">  </w:t>
      </w:r>
    </w:p>
    <w:p w14:paraId="7C2A521C">
      <w:pPr>
        <w:numPr>
          <w:ilvl w:val="0"/>
          <w:numId w:val="0"/>
        </w:numPr>
        <w:adjustRightInd w:val="0"/>
        <w:snapToGrid w:val="0"/>
        <w:spacing w:line="360" w:lineRule="auto"/>
        <w:ind w:leftChars="200"/>
        <w:rPr>
          <w:rFonts w:hint="default" w:ascii="宋体" w:hAnsi="宋体" w:eastAsia="宋体" w:cs="宋体"/>
          <w:lang w:val="en-US" w:eastAsia="zh-CN"/>
        </w:rPr>
      </w:pPr>
      <w:r>
        <w:rPr>
          <w:rFonts w:hint="eastAsia" w:ascii="宋体" w:hAnsi="宋体" w:cs="宋体"/>
          <w:lang w:val="en-US" w:eastAsia="zh-CN"/>
        </w:rPr>
        <w:t>履约保证金额为合同总额的10%</w:t>
      </w:r>
    </w:p>
    <w:p w14:paraId="10EC00E4">
      <w:pPr>
        <w:adjustRightInd/>
        <w:snapToGrid/>
        <w:spacing w:line="360" w:lineRule="exact"/>
        <w:ind w:leftChars="200"/>
        <w:rPr>
          <w:rFonts w:hint="eastAsia" w:ascii="宋体" w:hAnsi="宋体" w:eastAsia="宋体" w:cs="宋体"/>
          <w:color w:val="000000"/>
          <w:kern w:val="0"/>
        </w:rPr>
      </w:pPr>
      <w:r>
        <w:rPr>
          <w:rFonts w:hint="eastAsia" w:ascii="宋体" w:hAnsi="宋体" w:eastAsia="宋体" w:cs="宋体"/>
          <w:color w:val="000000"/>
          <w:kern w:val="0"/>
        </w:rPr>
        <w:t>收取履约保证金形式：</w:t>
      </w:r>
    </w:p>
    <w:p w14:paraId="03249F03">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（1）交款方式：以银行转账支票、汇票、本票或者金融机构、担保机构出具的保函等非现金形式向采购人交纳</w:t>
      </w:r>
    </w:p>
    <w:p w14:paraId="377ADA38">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（2）交款时间：投标人在收到采购人通知后7日内、设备安装前；</w:t>
      </w:r>
    </w:p>
    <w:p w14:paraId="4FD96A1C">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（3）收款单位：采购人指定；</w:t>
      </w:r>
    </w:p>
    <w:p w14:paraId="05C915F2">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（4）开户银行：采购人指定；</w:t>
      </w:r>
    </w:p>
    <w:p w14:paraId="52806A4D">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（5）账号：采购人指定；</w:t>
      </w:r>
    </w:p>
    <w:p w14:paraId="364B137B">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（6）退还时间：设备自最终验收合格之日满 2 年，采购人接到投标人付款申请后 30 个工作日内，采购人一次性无息退还投标人的履约保证金，若履约保证金缴纳方式为保函，则按照保函相关流程退回。</w:t>
      </w:r>
    </w:p>
    <w:p w14:paraId="5D617DC5">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（7）履约保证金不予退还情形：</w:t>
      </w:r>
    </w:p>
    <w:p w14:paraId="6B6D5032">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1）中标供应商不履行与采购人订立的合同的，给采购人造成的损失超过履约保证金数额的，还应当对超过部分予以赔偿；</w:t>
      </w:r>
    </w:p>
    <w:p w14:paraId="373ABEE6">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2）项目验收结果不合格的；</w:t>
      </w:r>
    </w:p>
    <w:p w14:paraId="6AC21A44">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3）其他违反国家相关法律法规的情形；</w:t>
      </w:r>
    </w:p>
    <w:p w14:paraId="5E63F1AE">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（8）若投标人接到支付履约保证金通知未在7个工作日内缴纳履约保证金，采购人有权解除合同。</w:t>
      </w:r>
    </w:p>
    <w:p w14:paraId="1188498A">
      <w:pPr>
        <w:adjustRightInd/>
        <w:snapToGrid/>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注：以保函形式交纳履约保证金的，保函受益人为采购人。由中标供应商基本账户所在银行或其他经相应主管部门批准可以开展保函业务的金融或担保机构出具的保函。</w:t>
      </w:r>
    </w:p>
    <w:p w14:paraId="75D9FBCD">
      <w:pPr>
        <w:pStyle w:val="2"/>
        <w:ind w:leftChars="400"/>
        <w:rPr>
          <w:rFonts w:hint="eastAsia"/>
          <w:lang w:val="en-US" w:eastAsia="zh-CN"/>
        </w:rPr>
      </w:pPr>
    </w:p>
    <w:p w14:paraId="00C53F2C">
      <w:pPr>
        <w:keepNext w:val="0"/>
        <w:keepLines w:val="0"/>
        <w:pageBreakBefore w:val="0"/>
        <w:widowControl w:val="0"/>
        <w:tabs>
          <w:tab w:val="left" w:pos="6946"/>
        </w:tabs>
        <w:kinsoku/>
        <w:wordWrap/>
        <w:overflowPunct/>
        <w:topLinePunct w:val="0"/>
        <w:autoSpaceDE/>
        <w:autoSpaceDN/>
        <w:bidi w:val="0"/>
        <w:adjustRightInd/>
        <w:snapToGrid/>
        <w:spacing w:line="240" w:lineRule="atLeast"/>
        <w:ind w:leftChars="200"/>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备注：本招标文件中“★”要求为实质性要求。投标人在投标文件中进行实质性响应，否则作无效投标处理。</w:t>
      </w:r>
    </w:p>
    <w:p w14:paraId="1FCDCC1F">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14:paraId="56ECE868">
      <w:pPr>
        <w:rPr>
          <w:rFonts w:hint="eastAsia" w:ascii="宋体" w:hAnsi="宋体" w:eastAsia="宋体" w:cs="宋体"/>
          <w:b/>
          <w:bCs w:val="0"/>
          <w:i w:val="0"/>
          <w:caps w:val="0"/>
          <w:color w:val="000000"/>
          <w:spacing w:val="0"/>
          <w:sz w:val="24"/>
          <w:szCs w:val="24"/>
          <w:highlight w:val="none"/>
          <w:shd w:val="clear" w:fill="FFFFFF"/>
          <w:lang w:val="en-US" w:eastAsia="zh-CN"/>
        </w:rPr>
      </w:pPr>
    </w:p>
    <w:p w14:paraId="2686DA19">
      <w:pPr>
        <w:rPr>
          <w:rFonts w:hint="eastAsia" w:ascii="宋体" w:hAnsi="宋体" w:eastAsia="宋体" w:cs="宋体"/>
          <w:b/>
          <w:bCs w:val="0"/>
          <w:i w:val="0"/>
          <w:caps w:val="0"/>
          <w:color w:val="000000"/>
          <w:spacing w:val="0"/>
          <w:sz w:val="24"/>
          <w:szCs w:val="24"/>
          <w:highlight w:val="none"/>
          <w:shd w:val="clear" w:fill="FFFFFF"/>
          <w:lang w:val="en-US" w:eastAsia="zh-CN"/>
        </w:rPr>
      </w:pPr>
    </w:p>
    <w:p w14:paraId="42C4B714">
      <w:pPr>
        <w:rPr>
          <w:rFonts w:hint="eastAsia" w:ascii="宋体" w:hAnsi="宋体" w:eastAsia="宋体" w:cs="宋体"/>
          <w:b/>
          <w:bCs w:val="0"/>
          <w:i w:val="0"/>
          <w:caps w:val="0"/>
          <w:color w:val="000000"/>
          <w:spacing w:val="0"/>
          <w:sz w:val="24"/>
          <w:szCs w:val="24"/>
          <w:highlight w:val="none"/>
          <w:shd w:val="clear" w:fill="FFFFFF"/>
          <w:lang w:val="en-US" w:eastAsia="zh-CN"/>
        </w:rPr>
      </w:pPr>
    </w:p>
    <w:p w14:paraId="28E3574D">
      <w:pPr>
        <w:rPr>
          <w:rFonts w:hint="eastAsia" w:ascii="宋体" w:hAnsi="宋体" w:eastAsia="宋体" w:cs="宋体"/>
          <w:b/>
          <w:bCs w:val="0"/>
          <w:i w:val="0"/>
          <w:caps w:val="0"/>
          <w:color w:val="000000"/>
          <w:spacing w:val="0"/>
          <w:sz w:val="24"/>
          <w:szCs w:val="24"/>
          <w:highlight w:val="none"/>
          <w:shd w:val="clear" w:fill="FFFFFF"/>
          <w:lang w:val="en-US" w:eastAsia="zh-CN"/>
        </w:rPr>
      </w:pPr>
    </w:p>
    <w:p w14:paraId="3DB5CA37">
      <w:pPr>
        <w:rPr>
          <w:rFonts w:hint="eastAsia" w:ascii="宋体" w:hAnsi="宋体" w:eastAsia="宋体" w:cs="宋体"/>
          <w:b/>
          <w:bCs w:val="0"/>
          <w:i w:val="0"/>
          <w:caps w:val="0"/>
          <w:color w:val="000000"/>
          <w:spacing w:val="0"/>
          <w:sz w:val="24"/>
          <w:szCs w:val="24"/>
          <w:highlight w:val="none"/>
          <w:shd w:val="clear" w:fill="FFFFFF"/>
          <w:lang w:val="en-US" w:eastAsia="zh-CN"/>
        </w:rPr>
      </w:pPr>
    </w:p>
    <w:p w14:paraId="62A4A0B0">
      <w:pPr>
        <w:rPr>
          <w:rFonts w:hint="eastAsia" w:ascii="宋体" w:hAnsi="宋体" w:eastAsia="宋体" w:cs="宋体"/>
          <w:b/>
          <w:bCs w:val="0"/>
          <w:i w:val="0"/>
          <w:caps w:val="0"/>
          <w:color w:val="000000"/>
          <w:spacing w:val="0"/>
          <w:sz w:val="24"/>
          <w:szCs w:val="24"/>
          <w:highlight w:val="none"/>
          <w:shd w:val="clear" w:fill="FFFFFF"/>
          <w:lang w:val="en-US" w:eastAsia="zh-CN"/>
        </w:rPr>
      </w:pPr>
    </w:p>
    <w:p w14:paraId="487E6C41">
      <w:pPr>
        <w:rPr>
          <w:rFonts w:hint="eastAsia" w:ascii="宋体" w:hAnsi="宋体" w:eastAsia="宋体" w:cs="宋体"/>
          <w:b/>
          <w:bCs w:val="0"/>
          <w:i w:val="0"/>
          <w:caps w:val="0"/>
          <w:color w:val="000000"/>
          <w:spacing w:val="0"/>
          <w:sz w:val="24"/>
          <w:szCs w:val="24"/>
          <w:highlight w:val="none"/>
          <w:shd w:val="clear" w:fill="FFFFFF"/>
          <w:lang w:val="en-US" w:eastAsia="zh-CN"/>
        </w:rPr>
      </w:pPr>
    </w:p>
    <w:p w14:paraId="079E3602">
      <w:pPr>
        <w:rPr>
          <w:rFonts w:hint="eastAsia" w:ascii="宋体" w:hAnsi="宋体" w:eastAsia="宋体" w:cs="宋体"/>
          <w:b/>
          <w:bCs w:val="0"/>
          <w:i w:val="0"/>
          <w:caps w:val="0"/>
          <w:color w:val="000000"/>
          <w:spacing w:val="0"/>
          <w:sz w:val="24"/>
          <w:szCs w:val="24"/>
          <w:highlight w:val="none"/>
          <w:shd w:val="clear" w:fill="FFFFFF"/>
          <w:lang w:val="en-US" w:eastAsia="zh-CN"/>
        </w:rPr>
      </w:pPr>
    </w:p>
    <w:p w14:paraId="555AA6F9">
      <w:pPr>
        <w:rPr>
          <w:rFonts w:hint="eastAsia" w:ascii="宋体" w:hAnsi="宋体" w:eastAsia="宋体" w:cs="宋体"/>
          <w:b/>
          <w:bCs w:val="0"/>
          <w:i w:val="0"/>
          <w:caps w:val="0"/>
          <w:color w:val="000000"/>
          <w:spacing w:val="0"/>
          <w:sz w:val="24"/>
          <w:szCs w:val="24"/>
          <w:highlight w:val="none"/>
          <w:shd w:val="clear" w:fill="FFFFFF"/>
          <w:lang w:val="en-US" w:eastAsia="zh-CN"/>
        </w:rPr>
      </w:pPr>
    </w:p>
    <w:p w14:paraId="049AE9A1">
      <w:pPr>
        <w:rPr>
          <w:rFonts w:hint="eastAsia" w:ascii="宋体" w:hAnsi="宋体" w:eastAsia="宋体" w:cs="宋体"/>
          <w:b/>
          <w:bCs w:val="0"/>
          <w:i w:val="0"/>
          <w:caps w:val="0"/>
          <w:color w:val="000000"/>
          <w:spacing w:val="0"/>
          <w:sz w:val="24"/>
          <w:szCs w:val="24"/>
          <w:highlight w:val="none"/>
          <w:shd w:val="clear" w:fill="FFFFFF"/>
          <w:lang w:val="en-US" w:eastAsia="zh-CN"/>
        </w:rPr>
      </w:pPr>
    </w:p>
    <w:p w14:paraId="404C35FA">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070ECC33">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7"/>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329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F594DC2">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14:paraId="498C01B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4D6751D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0DE4544D">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14:paraId="3570E108">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728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875E488">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1</w:t>
            </w:r>
          </w:p>
        </w:tc>
        <w:tc>
          <w:tcPr>
            <w:tcW w:w="1082" w:type="dxa"/>
            <w:noWrap w:val="0"/>
            <w:vAlign w:val="center"/>
          </w:tcPr>
          <w:p w14:paraId="1DCF272F">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14:paraId="00F9108B">
            <w:pPr>
              <w:spacing w:line="360" w:lineRule="auto"/>
              <w:jc w:val="center"/>
              <w:rPr>
                <w:rFonts w:hint="eastAsia" w:ascii="黑体" w:hAnsi="黑体" w:eastAsia="黑体" w:cs="黑体"/>
                <w:bCs/>
                <w:sz w:val="24"/>
                <w:szCs w:val="24"/>
              </w:rPr>
            </w:pPr>
            <w:r>
              <w:rPr>
                <w:rFonts w:hint="eastAsia" w:ascii="宋体" w:hAnsi="宋体" w:cs="Segoe UI"/>
                <w:color w:val="000000"/>
                <w:kern w:val="0"/>
              </w:rPr>
              <w:t>30%</w:t>
            </w:r>
          </w:p>
        </w:tc>
        <w:tc>
          <w:tcPr>
            <w:tcW w:w="850" w:type="dxa"/>
            <w:noWrap w:val="0"/>
            <w:vAlign w:val="center"/>
          </w:tcPr>
          <w:p w14:paraId="3B0E9C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4150" w:type="dxa"/>
            <w:noWrap w:val="0"/>
            <w:vAlign w:val="center"/>
          </w:tcPr>
          <w:p w14:paraId="12D6719E">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满足招标文件要求且投标报价最低的有效投标报价为评标基准价，其投标人的报价分为30分。其他投标人的报价分按以下公式计算：报价得分=(评标基准价／投标报价)×30。</w:t>
            </w:r>
          </w:p>
        </w:tc>
        <w:tc>
          <w:tcPr>
            <w:tcW w:w="1177" w:type="dxa"/>
            <w:noWrap w:val="0"/>
            <w:vAlign w:val="center"/>
          </w:tcPr>
          <w:p w14:paraId="449B75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客观分</w:t>
            </w:r>
          </w:p>
        </w:tc>
      </w:tr>
      <w:tr w14:paraId="349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315B6AC4">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2</w:t>
            </w:r>
          </w:p>
        </w:tc>
        <w:tc>
          <w:tcPr>
            <w:tcW w:w="1082" w:type="dxa"/>
            <w:noWrap w:val="0"/>
            <w:vAlign w:val="center"/>
          </w:tcPr>
          <w:p w14:paraId="30B62BFF">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14:paraId="0506974D">
            <w:pPr>
              <w:spacing w:line="360" w:lineRule="auto"/>
              <w:jc w:val="center"/>
              <w:rPr>
                <w:rFonts w:hint="eastAsia" w:ascii="黑体" w:hAnsi="黑体" w:eastAsia="黑体" w:cs="黑体"/>
                <w:szCs w:val="21"/>
              </w:rPr>
            </w:pPr>
            <w:r>
              <w:rPr>
                <w:rFonts w:hint="eastAsia" w:ascii="宋体" w:hAnsi="宋体" w:cs="Segoe UI"/>
                <w:color w:val="000000"/>
                <w:kern w:val="0"/>
                <w:lang w:val="en-US" w:eastAsia="zh-CN"/>
              </w:rPr>
              <w:t>60</w:t>
            </w:r>
            <w:r>
              <w:rPr>
                <w:rFonts w:hint="eastAsia" w:ascii="宋体" w:hAnsi="宋体" w:cs="Segoe UI"/>
                <w:color w:val="000000"/>
                <w:kern w:val="0"/>
              </w:rPr>
              <w:t>%</w:t>
            </w:r>
          </w:p>
        </w:tc>
        <w:tc>
          <w:tcPr>
            <w:tcW w:w="850" w:type="dxa"/>
            <w:noWrap w:val="0"/>
            <w:vAlign w:val="center"/>
          </w:tcPr>
          <w:p w14:paraId="399689E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w:t>
            </w:r>
          </w:p>
        </w:tc>
        <w:tc>
          <w:tcPr>
            <w:tcW w:w="4150" w:type="dxa"/>
            <w:noWrap w:val="0"/>
            <w:vAlign w:val="center"/>
          </w:tcPr>
          <w:p w14:paraId="2D18D687">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60</w:t>
            </w:r>
            <w:r>
              <w:rPr>
                <w:rFonts w:hint="eastAsia" w:ascii="宋体" w:hAnsi="宋体" w:eastAsia="宋体" w:cs="宋体"/>
              </w:rPr>
              <w:t>分。</w:t>
            </w:r>
          </w:p>
          <w:p w14:paraId="4C2FA390">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20</w:t>
            </w:r>
            <w:r>
              <w:rPr>
                <w:rFonts w:hint="eastAsia" w:ascii="宋体" w:hAnsi="宋体" w:eastAsia="宋体" w:cs="宋体"/>
              </w:rPr>
              <w:t xml:space="preserve">分。 </w:t>
            </w:r>
          </w:p>
          <w:p w14:paraId="48B6BADF">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40</w:t>
            </w:r>
            <w:r>
              <w:rPr>
                <w:rFonts w:hint="eastAsia" w:ascii="宋体" w:hAnsi="宋体" w:eastAsia="宋体" w:cs="宋体"/>
              </w:rPr>
              <w:t>分。</w:t>
            </w:r>
          </w:p>
          <w:p w14:paraId="59160FE6">
            <w:pPr>
              <w:spacing w:line="360" w:lineRule="auto"/>
              <w:rPr>
                <w:rFonts w:hint="eastAsia" w:ascii="黑体" w:hAnsi="黑体" w:eastAsia="黑体" w:cs="黑体"/>
                <w:szCs w:val="21"/>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说明书或向社会公开的彩页资料或国家认可的合法的检测机构出具的检测报告证明材料</w:t>
            </w:r>
            <w:r>
              <w:rPr>
                <w:rFonts w:hint="eastAsia" w:ascii="宋体" w:hAnsi="宋体" w:eastAsia="宋体" w:cs="宋体"/>
                <w:lang w:val="en-US" w:eastAsia="zh-CN"/>
              </w:rPr>
              <w:t>或注册证</w:t>
            </w:r>
            <w:r>
              <w:rPr>
                <w:rFonts w:hint="eastAsia" w:ascii="宋体" w:hAnsi="宋体" w:eastAsia="宋体" w:cs="宋体"/>
              </w:rPr>
              <w:t xml:space="preserve">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177" w:type="dxa"/>
            <w:noWrap w:val="0"/>
            <w:vAlign w:val="center"/>
          </w:tcPr>
          <w:p w14:paraId="70C49E60">
            <w:pPr>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客观分</w:t>
            </w:r>
          </w:p>
        </w:tc>
      </w:tr>
      <w:tr w14:paraId="3CF8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noWrap w:val="0"/>
            <w:vAlign w:val="center"/>
          </w:tcPr>
          <w:p w14:paraId="26EDAEBC">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3</w:t>
            </w:r>
          </w:p>
        </w:tc>
        <w:tc>
          <w:tcPr>
            <w:tcW w:w="1082" w:type="dxa"/>
            <w:noWrap w:val="0"/>
            <w:vAlign w:val="center"/>
          </w:tcPr>
          <w:p w14:paraId="22EC6C39">
            <w:pPr>
              <w:widowControl/>
              <w:spacing w:line="360" w:lineRule="exact"/>
              <w:jc w:val="center"/>
              <w:rPr>
                <w:rFonts w:hint="eastAsia" w:ascii="宋体" w:hAnsi="宋体" w:cs="宋体"/>
              </w:rPr>
            </w:pPr>
            <w:r>
              <w:rPr>
                <w:rFonts w:hint="eastAsia" w:ascii="宋体" w:hAnsi="宋体" w:cs="宋体"/>
              </w:rPr>
              <w:t>业绩</w:t>
            </w:r>
          </w:p>
          <w:p w14:paraId="7B468918">
            <w:pPr>
              <w:spacing w:line="360" w:lineRule="auto"/>
              <w:jc w:val="center"/>
              <w:rPr>
                <w:rFonts w:hint="eastAsia" w:ascii="黑体" w:hAnsi="黑体" w:eastAsia="黑体" w:cs="黑体"/>
                <w:szCs w:val="21"/>
              </w:rPr>
            </w:pPr>
            <w:r>
              <w:rPr>
                <w:rFonts w:hint="eastAsia" w:ascii="宋体" w:hAnsi="宋体" w:cs="宋体"/>
                <w:lang w:val="en-US" w:eastAsia="zh-CN"/>
              </w:rPr>
              <w:t>2</w:t>
            </w:r>
            <w:r>
              <w:rPr>
                <w:rFonts w:hint="eastAsia" w:ascii="宋体" w:hAnsi="宋体" w:cs="宋体"/>
              </w:rPr>
              <w:t>%</w:t>
            </w:r>
          </w:p>
        </w:tc>
        <w:tc>
          <w:tcPr>
            <w:tcW w:w="850" w:type="dxa"/>
            <w:noWrap w:val="0"/>
            <w:vAlign w:val="center"/>
          </w:tcPr>
          <w:p w14:paraId="009E896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4150" w:type="dxa"/>
            <w:noWrap w:val="0"/>
            <w:vAlign w:val="center"/>
          </w:tcPr>
          <w:p w14:paraId="21A81A9F">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自2022年1月1日（含）至今，以合同签订时间为准，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每具有任一一个投标产品业绩的得1分，最高得2分。 </w:t>
            </w:r>
          </w:p>
          <w:p w14:paraId="00FACE9D">
            <w:pPr>
              <w:pStyle w:val="8"/>
              <w:rPr>
                <w:rFonts w:hint="default" w:eastAsia="宋体"/>
                <w:lang w:val="en-US" w:eastAsia="zh-CN"/>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p w14:paraId="54562F00">
            <w:pPr>
              <w:spacing w:line="360" w:lineRule="auto"/>
              <w:rPr>
                <w:rFonts w:hint="eastAsia" w:ascii="黑体" w:hAnsi="黑体" w:eastAsia="黑体" w:cs="黑体"/>
                <w:szCs w:val="21"/>
              </w:rPr>
            </w:pPr>
          </w:p>
        </w:tc>
        <w:tc>
          <w:tcPr>
            <w:tcW w:w="1177" w:type="dxa"/>
            <w:noWrap w:val="0"/>
            <w:vAlign w:val="center"/>
          </w:tcPr>
          <w:p w14:paraId="4DE3EE06">
            <w:pPr>
              <w:tabs>
                <w:tab w:val="left" w:pos="395"/>
              </w:tabs>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客观分</w:t>
            </w:r>
          </w:p>
        </w:tc>
      </w:tr>
      <w:tr w14:paraId="183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97D5C32">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4</w:t>
            </w:r>
          </w:p>
        </w:tc>
        <w:tc>
          <w:tcPr>
            <w:tcW w:w="1082" w:type="dxa"/>
            <w:noWrap w:val="0"/>
            <w:vAlign w:val="center"/>
          </w:tcPr>
          <w:p w14:paraId="25833006">
            <w:pPr>
              <w:widowControl/>
              <w:spacing w:line="360" w:lineRule="exact"/>
              <w:jc w:val="center"/>
              <w:rPr>
                <w:rFonts w:hint="eastAsia" w:ascii="宋体" w:hAnsi="宋体" w:cs="宋体"/>
              </w:rPr>
            </w:pPr>
            <w:r>
              <w:rPr>
                <w:rFonts w:hint="eastAsia" w:ascii="宋体" w:hAnsi="宋体" w:cs="宋体"/>
              </w:rPr>
              <w:t>售后服务方案</w:t>
            </w:r>
          </w:p>
          <w:p w14:paraId="257A9E65">
            <w:pPr>
              <w:spacing w:line="360" w:lineRule="auto"/>
              <w:jc w:val="center"/>
              <w:rPr>
                <w:rFonts w:hint="eastAsia" w:ascii="黑体" w:hAnsi="黑体" w:eastAsia="黑体" w:cs="黑体"/>
                <w:szCs w:val="21"/>
              </w:rPr>
            </w:pPr>
            <w:r>
              <w:rPr>
                <w:rFonts w:hint="eastAsia" w:ascii="宋体" w:hAnsi="宋体" w:cs="宋体"/>
              </w:rPr>
              <w:t>8%</w:t>
            </w:r>
          </w:p>
        </w:tc>
        <w:tc>
          <w:tcPr>
            <w:tcW w:w="850" w:type="dxa"/>
            <w:noWrap w:val="0"/>
            <w:vAlign w:val="center"/>
          </w:tcPr>
          <w:p w14:paraId="0F3F1E0B">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4150" w:type="dxa"/>
            <w:noWrap w:val="0"/>
            <w:vAlign w:val="center"/>
          </w:tcPr>
          <w:p w14:paraId="75C9C7FF">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14:paraId="491D14B1">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0264D4F6">
            <w:pPr>
              <w:spacing w:line="360" w:lineRule="auto"/>
              <w:rPr>
                <w:rFonts w:ascii="黑体" w:hAnsi="黑体" w:cs="黑体"/>
                <w:szCs w:val="21"/>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noWrap w:val="0"/>
            <w:vAlign w:val="center"/>
          </w:tcPr>
          <w:p w14:paraId="24B9B5CD">
            <w:pPr>
              <w:spacing w:line="360" w:lineRule="auto"/>
              <w:jc w:val="center"/>
              <w:rPr>
                <w:rFonts w:hint="default" w:ascii="黑体" w:hAnsi="黑体" w:eastAsia="黑体" w:cs="黑体"/>
                <w:bCs/>
                <w:sz w:val="24"/>
                <w:szCs w:val="24"/>
                <w:lang w:val="en-US" w:eastAsia="zh-CN"/>
              </w:rPr>
            </w:pPr>
            <w:r>
              <w:rPr>
                <w:rFonts w:hint="eastAsia" w:ascii="宋体" w:hAnsi="宋体" w:eastAsia="宋体" w:cs="宋体"/>
                <w:lang w:val="en-US" w:eastAsia="zh-CN"/>
              </w:rPr>
              <w:t>主观分</w:t>
            </w:r>
          </w:p>
        </w:tc>
      </w:tr>
    </w:tbl>
    <w:p w14:paraId="66962A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2AD9CA28">
      <w:pPr>
        <w:pStyle w:val="9"/>
        <w:numPr>
          <w:ilvl w:val="0"/>
          <w:numId w:val="0"/>
        </w:numPr>
        <w:rPr>
          <w:rFonts w:hint="default"/>
          <w:lang w:val="en-US" w:eastAsia="zh-CN"/>
        </w:rPr>
      </w:pPr>
    </w:p>
    <w:p w14:paraId="6DCB265A">
      <w:pPr>
        <w:adjustRightInd w:val="0"/>
        <w:snapToGrid w:val="0"/>
        <w:spacing w:line="580" w:lineRule="exact"/>
        <w:rPr>
          <w:rFonts w:hint="eastAsia" w:ascii="仿宋_GB2312" w:eastAsia="仿宋_GB2312"/>
          <w:sz w:val="28"/>
          <w:szCs w:val="32"/>
        </w:rPr>
      </w:pPr>
    </w:p>
    <w:p w14:paraId="2655CF25">
      <w:pPr>
        <w:adjustRightInd w:val="0"/>
        <w:snapToGrid w:val="0"/>
        <w:spacing w:line="580" w:lineRule="exact"/>
        <w:rPr>
          <w:rFonts w:hint="eastAsia" w:ascii="仿宋_GB2312" w:eastAsia="仿宋_GB2312"/>
          <w:sz w:val="28"/>
          <w:szCs w:val="32"/>
        </w:rPr>
      </w:pPr>
    </w:p>
    <w:p w14:paraId="18286D96">
      <w:pPr>
        <w:adjustRightInd w:val="0"/>
        <w:snapToGrid w:val="0"/>
        <w:spacing w:line="580" w:lineRule="exact"/>
        <w:rPr>
          <w:rFonts w:hint="eastAsia" w:ascii="仿宋_GB2312" w:eastAsia="仿宋_GB2312"/>
          <w:sz w:val="28"/>
          <w:szCs w:val="32"/>
        </w:rPr>
      </w:pPr>
    </w:p>
    <w:p w14:paraId="22864111">
      <w:pPr>
        <w:adjustRightInd w:val="0"/>
        <w:snapToGrid w:val="0"/>
        <w:spacing w:line="580" w:lineRule="exact"/>
        <w:rPr>
          <w:rFonts w:hint="eastAsia" w:ascii="仿宋_GB2312" w:eastAsia="仿宋_GB2312"/>
          <w:sz w:val="28"/>
          <w:szCs w:val="32"/>
        </w:rPr>
      </w:pPr>
    </w:p>
    <w:p w14:paraId="5CE2C1E2">
      <w:pPr>
        <w:adjustRightInd w:val="0"/>
        <w:snapToGrid w:val="0"/>
        <w:spacing w:line="580" w:lineRule="exact"/>
        <w:rPr>
          <w:rFonts w:hint="eastAsia" w:ascii="仿宋_GB2312" w:eastAsia="仿宋_GB2312"/>
          <w:sz w:val="28"/>
          <w:szCs w:val="32"/>
        </w:rPr>
      </w:pPr>
    </w:p>
    <w:p w14:paraId="5100E90C">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73EA77FE">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43C98F1F">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2979E83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4ABA841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5F8F5445">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7891A9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218ECFF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23C776E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3293BA1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5CFD441A">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7FADA68D">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68B0B05C">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3B86349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E0F63BA">
      <w:pPr>
        <w:pStyle w:val="2"/>
        <w:rPr>
          <w:rFonts w:hint="eastAsia" w:ascii="仿宋_GB2312" w:eastAsia="仿宋_GB2312"/>
          <w:sz w:val="28"/>
          <w:szCs w:val="32"/>
        </w:rPr>
      </w:pPr>
    </w:p>
    <w:p w14:paraId="2BB68EE8">
      <w:pPr>
        <w:pStyle w:val="2"/>
        <w:rPr>
          <w:rFonts w:hint="eastAsia" w:ascii="仿宋_GB2312" w:eastAsia="仿宋_GB2312"/>
          <w:sz w:val="28"/>
          <w:szCs w:val="32"/>
        </w:rPr>
      </w:pPr>
    </w:p>
    <w:p w14:paraId="46552DBC">
      <w:pPr>
        <w:pStyle w:val="2"/>
        <w:rPr>
          <w:rFonts w:hint="eastAsia" w:ascii="仿宋_GB2312" w:eastAsia="仿宋_GB2312"/>
          <w:sz w:val="28"/>
          <w:szCs w:val="32"/>
        </w:rPr>
      </w:pPr>
    </w:p>
    <w:p w14:paraId="44A0755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4388E9B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B08CED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35F42B7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100BC2D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4E11AB8D">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5D58AA9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3E4405B0">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223FCEA5">
      <w:pPr>
        <w:pStyle w:val="7"/>
      </w:pPr>
    </w:p>
    <w:p w14:paraId="0AE0308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79054C7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41A19E4F">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75358D3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7345CD6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A0209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05423D6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68B4C90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41FA59B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239CF97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1BE4722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36D69BBE">
      <w:pPr>
        <w:pStyle w:val="2"/>
        <w:rPr>
          <w:rFonts w:hint="eastAsia"/>
          <w:lang w:val="en-US" w:eastAsia="zh-CN"/>
        </w:rPr>
      </w:pPr>
    </w:p>
    <w:p w14:paraId="3F0A4A69">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38467B5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14:paraId="0B56AF67">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9BD9AB6">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71B2CF4">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CC35275">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530AD58">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BC63A33">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2CD04A6">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32CBBC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36401A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5002FE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6A4B32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D7E97C2">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CD6859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9B5E51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EFC287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2404EF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9791D36">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6ADD9FCD">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77E95675">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7"/>
        <w:tblW w:w="10565" w:type="dxa"/>
        <w:jc w:val="center"/>
        <w:tblLayout w:type="fixed"/>
        <w:tblCellMar>
          <w:top w:w="0" w:type="dxa"/>
          <w:left w:w="0" w:type="dxa"/>
          <w:bottom w:w="0" w:type="dxa"/>
          <w:right w:w="0" w:type="dxa"/>
        </w:tblCellMar>
      </w:tblPr>
      <w:tblGrid>
        <w:gridCol w:w="873"/>
        <w:gridCol w:w="1828"/>
        <w:gridCol w:w="2319"/>
        <w:gridCol w:w="1636"/>
        <w:gridCol w:w="845"/>
        <w:gridCol w:w="846"/>
        <w:gridCol w:w="1109"/>
        <w:gridCol w:w="1109"/>
      </w:tblGrid>
      <w:tr w14:paraId="22BB42DC">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42B10">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BD3B">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w:t>
            </w: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36795C">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医疗器械注册证（如有）</w:t>
            </w: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9671EA">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14:paraId="17C02E94">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42E816">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14:paraId="2BF52CDA">
            <w:pPr>
              <w:widowControl/>
              <w:jc w:val="center"/>
              <w:textAlignment w:val="center"/>
              <w:rPr>
                <w:rFonts w:hint="default"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E5E468">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0646E9">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14:paraId="2C9889F6">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B4775C">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14:paraId="75D2D469">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14:paraId="0D31EAB8">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DE9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AD0D">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669AAB">
            <w:pPr>
              <w:widowControl/>
              <w:jc w:val="center"/>
              <w:textAlignment w:val="center"/>
              <w:rPr>
                <w:rFonts w:hint="eastAsia" w:ascii="宋体" w:hAnsi="宋体" w:eastAsia="宋体" w:cs="宋体"/>
                <w:b/>
                <w:bCs/>
                <w:sz w:val="24"/>
                <w:lang w:val="en-US" w:eastAsia="zh-CN"/>
              </w:rPr>
            </w:pP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84296E">
            <w:pPr>
              <w:widowControl/>
              <w:jc w:val="center"/>
              <w:textAlignment w:val="center"/>
              <w:rPr>
                <w:rFonts w:hint="eastAsia" w:ascii="宋体" w:hAnsi="宋体" w:eastAsia="宋体" w:cs="宋体"/>
                <w:b/>
                <w:bCs/>
                <w:color w:val="000000"/>
                <w:kern w:val="0"/>
                <w:sz w:val="24"/>
                <w:lang w:val="en-US" w:eastAsia="zh-CN" w:bidi="ar"/>
              </w:rPr>
            </w:pP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335FFE">
            <w:pPr>
              <w:widowControl/>
              <w:jc w:val="center"/>
              <w:textAlignment w:val="center"/>
              <w:rPr>
                <w:rFonts w:hint="eastAsia"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FE75D78">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2FBA6A">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9497C5">
            <w:pPr>
              <w:widowControl/>
              <w:jc w:val="center"/>
              <w:textAlignment w:val="center"/>
              <w:rPr>
                <w:rFonts w:hint="eastAsia" w:ascii="宋体" w:hAnsi="宋体" w:eastAsia="宋体" w:cs="宋体"/>
                <w:b/>
                <w:bCs/>
                <w:color w:val="000000"/>
                <w:kern w:val="0"/>
                <w:sz w:val="24"/>
                <w:lang w:val="en-US" w:eastAsia="zh-CN" w:bidi="ar"/>
              </w:rPr>
            </w:pPr>
          </w:p>
        </w:tc>
      </w:tr>
    </w:tbl>
    <w:p w14:paraId="7308CFA0">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7DCA45B3">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414949D7">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15328F08">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14:paraId="2AD10B45">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14:paraId="043D3162">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14:paraId="765FD2AF">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14:paraId="389BC3AB">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57F33EC6">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02E42A13">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78B38E61">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7"/>
        <w:tblW w:w="0" w:type="auto"/>
        <w:jc w:val="center"/>
        <w:tblLayout w:type="autofit"/>
        <w:tblCellMar>
          <w:top w:w="0" w:type="dxa"/>
          <w:left w:w="0" w:type="dxa"/>
          <w:bottom w:w="0" w:type="dxa"/>
          <w:right w:w="0" w:type="dxa"/>
        </w:tblCellMar>
      </w:tblPr>
      <w:tblGrid>
        <w:gridCol w:w="1061"/>
        <w:gridCol w:w="2298"/>
        <w:gridCol w:w="2298"/>
        <w:gridCol w:w="2865"/>
      </w:tblGrid>
      <w:tr w14:paraId="5850DE39">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677228">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7B4B4A">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4043D1">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0CEBEC">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4260ECF3">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99DB21B">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C40927F">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57CFD0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71623">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3199C0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8AB30F0">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9E2FF49">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47131F7">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F9B18">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2B8715C">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4AB20B67">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4CE6F7FC">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143E81A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5270DE9">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1F9EF9C2">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2060B1D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1C1C629A">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6186EFEF">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585C82DE">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738042F6">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4B7DCE7A">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7"/>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0E8DCCFC">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9BC0585">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52D8AED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0EBF0F2">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76E9A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31EBA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7369E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05E16E46">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030D2A">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4017A8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E72E01">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470B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BF1C1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A832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A9F51AC">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E0C328C">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E0DAB6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AC0218">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B83E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6D29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8724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421A07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DCD960">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DB03141">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299A983">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A2CFE">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3DF40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0FF2C">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0487377">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B7C6AEF">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2B4E9FA">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D6DC6B9">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9A92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4A412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5789D">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B663E14">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C29A64">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9BE46EE">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6252DD2">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23F2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4F4E8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F33A7">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E9B64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38F1092">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7DEBB5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A574A32">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B51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8863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F1C9A">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A19B27A">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1D400DF">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7ACDB9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0331A1C">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3DA57">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FB0D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D0D1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0F91F32">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3A200B9">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58EDDE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7AF41B">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9AD4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4A87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93D3A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45B17D81">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14:paraId="1293E7A9">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0EFC797B">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47C7531E">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322F3EF7">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4001F2A">
      <w:pPr>
        <w:pStyle w:val="2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49EF11B6">
      <w:pPr>
        <w:pStyle w:val="25"/>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09C7C2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07DF3B2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0BD9EF0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6899C9E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4B6B0C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2049EA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0B23A64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762E232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B1F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2B7865B">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72F92E4">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7F8B913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304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093F378F">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EF170FD">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64B3779D">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452EA09C">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08B53720">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7D081070">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07E1676A">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3867A69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70D094A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271C5DC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0211993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191DB1BE">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70EA680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278CB5C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20A4A78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2946625B">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479DB62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191C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0D779EA2">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72DB44AF">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3E2E6ECB">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723D9246">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2103F962">
      <w:pPr>
        <w:pStyle w:val="9"/>
        <w:rPr>
          <w:rFonts w:hint="eastAsia"/>
          <w:highlight w:val="none"/>
        </w:rPr>
      </w:pPr>
    </w:p>
    <w:p w14:paraId="707BC0E6">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5ED5B230">
      <w:pPr>
        <w:pStyle w:val="26"/>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24D55139">
      <w:pPr>
        <w:pStyle w:val="26"/>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063EDF0A">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613F4B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68254F0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672202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9AB26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177A2F5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6C1DBD6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41D492B3">
      <w:pPr>
        <w:pStyle w:val="16"/>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1904769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691467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3A7E0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7C6AAE7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292B87E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387740D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73B89F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4C9F6D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08728FE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1C36EF9">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0190B610">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BADC816">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7883EEB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587B053C">
      <w:pPr>
        <w:pStyle w:val="11"/>
        <w:rPr>
          <w:rFonts w:hint="eastAsia"/>
        </w:rPr>
        <w:sectPr>
          <w:pgSz w:w="11906" w:h="16838"/>
          <w:pgMar w:top="1440" w:right="1800" w:bottom="1440" w:left="1800" w:header="851" w:footer="992" w:gutter="0"/>
          <w:cols w:space="425" w:num="1"/>
          <w:docGrid w:type="lines" w:linePitch="312" w:charSpace="0"/>
        </w:sectPr>
      </w:pPr>
    </w:p>
    <w:p w14:paraId="722D9D2D">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027CEC70">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5620CAA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F530DE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0885548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4576908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2ADF88B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1174E00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488470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4D558C1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07B424C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5159DAC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ED41EC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4D4D544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492269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487A05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77A644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3C14BD0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36BD3CA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613046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F68C0C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641A9F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14:paraId="516123A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7737A136">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5186C006">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07A9AF4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581B86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11736C0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2E7A272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6F6938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53B21DA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4401754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E878C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283F4D2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1036B96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47AF90C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78D3CD8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21AB778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672874F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4DAADC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03231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E97CCBF">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67CC22EE">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50D5E634">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23386294">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29AA7D">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0A4516C6">
      <w:pPr>
        <w:jc w:val="center"/>
        <w:rPr>
          <w:rFonts w:ascii="Times New Roman" w:hAnsi="Times New Roman" w:cs="Times New Roman"/>
          <w:color w:val="auto"/>
          <w:kern w:val="0"/>
          <w:sz w:val="28"/>
          <w:szCs w:val="28"/>
        </w:rPr>
      </w:pPr>
    </w:p>
    <w:p w14:paraId="3C5AFC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5527F2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48B4145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0FC4EB2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76ADD6A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224EFB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757B12B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4647A8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09D0D4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6BBCA96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2B35F7E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5BC5FBB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02DE999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2A1C3F7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302D051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0AC6874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204D25B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104DF1B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3349029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6F43CB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37ACD3C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128F33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7B59EB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55FF011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7D45AD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14:paraId="131F606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A72B394">
      <w:pPr>
        <w:pStyle w:val="12"/>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488BE0-6027-4358-947C-A4150673DCC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0028009-E585-42EB-8F40-51A76F2A1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9E46FCD-9A86-45EF-A803-6B747F1E68CB}"/>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9F346D0C-1505-4C67-AF29-BF6D00D4243C}"/>
  </w:font>
  <w:font w:name="Segoe UI">
    <w:panose1 w:val="020B0502040204020203"/>
    <w:charset w:val="00"/>
    <w:family w:val="swiss"/>
    <w:pitch w:val="default"/>
    <w:sig w:usb0="E4002EFF" w:usb1="C000E47F" w:usb2="00000009" w:usb3="00000000" w:csb0="200001FF" w:csb1="00000000"/>
    <w:embedRegular r:id="rId5" w:fontKey="{9E194DCA-780F-4BB9-8A14-0F690057B807}"/>
  </w:font>
  <w:font w:name="微软雅黑">
    <w:panose1 w:val="020B0503020204020204"/>
    <w:charset w:val="86"/>
    <w:family w:val="auto"/>
    <w:pitch w:val="default"/>
    <w:sig w:usb0="80000287" w:usb1="2ACF3C50" w:usb2="00000016" w:usb3="00000000" w:csb0="0004001F" w:csb1="00000000"/>
    <w:embedRegular r:id="rId6" w:fontKey="{2AA69B47-CBAB-4D27-8077-6F02090D8BD7}"/>
  </w:font>
  <w:font w:name="WPSEMBED16">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embedRegular r:id="rId7" w:fontKey="{631545F3-67C7-4BB1-BCF7-1F0945261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A830">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0AE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1930AE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F2D680EF"/>
    <w:multiLevelType w:val="singleLevel"/>
    <w:tmpl w:val="F2D680EF"/>
    <w:lvl w:ilvl="0" w:tentative="0">
      <w:start w:val="5"/>
      <w:numFmt w:val="decimal"/>
      <w:lvlText w:val="%1."/>
      <w:lvlJc w:val="left"/>
      <w:pPr>
        <w:tabs>
          <w:tab w:val="left" w:pos="312"/>
        </w:tabs>
      </w:pPr>
    </w:lvl>
  </w:abstractNum>
  <w:abstractNum w:abstractNumId="2">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CC2DD5"/>
    <w:rsid w:val="0A996768"/>
    <w:rsid w:val="0BC0367C"/>
    <w:rsid w:val="0F8825C6"/>
    <w:rsid w:val="10A33144"/>
    <w:rsid w:val="1198663F"/>
    <w:rsid w:val="13EE7170"/>
    <w:rsid w:val="1420134A"/>
    <w:rsid w:val="14933FC5"/>
    <w:rsid w:val="14FC0436"/>
    <w:rsid w:val="1759391E"/>
    <w:rsid w:val="18147845"/>
    <w:rsid w:val="18F22749"/>
    <w:rsid w:val="19D4524B"/>
    <w:rsid w:val="1A915EEB"/>
    <w:rsid w:val="1B45130A"/>
    <w:rsid w:val="204607B7"/>
    <w:rsid w:val="209B6D55"/>
    <w:rsid w:val="221C3EC6"/>
    <w:rsid w:val="26995227"/>
    <w:rsid w:val="27941805"/>
    <w:rsid w:val="29090661"/>
    <w:rsid w:val="2A4A1D28"/>
    <w:rsid w:val="2BE85474"/>
    <w:rsid w:val="2C5878F6"/>
    <w:rsid w:val="30C42E38"/>
    <w:rsid w:val="359A2AC2"/>
    <w:rsid w:val="36211653"/>
    <w:rsid w:val="36913B20"/>
    <w:rsid w:val="39B91A33"/>
    <w:rsid w:val="3D296BEC"/>
    <w:rsid w:val="3D6C58AA"/>
    <w:rsid w:val="3E484DCC"/>
    <w:rsid w:val="40540CF6"/>
    <w:rsid w:val="407B4644"/>
    <w:rsid w:val="43D67F5B"/>
    <w:rsid w:val="43EB5F32"/>
    <w:rsid w:val="46EE5581"/>
    <w:rsid w:val="479B18E2"/>
    <w:rsid w:val="48C24FF6"/>
    <w:rsid w:val="4BCD39B7"/>
    <w:rsid w:val="4CD30F6F"/>
    <w:rsid w:val="4CDA2830"/>
    <w:rsid w:val="4DB6131A"/>
    <w:rsid w:val="4F021BCA"/>
    <w:rsid w:val="4FC11A85"/>
    <w:rsid w:val="50CF6C85"/>
    <w:rsid w:val="53A25B7C"/>
    <w:rsid w:val="542F0F56"/>
    <w:rsid w:val="552E5968"/>
    <w:rsid w:val="558A46C7"/>
    <w:rsid w:val="56867584"/>
    <w:rsid w:val="5EAE6EA2"/>
    <w:rsid w:val="5F4A19DE"/>
    <w:rsid w:val="5FED4DAE"/>
    <w:rsid w:val="60934D78"/>
    <w:rsid w:val="616E1341"/>
    <w:rsid w:val="61A14FEA"/>
    <w:rsid w:val="61E872D3"/>
    <w:rsid w:val="61FF6AE9"/>
    <w:rsid w:val="62060167"/>
    <w:rsid w:val="629955A0"/>
    <w:rsid w:val="632329D3"/>
    <w:rsid w:val="63C06DA3"/>
    <w:rsid w:val="69F031AD"/>
    <w:rsid w:val="6A2B6021"/>
    <w:rsid w:val="6A7379C8"/>
    <w:rsid w:val="6A7F011B"/>
    <w:rsid w:val="6CBC7404"/>
    <w:rsid w:val="6CD8343A"/>
    <w:rsid w:val="6D6B47C4"/>
    <w:rsid w:val="6EBE0890"/>
    <w:rsid w:val="6F3E229A"/>
    <w:rsid w:val="6FE0119D"/>
    <w:rsid w:val="718208B7"/>
    <w:rsid w:val="718F2E51"/>
    <w:rsid w:val="72634067"/>
    <w:rsid w:val="73345415"/>
    <w:rsid w:val="734D097C"/>
    <w:rsid w:val="73B644F4"/>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semiHidden/>
    <w:unhideWhenUsed/>
    <w:qFormat/>
    <w:uiPriority w:val="99"/>
    <w:pPr>
      <w:ind w:firstLine="420" w:firstLineChars="100"/>
    </w:pPr>
  </w:style>
  <w:style w:type="paragraph" w:styleId="11">
    <w:name w:val="Body Text Indent 2"/>
    <w:basedOn w:val="1"/>
    <w:next w:val="1"/>
    <w:qFormat/>
    <w:uiPriority w:val="0"/>
    <w:pPr>
      <w:spacing w:after="120" w:afterLines="0" w:line="480" w:lineRule="auto"/>
      <w:ind w:left="420" w:leftChars="200"/>
    </w:pPr>
  </w:style>
  <w:style w:type="paragraph" w:styleId="12">
    <w:name w:val="endnote text"/>
    <w:basedOn w:val="1"/>
    <w:unhideWhenUsed/>
    <w:qFormat/>
    <w:uiPriority w:val="99"/>
    <w:pPr>
      <w:snapToGrid w:val="0"/>
      <w:jc w:val="left"/>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rPr>
      <w:rFonts w:ascii="Times New Roman" w:hAnsi="Times New Roman" w:eastAsia="宋体" w:cs="Times New Roman"/>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4">
    <w:name w:val="U_编号2"/>
    <w:basedOn w:val="1"/>
    <w:qFormat/>
    <w:uiPriority w:val="0"/>
    <w:pPr>
      <w:numPr>
        <w:ilvl w:val="0"/>
        <w:numId w:val="1"/>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7364</Words>
  <Characters>7630</Characters>
  <Lines>0</Lines>
  <Paragraphs>0</Paragraphs>
  <TotalTime>5</TotalTime>
  <ScaleCrop>false</ScaleCrop>
  <LinksUpToDate>false</LinksUpToDate>
  <CharactersWithSpaces>7845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2026-01-06T07:19:26Z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