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1.项目名称：消防设备设施第三方检测采购项目</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6CDD77DC">
      <w:pPr>
        <w:bidi w:val="0"/>
        <w:spacing w:line="360" w:lineRule="auto"/>
        <w:ind w:firstLine="480" w:firstLineChars="200"/>
        <w:rPr>
          <w:rFonts w:hint="default"/>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，最高限价14万元。</w:t>
      </w:r>
    </w:p>
    <w:p w14:paraId="1DA6114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二、技术要求：</w:t>
      </w:r>
    </w:p>
    <w:p w14:paraId="63C4A57A">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项目规范或标准依据</w:t>
      </w:r>
    </w:p>
    <w:p w14:paraId="4C02459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1.《中华人民共和国消防法》</w:t>
      </w:r>
    </w:p>
    <w:p w14:paraId="05A1F99B">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2.《医疗机构消防安全管理》WS 308-2019</w:t>
      </w:r>
    </w:p>
    <w:p w14:paraId="69B108C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3.《消防安全责任制实施办法》</w:t>
      </w:r>
    </w:p>
    <w:p w14:paraId="0D19C1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4.《建筑设计防火规范》GB55037-2022</w:t>
      </w:r>
    </w:p>
    <w:p w14:paraId="28B5923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5.《建筑消防设施的维护管理》GB25201-2010</w:t>
      </w:r>
    </w:p>
    <w:p w14:paraId="4F4DCD4B">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6.《火力发电厂与变电站设计防火规范》GB50229-2019</w:t>
      </w:r>
    </w:p>
    <w:p w14:paraId="1414853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7.《35kV~110kV 变电站设计规范》GB50059-2011</w:t>
      </w:r>
    </w:p>
    <w:p w14:paraId="61D505DC">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8.《35kV~220kV-城市地下变电站设计规程》DLT-5216-2017</w:t>
      </w:r>
    </w:p>
    <w:p w14:paraId="4E8D1DB0">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9.《220kV~500kV 户内变电站设计规程》DLT-5496-2015</w:t>
      </w:r>
    </w:p>
    <w:p w14:paraId="542131FB">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10.《消防控制室通用技术要求》GB25506-2010</w:t>
      </w:r>
    </w:p>
    <w:p w14:paraId="735EF2C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11.《火灾报警控制器》GB4717-2023</w:t>
      </w:r>
    </w:p>
    <w:p w14:paraId="39B3B41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12.《火灾自动报警系统设计规范》GB50116-2013</w:t>
      </w:r>
    </w:p>
    <w:p w14:paraId="1111C95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13.《火灾自动报警系统施工及验收规范》GB50166-2019</w:t>
      </w:r>
    </w:p>
    <w:p w14:paraId="3E24FA7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14.《水喷雾灭火系统技术规范》GB50219-2014</w:t>
      </w:r>
    </w:p>
    <w:p w14:paraId="698DB5F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15.《细水雾灭火系统技术规范》GB50898-2013</w:t>
      </w:r>
    </w:p>
    <w:p w14:paraId="630B8F2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16.《泡沫灭火剂》GB15308-2019</w:t>
      </w:r>
    </w:p>
    <w:p w14:paraId="05F571C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17.《泡沫灭火系统施工及验收规范》GB50281-2023</w:t>
      </w:r>
    </w:p>
    <w:p w14:paraId="75FAC871">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18.《气体灭火系统施工及验收规范》GB50263-2007</w:t>
      </w:r>
    </w:p>
    <w:p w14:paraId="6BFAE09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19.《消防给水及消火栓系统技术规范》GB50974-2014</w:t>
      </w:r>
    </w:p>
    <w:p w14:paraId="537ED56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20.《建筑防烟排烟系统技术标准》GB51251-2017</w:t>
      </w:r>
    </w:p>
    <w:p w14:paraId="2750182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21.《油浸变压器排油注氮装置》XF835-2009</w:t>
      </w:r>
    </w:p>
    <w:p w14:paraId="4F890F9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22.《建筑消防设施检测技术规程》GA503-2023</w:t>
      </w:r>
    </w:p>
    <w:p w14:paraId="11BD6E51">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23.《建筑消防设施检测规范》GB/T44481-2024</w:t>
      </w:r>
    </w:p>
    <w:p w14:paraId="4DDABDE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24.《自动喷水灭火系统设计规范》 GB50084-2017</w:t>
      </w:r>
    </w:p>
    <w:p w14:paraId="4BCD7F4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25.《自动喷水灭火系统施工及验收规范》GB50261-2017</w:t>
      </w:r>
    </w:p>
    <w:p w14:paraId="318AD1B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26.《消防应急照明和疏散指示系统技术标准》GB51309-2018</w:t>
      </w:r>
    </w:p>
    <w:p w14:paraId="55FB155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27.免费提供消防相关技术咨询及现场指导服务（包括但不限于：消防设施、设备升级改造等指导）。</w:t>
      </w:r>
    </w:p>
    <w:p w14:paraId="7BE3F3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三、</w:t>
      </w:r>
      <w:r>
        <w:rPr>
          <w:rFonts w:hint="eastAsia" w:ascii="微软雅黑" w:hAnsi="微软雅黑" w:eastAsia="微软雅黑" w:cs="微软雅黑"/>
          <w:b/>
          <w:bCs/>
          <w:sz w:val="24"/>
          <w:szCs w:val="24"/>
          <w:lang w:val="en-US" w:eastAsia="zh-CN"/>
        </w:rPr>
        <w:t>★</w:t>
      </w:r>
      <w:r>
        <w:rPr>
          <w:rFonts w:hint="eastAsia" w:ascii="宋体" w:hAnsi="宋体" w:cs="宋体"/>
          <w:b/>
          <w:bCs/>
          <w:sz w:val="24"/>
          <w:szCs w:val="24"/>
          <w:lang w:val="en-US" w:eastAsia="zh-CN"/>
        </w:rPr>
        <w:t>商务要求：</w:t>
      </w:r>
    </w:p>
    <w:p w14:paraId="66B2F2F2">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服务地点：四川省妇幼保健院晋阳院区（成都市武侯区沙堰西二街290号）、天府院区（成都市双流区岐黄二路1515号）、抚琴院区（成都市金牛区抚琴西路338号），为三个院区提供年度消防设施全面检测服务一次，检测内容：包括但不限于消防设施设置情况、火灾自动报警系统、自动喷水灭火系统、消火栓系统、气体灭火系统、防排烟系统、消防应急照明系统及疏散指示设施、防火门、消防给水系统、灭火器、气体灭火系统。</w:t>
      </w:r>
    </w:p>
    <w:p w14:paraId="30082EB6">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2.按照国家和地方的相关消防建设标准要求，对我院三个院区的消防设备设施进行一次检测并出具正式的 《建筑消防设施检测报告》（各院区分别提供2份检测报告）。</w:t>
      </w:r>
    </w:p>
    <w:p w14:paraId="33CD272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4.报价组成：人工费、材料费、运输费、企业管理费、安装费、税金等完成本项目的一切费用。</w:t>
      </w:r>
    </w:p>
    <w:p w14:paraId="4E40724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5.项目预算：本项目最高限价为人民币14万元，超过最高限价的作无效报价处理。</w:t>
      </w:r>
    </w:p>
    <w:p w14:paraId="7DAEE5AB">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6.报价方式：全包价。</w:t>
      </w:r>
    </w:p>
    <w:p w14:paraId="502FB08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7.合同期限：一年。</w:t>
      </w:r>
    </w:p>
    <w:p w14:paraId="7B4ACC58">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8.付款方式：按照合同约定完成支付。  </w:t>
      </w:r>
    </w:p>
    <w:p w14:paraId="7B72785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 xml:space="preserve">四、其他要求：按照合同约定执行。 </w:t>
      </w:r>
      <w:r>
        <w:rPr>
          <w:rFonts w:hint="eastAsia" w:ascii="宋体" w:hAnsi="宋体" w:cs="宋体"/>
          <w:b w:val="0"/>
          <w:bCs w:val="0"/>
          <w:sz w:val="24"/>
          <w:szCs w:val="24"/>
          <w:lang w:val="en-US" w:eastAsia="zh-CN"/>
        </w:rPr>
        <w:t xml:space="preserve">   </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五、</w:t>
      </w:r>
      <w:r>
        <w:rPr>
          <w:rFonts w:hint="eastAsia" w:ascii="宋体" w:hAnsi="宋体" w:eastAsia="宋体" w:cs="宋体"/>
          <w:b w:val="0"/>
          <w:bCs w:val="0"/>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778"/>
        <w:gridCol w:w="976"/>
        <w:gridCol w:w="4761"/>
        <w:gridCol w:w="1322"/>
      </w:tblGrid>
      <w:tr w14:paraId="1B4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14:paraId="1306210F">
            <w:pPr>
              <w:widowControl/>
              <w:spacing w:line="44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评分实施细则（根据项目实际情况进行增减）</w:t>
            </w:r>
          </w:p>
        </w:tc>
      </w:tr>
      <w:tr w14:paraId="1B7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14:paraId="367F565C">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序号</w:t>
            </w:r>
          </w:p>
        </w:tc>
        <w:tc>
          <w:tcPr>
            <w:tcW w:w="778" w:type="dxa"/>
            <w:noWrap w:val="0"/>
            <w:vAlign w:val="center"/>
          </w:tcPr>
          <w:p w14:paraId="6D8805CE">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评分因素</w:t>
            </w:r>
          </w:p>
        </w:tc>
        <w:tc>
          <w:tcPr>
            <w:tcW w:w="976" w:type="dxa"/>
            <w:noWrap w:val="0"/>
            <w:vAlign w:val="center"/>
          </w:tcPr>
          <w:p w14:paraId="6E1559C1">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分值</w:t>
            </w:r>
          </w:p>
        </w:tc>
        <w:tc>
          <w:tcPr>
            <w:tcW w:w="4761" w:type="dxa"/>
            <w:noWrap w:val="0"/>
            <w:vAlign w:val="center"/>
          </w:tcPr>
          <w:p w14:paraId="59A7A58B">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评分标准</w:t>
            </w:r>
          </w:p>
        </w:tc>
        <w:tc>
          <w:tcPr>
            <w:tcW w:w="1322" w:type="dxa"/>
            <w:noWrap w:val="0"/>
            <w:vAlign w:val="center"/>
          </w:tcPr>
          <w:p w14:paraId="3BF763FC">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主/客观分</w:t>
            </w:r>
          </w:p>
        </w:tc>
      </w:tr>
      <w:tr w14:paraId="09C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14:paraId="0B6C263F">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1</w:t>
            </w:r>
          </w:p>
        </w:tc>
        <w:tc>
          <w:tcPr>
            <w:tcW w:w="778" w:type="dxa"/>
            <w:noWrap w:val="0"/>
            <w:vAlign w:val="center"/>
          </w:tcPr>
          <w:p w14:paraId="4C467BC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976" w:type="dxa"/>
            <w:noWrap w:val="0"/>
            <w:vAlign w:val="center"/>
          </w:tcPr>
          <w:p w14:paraId="64E500E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w:t>
            </w:r>
          </w:p>
        </w:tc>
        <w:tc>
          <w:tcPr>
            <w:tcW w:w="4761" w:type="dxa"/>
            <w:noWrap w:val="0"/>
            <w:vAlign w:val="center"/>
          </w:tcPr>
          <w:p w14:paraId="4106A967">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综合评分法中的价格分统一采用低价优先法计算，即满足磋商文件要求且最后报价最低的供应商的价格为磋商基准价，其价格分为满分。其他供应商的价格分统一按照下列公式计算：</w:t>
            </w:r>
          </w:p>
          <w:p w14:paraId="3280FF7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磋商报价得分=（磋商基准价/最后磋商报价）×价格权值×100（分值精确到小数点后两位，第三位作四舍五入。）</w:t>
            </w:r>
          </w:p>
        </w:tc>
        <w:tc>
          <w:tcPr>
            <w:tcW w:w="1322" w:type="dxa"/>
            <w:noWrap w:val="0"/>
            <w:vAlign w:val="center"/>
          </w:tcPr>
          <w:p w14:paraId="72A236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p>
        </w:tc>
      </w:tr>
      <w:tr w14:paraId="172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14:paraId="56DCE46E">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2</w:t>
            </w:r>
          </w:p>
        </w:tc>
        <w:tc>
          <w:tcPr>
            <w:tcW w:w="778" w:type="dxa"/>
            <w:noWrap w:val="0"/>
            <w:vAlign w:val="center"/>
          </w:tcPr>
          <w:p w14:paraId="3EFAA3C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服务团队</w:t>
            </w:r>
          </w:p>
        </w:tc>
        <w:tc>
          <w:tcPr>
            <w:tcW w:w="976" w:type="dxa"/>
            <w:noWrap w:val="0"/>
            <w:vAlign w:val="center"/>
          </w:tcPr>
          <w:p w14:paraId="6032312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4761" w:type="dxa"/>
            <w:noWrap w:val="0"/>
            <w:vAlign w:val="center"/>
          </w:tcPr>
          <w:p w14:paraId="58362D09">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应为本项目配备1名项目负责人，项目负责人具有一级注册消防工程师得5分，同时项目负责人具备工程师证得5分，项目负责人最多得10分。不具备和证明材料缺失或证明材料不符合要求不得分。提供人员身份证、证书扫描件及近6个月社保证明。</w:t>
            </w:r>
          </w:p>
          <w:p w14:paraId="458EB30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2.为本项目配备1名技术负责人，技术负责人具备一级注册消防工程师得5分，不具备和证明材料缺失或证明材料不符合要求不得分。提供人员身份证、证书扫描件及近6个月社保证明。</w:t>
            </w:r>
            <w:r>
              <w:rPr>
                <w:rFonts w:hint="eastAsia" w:ascii="宋体" w:hAnsi="宋体" w:eastAsia="宋体" w:cs="宋体"/>
                <w:kern w:val="2"/>
                <w:sz w:val="24"/>
                <w:szCs w:val="24"/>
                <w:lang w:val="en-US" w:eastAsia="zh-CN" w:bidi="ar-SA"/>
              </w:rPr>
              <w:t xml:space="preserve">                                  3.为本项目配备检测作业人员，检测作业人员具备消防设施操作员证得2分/人，最多得10分，提供人员清单、身份证、证书扫描件及近6个月社保证明。</w:t>
            </w:r>
          </w:p>
        </w:tc>
        <w:tc>
          <w:tcPr>
            <w:tcW w:w="1322" w:type="dxa"/>
            <w:noWrap w:val="0"/>
            <w:vAlign w:val="center"/>
          </w:tcPr>
          <w:p w14:paraId="6160625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p>
        </w:tc>
      </w:tr>
      <w:tr w14:paraId="0F1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noWrap w:val="0"/>
            <w:vAlign w:val="center"/>
          </w:tcPr>
          <w:p w14:paraId="7576B4F0">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3</w:t>
            </w:r>
          </w:p>
        </w:tc>
        <w:tc>
          <w:tcPr>
            <w:tcW w:w="778" w:type="dxa"/>
            <w:noWrap w:val="0"/>
            <w:vAlign w:val="center"/>
          </w:tcPr>
          <w:p w14:paraId="7692FD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类似项目业绩</w:t>
            </w:r>
          </w:p>
        </w:tc>
        <w:tc>
          <w:tcPr>
            <w:tcW w:w="976" w:type="dxa"/>
            <w:noWrap w:val="0"/>
            <w:vAlign w:val="center"/>
          </w:tcPr>
          <w:p w14:paraId="0994FF0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761" w:type="dxa"/>
            <w:noWrap w:val="0"/>
            <w:vAlign w:val="center"/>
          </w:tcPr>
          <w:p w14:paraId="6DCBC0C9">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提供自2023年1月1日</w:t>
            </w:r>
            <w:r>
              <w:rPr>
                <w:rFonts w:hint="eastAsia" w:ascii="宋体" w:hAnsi="宋体" w:cs="宋体"/>
                <w:kern w:val="2"/>
                <w:sz w:val="24"/>
                <w:szCs w:val="24"/>
                <w:lang w:val="en-US" w:eastAsia="zh-CN" w:bidi="ar-SA"/>
              </w:rPr>
              <w:t>（含）</w:t>
            </w:r>
            <w:bookmarkStart w:id="0" w:name="_GoBack"/>
            <w:bookmarkEnd w:id="0"/>
            <w:r>
              <w:rPr>
                <w:rFonts w:hint="eastAsia" w:ascii="宋体" w:hAnsi="宋体" w:eastAsia="宋体" w:cs="宋体"/>
                <w:kern w:val="2"/>
                <w:sz w:val="24"/>
                <w:szCs w:val="24"/>
                <w:lang w:val="en-US" w:eastAsia="zh-CN" w:bidi="ar-SA"/>
              </w:rPr>
              <w:t>至采购公告发布之日止的消防设施维护、保养、检测等相关服务业绩进行评分：每有一个类似业绩得1分，最多得5分。</w:t>
            </w:r>
          </w:p>
        </w:tc>
        <w:tc>
          <w:tcPr>
            <w:tcW w:w="1322" w:type="dxa"/>
            <w:noWrap w:val="0"/>
            <w:vAlign w:val="center"/>
          </w:tcPr>
          <w:p w14:paraId="66517173">
            <w:pPr>
              <w:tabs>
                <w:tab w:val="left" w:pos="39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p>
        </w:tc>
      </w:tr>
      <w:tr w14:paraId="07A1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14:paraId="0E07B732">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4</w:t>
            </w:r>
          </w:p>
        </w:tc>
        <w:tc>
          <w:tcPr>
            <w:tcW w:w="778" w:type="dxa"/>
            <w:noWrap w:val="0"/>
            <w:vAlign w:val="center"/>
          </w:tcPr>
          <w:p w14:paraId="0F5D5DF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w:t>
            </w:r>
          </w:p>
        </w:tc>
        <w:tc>
          <w:tcPr>
            <w:tcW w:w="976" w:type="dxa"/>
            <w:noWrap w:val="0"/>
            <w:vAlign w:val="center"/>
          </w:tcPr>
          <w:p w14:paraId="2657A78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761" w:type="dxa"/>
            <w:noWrap w:val="0"/>
            <w:vAlign w:val="center"/>
          </w:tcPr>
          <w:p w14:paraId="3AF5150B">
            <w:pPr>
              <w:numPr>
                <w:ilvl w:val="0"/>
                <w:numId w:val="3"/>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提供本项目检测安全文明作业与环境保护措施，包括但不限于：消防设施检测安全文明作业标准、安全文明作业和环境保护措施等，根据其内容完备性、科学性、合理性、可行性，针对性和适用本项目需要程度进行综合评定。本评分项按照10分制评分，评分为优(9.5，10]分，优良(8.5，9.5]分，良好(7.5，8.5]分,中(6.5，7.5]分,合格[6，6.5]分，较差5分，差4分，未提供响应内容不得分，区间评分步长为0.1分。本评分项的权重分值为4分，本评分项的最终权重得分=（10分制评分/10）*权重分值。     </w:t>
            </w:r>
          </w:p>
          <w:p w14:paraId="1CCEDCD8">
            <w:pPr>
              <w:numPr>
                <w:ilvl w:val="0"/>
                <w:numId w:val="0"/>
              </w:numPr>
              <w:spacing w:line="360" w:lineRule="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2.根据本项目检测工作任务量，以相对时间提供中选后每周的作业进度安排和进度保证措施，按参选人作业进度安排和进度保证措施合理性、周密性、可靠性、可行性和适用本项目需要程度进行综合评定。本评分项按照10分制评分，评分为优(9.5，10]分，优良(8.5，9.5]分，良好(7.5，8.5]分,中(6.5，7.5]分,合格[6，6.5]分，较差5分，差4分，未提供响应内容不得分，区间评分步长为0.1分。本评分项的权重分值为3分，本评分项的最终权重得分=（10分制评分/10）*权重分值。3.提供7*12小时服务响应和检测服务得1分。                          3..参选人承诺中选后，接检测订单通知之日起3天内（检测准备时间）开始现场检测得1分，7天内开始得0.5分，超过7天不得分。</w:t>
            </w:r>
          </w:p>
        </w:tc>
        <w:tc>
          <w:tcPr>
            <w:tcW w:w="1322" w:type="dxa"/>
            <w:noWrap w:val="0"/>
            <w:vAlign w:val="center"/>
          </w:tcPr>
          <w:p w14:paraId="55C488F1">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主观</w:t>
            </w:r>
          </w:p>
        </w:tc>
      </w:tr>
      <w:tr w14:paraId="2756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87" w:type="dxa"/>
            <w:noWrap w:val="0"/>
            <w:vAlign w:val="center"/>
          </w:tcPr>
          <w:p w14:paraId="6E2DC1D0">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5</w:t>
            </w:r>
          </w:p>
        </w:tc>
        <w:tc>
          <w:tcPr>
            <w:tcW w:w="778" w:type="dxa"/>
            <w:noWrap w:val="0"/>
            <w:vAlign w:val="center"/>
          </w:tcPr>
          <w:p w14:paraId="58D1C6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976" w:type="dxa"/>
            <w:noWrap w:val="0"/>
            <w:vAlign w:val="center"/>
          </w:tcPr>
          <w:p w14:paraId="0F46D77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761" w:type="dxa"/>
            <w:noWrap w:val="0"/>
            <w:vAlign w:val="center"/>
          </w:tcPr>
          <w:p w14:paraId="3B7782BE">
            <w:p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提供本项目检测服务质量保障措施（含但不限于全过程中应承担的工作内容、所面临的风险及预警措施、管控的流程、管控机制、管控手段及保障措施等内容）进行综合评定。本评分项按照10分制评分，评分为优(9.5-10]分，优良(8.5-9.5]分，良好(7.5-8.5]分,中(6.5-7.5]分,合格[6-6.5]分，较差5分，差4分，未提供响应内容不得分，区间评分步长为0.1分。本评分项的权重分值为5分，本评分项的最终权重得分=（10分制评分/10）*权重分值。</w:t>
            </w:r>
          </w:p>
        </w:tc>
        <w:tc>
          <w:tcPr>
            <w:tcW w:w="1322" w:type="dxa"/>
            <w:noWrap w:val="0"/>
            <w:vAlign w:val="center"/>
          </w:tcPr>
          <w:p w14:paraId="4F4E791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主观</w:t>
            </w: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6"/>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2"/>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报价</w:t>
            </w:r>
            <w:r>
              <w:rPr>
                <w:rFonts w:hint="eastAsia" w:ascii="宋体" w:hAnsi="宋体" w:eastAsia="宋体" w:cs="宋体"/>
                <w:sz w:val="24"/>
                <w:szCs w:val="24"/>
                <w:lang w:val="en-US" w:eastAsia="zh-CN"/>
              </w:rPr>
              <w:t>（</w:t>
            </w:r>
            <w:r>
              <w:rPr>
                <w:rFonts w:hint="eastAsia" w:cs="宋体"/>
                <w:sz w:val="24"/>
                <w:szCs w:val="24"/>
                <w:lang w:val="en-US" w:eastAsia="zh-CN"/>
              </w:rPr>
              <w:t>元</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18"/>
              <w:numPr>
                <w:ilvl w:val="0"/>
                <w:numId w:val="0"/>
              </w:numPr>
              <w:ind w:leftChars="0"/>
              <w:jc w:val="center"/>
              <w:rPr>
                <w:rFonts w:hint="eastAsia" w:hAnsi="宋体"/>
                <w:lang w:val="en-US" w:eastAsia="zh-CN"/>
              </w:rPr>
            </w:pPr>
            <w:r>
              <w:rPr>
                <w:rFonts w:hint="eastAsia" w:hAnsi="宋体"/>
                <w:lang w:val="en-US" w:eastAsia="zh-CN"/>
              </w:rPr>
              <w:t>1</w:t>
            </w:r>
          </w:p>
        </w:tc>
        <w:tc>
          <w:tcPr>
            <w:tcW w:w="2662" w:type="dxa"/>
            <w:shd w:val="clear" w:color="auto" w:fill="FFFFFF" w:themeFill="background1"/>
            <w:vAlign w:val="top"/>
          </w:tcPr>
          <w:p w14:paraId="69A1D446">
            <w:pPr>
              <w:pStyle w:val="18"/>
              <w:numPr>
                <w:ilvl w:val="0"/>
                <w:numId w:val="0"/>
              </w:numPr>
              <w:ind w:leftChars="0"/>
              <w:jc w:val="center"/>
              <w:rPr>
                <w:rFonts w:hint="eastAsia" w:hAnsi="宋体"/>
                <w:lang w:val="en-US" w:eastAsia="zh-CN"/>
              </w:rPr>
            </w:pPr>
          </w:p>
        </w:tc>
        <w:tc>
          <w:tcPr>
            <w:tcW w:w="3800" w:type="dxa"/>
            <w:shd w:val="clear" w:color="auto" w:fill="FFFFFF" w:themeFill="background1"/>
            <w:vAlign w:val="center"/>
          </w:tcPr>
          <w:p w14:paraId="4987E0C3">
            <w:pPr>
              <w:pStyle w:val="21"/>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6"/>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9"/>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6"/>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3"/>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9"/>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6"/>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5"/>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6"/>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6"/>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10"/>
        <w:numPr>
          <w:ilvl w:val="0"/>
          <w:numId w:val="0"/>
        </w:numPr>
        <w:ind w:left="1680" w:leftChars="0"/>
        <w:rPr>
          <w:rFonts w:hint="default"/>
          <w:lang w:val="en-US" w:eastAsia="zh-CN"/>
        </w:rPr>
      </w:pPr>
    </w:p>
    <w:p w14:paraId="4CF4AD6A">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DBD7C"/>
    <w:multiLevelType w:val="singleLevel"/>
    <w:tmpl w:val="880DBD7C"/>
    <w:lvl w:ilvl="0" w:tentative="0">
      <w:start w:val="1"/>
      <w:numFmt w:val="decimal"/>
      <w:lvlText w:val="%1."/>
      <w:lvlJc w:val="left"/>
      <w:pPr>
        <w:tabs>
          <w:tab w:val="left" w:pos="312"/>
        </w:tabs>
      </w:pPr>
    </w:lvl>
  </w:abstractNum>
  <w:abstractNum w:abstractNumId="1">
    <w:nsid w:val="9B4BE70B"/>
    <w:multiLevelType w:val="singleLevel"/>
    <w:tmpl w:val="9B4BE70B"/>
    <w:lvl w:ilvl="0" w:tentative="0">
      <w:start w:val="1"/>
      <w:numFmt w:val="decimal"/>
      <w:lvlText w:val="%1."/>
      <w:lvlJc w:val="left"/>
      <w:pPr>
        <w:ind w:left="425" w:hanging="425"/>
      </w:pPr>
      <w:rPr>
        <w:rFonts w:hint="default"/>
      </w:rPr>
    </w:lvl>
  </w:abstractNum>
  <w:abstractNum w:abstractNumId="2">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3">
    <w:nsid w:val="10EECAEC"/>
    <w:multiLevelType w:val="singleLevel"/>
    <w:tmpl w:val="10EECAEC"/>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68A6CC7"/>
    <w:rsid w:val="0A325E03"/>
    <w:rsid w:val="0BF65853"/>
    <w:rsid w:val="0E2A3E4A"/>
    <w:rsid w:val="0FC95E75"/>
    <w:rsid w:val="110F482C"/>
    <w:rsid w:val="121A7943"/>
    <w:rsid w:val="123D44F0"/>
    <w:rsid w:val="12980182"/>
    <w:rsid w:val="13F910D3"/>
    <w:rsid w:val="14C02123"/>
    <w:rsid w:val="150B2214"/>
    <w:rsid w:val="19503EFC"/>
    <w:rsid w:val="1B2B01A0"/>
    <w:rsid w:val="1C831556"/>
    <w:rsid w:val="1CC1360F"/>
    <w:rsid w:val="1FB05546"/>
    <w:rsid w:val="1FEA0D76"/>
    <w:rsid w:val="20D451E9"/>
    <w:rsid w:val="22297D19"/>
    <w:rsid w:val="2239241F"/>
    <w:rsid w:val="224805CD"/>
    <w:rsid w:val="22E9628F"/>
    <w:rsid w:val="251B38EF"/>
    <w:rsid w:val="27110362"/>
    <w:rsid w:val="28EF0619"/>
    <w:rsid w:val="29506857"/>
    <w:rsid w:val="2B4E089B"/>
    <w:rsid w:val="2DD66DE3"/>
    <w:rsid w:val="2E462777"/>
    <w:rsid w:val="2EAA00A6"/>
    <w:rsid w:val="343B728A"/>
    <w:rsid w:val="34AD7EA2"/>
    <w:rsid w:val="352C6A5F"/>
    <w:rsid w:val="35926D62"/>
    <w:rsid w:val="36482F72"/>
    <w:rsid w:val="36933296"/>
    <w:rsid w:val="371B2276"/>
    <w:rsid w:val="399F06E0"/>
    <w:rsid w:val="39D64F8F"/>
    <w:rsid w:val="3C046D30"/>
    <w:rsid w:val="3DF17D30"/>
    <w:rsid w:val="3F056573"/>
    <w:rsid w:val="3F135889"/>
    <w:rsid w:val="3FB93A98"/>
    <w:rsid w:val="408908EE"/>
    <w:rsid w:val="426A4E5F"/>
    <w:rsid w:val="428A38B6"/>
    <w:rsid w:val="435747A7"/>
    <w:rsid w:val="43EE6A01"/>
    <w:rsid w:val="441929DC"/>
    <w:rsid w:val="45940E0F"/>
    <w:rsid w:val="45EE3F48"/>
    <w:rsid w:val="46075BC9"/>
    <w:rsid w:val="477D3E56"/>
    <w:rsid w:val="47B03B5B"/>
    <w:rsid w:val="47C82CF5"/>
    <w:rsid w:val="4922747B"/>
    <w:rsid w:val="4D4E5714"/>
    <w:rsid w:val="4D951D36"/>
    <w:rsid w:val="4E9850B9"/>
    <w:rsid w:val="4F080938"/>
    <w:rsid w:val="4F9059A1"/>
    <w:rsid w:val="504A47C7"/>
    <w:rsid w:val="50E23A41"/>
    <w:rsid w:val="514946EA"/>
    <w:rsid w:val="52FA4C60"/>
    <w:rsid w:val="54645881"/>
    <w:rsid w:val="55EC5708"/>
    <w:rsid w:val="560D3D1A"/>
    <w:rsid w:val="57784E8F"/>
    <w:rsid w:val="57BB6C94"/>
    <w:rsid w:val="58D64F0E"/>
    <w:rsid w:val="5BD9413E"/>
    <w:rsid w:val="5C414DE8"/>
    <w:rsid w:val="5CE951D8"/>
    <w:rsid w:val="5E09755D"/>
    <w:rsid w:val="5EE409E6"/>
    <w:rsid w:val="60BA5126"/>
    <w:rsid w:val="633D37C8"/>
    <w:rsid w:val="642C665D"/>
    <w:rsid w:val="65655FC8"/>
    <w:rsid w:val="66D03901"/>
    <w:rsid w:val="68A47FBA"/>
    <w:rsid w:val="69EF3566"/>
    <w:rsid w:val="6B996D13"/>
    <w:rsid w:val="6BA32EA6"/>
    <w:rsid w:val="6F4F5991"/>
    <w:rsid w:val="6F756ED1"/>
    <w:rsid w:val="70DF0F9F"/>
    <w:rsid w:val="719974E5"/>
    <w:rsid w:val="71C35F39"/>
    <w:rsid w:val="72162E3A"/>
    <w:rsid w:val="727608D5"/>
    <w:rsid w:val="72CA79DF"/>
    <w:rsid w:val="74FD4DFC"/>
    <w:rsid w:val="75F3408F"/>
    <w:rsid w:val="76303528"/>
    <w:rsid w:val="76990D03"/>
    <w:rsid w:val="769E4528"/>
    <w:rsid w:val="77375EEB"/>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toc 7"/>
    <w:basedOn w:val="1"/>
    <w:next w:val="1"/>
    <w:qFormat/>
    <w:uiPriority w:val="0"/>
    <w:pPr>
      <w:ind w:left="1200"/>
    </w:pPr>
    <w:rPr>
      <w:rFonts w:ascii="Calibri"/>
    </w:rPr>
  </w:style>
  <w:style w:type="paragraph" w:styleId="5">
    <w:name w:val="annotation text"/>
    <w:basedOn w:val="1"/>
    <w:unhideWhenUsed/>
    <w:qFormat/>
    <w:uiPriority w:val="99"/>
    <w:pPr>
      <w:jc w:val="left"/>
    </w:pPr>
  </w:style>
  <w:style w:type="paragraph" w:styleId="6">
    <w:name w:val="Body Text"/>
    <w:basedOn w:val="1"/>
    <w:next w:val="7"/>
    <w:qFormat/>
    <w:uiPriority w:val="0"/>
  </w:style>
  <w:style w:type="paragraph" w:styleId="7">
    <w:name w:val="Body Text First Indent"/>
    <w:basedOn w:val="6"/>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List Bullet 5"/>
    <w:basedOn w:val="1"/>
    <w:qFormat/>
    <w:uiPriority w:val="0"/>
    <w:pPr>
      <w:numPr>
        <w:ilvl w:val="0"/>
        <w:numId w:val="1"/>
      </w:numPr>
    </w:pPr>
  </w:style>
  <w:style w:type="paragraph" w:styleId="11">
    <w:name w:val="Body Text Indent 2"/>
    <w:basedOn w:val="1"/>
    <w:qFormat/>
    <w:uiPriority w:val="0"/>
    <w:pPr>
      <w:widowControl w:val="0"/>
      <w:ind w:firstLine="540" w:firstLineChars="257"/>
      <w:jc w:val="both"/>
    </w:pPr>
    <w:rPr>
      <w:kern w:val="2"/>
      <w:sz w:val="21"/>
    </w:rPr>
  </w:style>
  <w:style w:type="paragraph" w:styleId="12">
    <w:name w:val="toc 1"/>
    <w:basedOn w:val="1"/>
    <w:next w:val="1"/>
    <w:qFormat/>
    <w:uiPriority w:val="0"/>
    <w:pPr>
      <w:spacing w:line="180" w:lineRule="auto"/>
      <w:jc w:val="center"/>
    </w:pPr>
    <w:rPr>
      <w:sz w:val="30"/>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8"/>
    <w:qFormat/>
    <w:uiPriority w:val="0"/>
    <w:pPr>
      <w:ind w:firstLine="42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6"/>
      <w:szCs w:val="16"/>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character" w:customStyle="1" w:styleId="24">
    <w:name w:val="font61"/>
    <w:basedOn w:val="17"/>
    <w:qFormat/>
    <w:uiPriority w:val="0"/>
    <w:rPr>
      <w:rFonts w:hint="eastAsia" w:ascii="宋体" w:hAnsi="宋体" w:eastAsia="宋体" w:cs="宋体"/>
      <w:b/>
      <w:color w:val="000000"/>
      <w:sz w:val="24"/>
      <w:szCs w:val="24"/>
      <w:u w:val="none"/>
    </w:rPr>
  </w:style>
  <w:style w:type="character" w:customStyle="1" w:styleId="25">
    <w:name w:val="font131"/>
    <w:basedOn w:val="17"/>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6054</Words>
  <Characters>6612</Characters>
  <Lines>0</Lines>
  <Paragraphs>0</Paragraphs>
  <TotalTime>0</TotalTime>
  <ScaleCrop>false</ScaleCrop>
  <LinksUpToDate>false</LinksUpToDate>
  <CharactersWithSpaces>7066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2025-12-29T03:32:44Z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72D753A52B8A47FB945F24B5133DC57F_13</vt:lpwstr>
  </property>
  <property fmtid="{D5CDD505-2E9C-101B-9397-08002B2CF9AE}" pid="4" name="KSOTemplateDocerSaveRecord">
    <vt:lpwstr>eyJoZGlkIjoiODcwZmE0ZmU3Y2M1ZWQ5MWU4OTc0ZDQ0OGMzYzM2NmMiLCJ1c2VySWQiOiIxMzE0MjM0OTg5In0=</vt:lpwstr>
  </property>
</Properties>
</file>