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w:t>
      </w:r>
    </w:p>
    <w:p w14:paraId="6E2B4FC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cs="宋体"/>
          <w:b/>
          <w:bCs/>
          <w:i w:val="0"/>
          <w:caps w:val="0"/>
          <w:color w:val="auto"/>
          <w:spacing w:val="0"/>
          <w:sz w:val="24"/>
          <w:szCs w:val="24"/>
          <w:shd w:val="clear" w:color="auto" w:fill="FFFFFF"/>
          <w:lang w:val="en-US" w:eastAsia="zh-CN"/>
        </w:rPr>
        <w:t>（一）</w:t>
      </w:r>
      <w:r>
        <w:rPr>
          <w:rFonts w:hint="eastAsia" w:ascii="宋体" w:hAnsi="宋体" w:eastAsia="宋体" w:cs="宋体"/>
          <w:b/>
          <w:bCs/>
          <w:i w:val="0"/>
          <w:caps w:val="0"/>
          <w:color w:val="auto"/>
          <w:spacing w:val="0"/>
          <w:sz w:val="24"/>
          <w:szCs w:val="24"/>
          <w:shd w:val="clear" w:color="auto" w:fill="FFFFFF"/>
          <w:lang w:val="en-US" w:eastAsia="zh-CN"/>
        </w:rPr>
        <w:t>采购</w:t>
      </w:r>
      <w:r>
        <w:rPr>
          <w:rFonts w:hint="eastAsia" w:ascii="宋体" w:hAnsi="宋体" w:eastAsia="宋体" w:cs="宋体"/>
          <w:b/>
          <w:bCs/>
          <w:i w:val="0"/>
          <w:caps w:val="0"/>
          <w:color w:val="auto"/>
          <w:spacing w:val="0"/>
          <w:sz w:val="24"/>
          <w:szCs w:val="24"/>
          <w:shd w:val="clear" w:color="auto" w:fill="FFFFFF"/>
        </w:rPr>
        <w:t>需求</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1.项目名称：档案室回转柜采购</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bookmarkStart w:id="0" w:name="_GoBack"/>
      <w:bookmarkEnd w:id="0"/>
    </w:p>
    <w:p w14:paraId="0F5CCF8F">
      <w:pPr>
        <w:bidi w:val="0"/>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3.数量：2台；本项目最高限价9.5万元。</w:t>
      </w:r>
    </w:p>
    <w:p w14:paraId="350EF376">
      <w:pPr>
        <w:bidi w:val="0"/>
        <w:spacing w:line="360" w:lineRule="auto"/>
        <w:outlineLvl w:val="1"/>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微软雅黑" w:hAnsi="微软雅黑" w:eastAsia="微软雅黑" w:cs="微软雅黑"/>
          <w:b/>
          <w:bCs/>
          <w:sz w:val="24"/>
          <w:szCs w:val="24"/>
          <w:lang w:val="en-US" w:eastAsia="zh-CN"/>
        </w:rPr>
        <w:t>★</w:t>
      </w:r>
      <w:r>
        <w:rPr>
          <w:rFonts w:hint="eastAsia" w:ascii="宋体" w:hAnsi="宋体" w:cs="宋体"/>
          <w:b/>
          <w:bCs/>
          <w:sz w:val="24"/>
          <w:szCs w:val="24"/>
          <w:lang w:val="en-US" w:eastAsia="zh-CN"/>
        </w:rPr>
        <w:t>技术要求</w:t>
      </w:r>
    </w:p>
    <w:p w14:paraId="40B9B98A">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1.柜体尺寸：≥1700*1290*2750cm，按照档案盒厚度为4cm，单台回转柜可存放≥350份档案。</w:t>
      </w:r>
    </w:p>
    <w:p w14:paraId="15C260F8">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柜体材质：金属涂层厚度60-130um，涂层硬度≥5H，涂层附着力达到0级，抗拉强度≥390MPa，中性盐雾实验≥280h，耐腐蚀等级达到10级，外部封板≥1.2mm冷轧钢板，斗板≥1.5mm冷轧钢板；锁具，耐腐蚀等级达到≥10级，中性盐雾实验≥360h。表面处理:选用不含三酸氰酐油脂（TGIC）喷粉，经静电处理，在工件上形成一层最少60微米的保护层，绝缘、耐用，符合GB/T13667.1-2003标准</w:t>
      </w:r>
    </w:p>
    <w:p w14:paraId="19791990">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3.硬件功能：PLC控制器、自动升降门，应急手摇，≥7寸彩色触摸液晶屏，光电安全保护，工业急停保护开关，可拆卸办公桌（配锁具），柜内安装自动门电机1.1KM，柜内安装自动门电机0.75KM。</w:t>
      </w:r>
    </w:p>
    <w:p w14:paraId="20AB224F">
      <w:pPr>
        <w:bidi w:val="0"/>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4.软件性能：系统登录、档案接收，发送、档案查询、档案统计、借阅登记、归还登记、档案维护、借阅记录管理、数据库管理、初始设置、打印等。</w:t>
      </w:r>
    </w:p>
    <w:p w14:paraId="0BAF5FA4">
      <w:pPr>
        <w:bidi w:val="0"/>
        <w:spacing w:line="360" w:lineRule="auto"/>
        <w:outlineLvl w:val="1"/>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三</w:t>
      </w:r>
      <w:r>
        <w:rPr>
          <w:rFonts w:hint="eastAsia" w:ascii="宋体" w:hAnsi="宋体" w:eastAsia="宋体" w:cs="宋体"/>
          <w:b/>
          <w:bCs/>
          <w:sz w:val="24"/>
          <w:szCs w:val="24"/>
          <w:lang w:val="en-US" w:eastAsia="zh-CN"/>
        </w:rPr>
        <w:t>、</w:t>
      </w:r>
      <w:r>
        <w:rPr>
          <w:rFonts w:hint="eastAsia" w:ascii="微软雅黑" w:hAnsi="微软雅黑" w:eastAsia="微软雅黑" w:cs="微软雅黑"/>
          <w:b/>
          <w:bCs/>
          <w:sz w:val="24"/>
          <w:szCs w:val="24"/>
          <w:lang w:val="en-US" w:eastAsia="zh-CN"/>
        </w:rPr>
        <w:t>★</w:t>
      </w:r>
      <w:r>
        <w:rPr>
          <w:rFonts w:hint="eastAsia" w:ascii="宋体" w:hAnsi="宋体" w:eastAsia="宋体" w:cs="宋体"/>
          <w:b/>
          <w:bCs/>
          <w:sz w:val="24"/>
          <w:szCs w:val="24"/>
          <w:lang w:val="en-US" w:eastAsia="zh-CN"/>
        </w:rPr>
        <w:t>商务要求</w:t>
      </w:r>
    </w:p>
    <w:p w14:paraId="00055FCB">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1.供应商需按采购人要求提供货物，并出具产品合格证，并完成送货安装。</w:t>
      </w:r>
    </w:p>
    <w:p w14:paraId="43DD91BB">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2.供应商交货期限为合同签订生效后的30 日内送货到指定的地点，并安装完毕，经采购人验收合格后，供应商出具合同全额发票。采购人在收到发票后的30个工作日内向供应商支付合同总价的97%。</w:t>
      </w:r>
    </w:p>
    <w:p w14:paraId="45C19DA1">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3.质量保证金为合同总金额的3%，自验收合格之日起满1年后无质量问题，供应商提供请款申请后，采购人在30个工作日内向供应商支付剩余3%合同尾款。</w:t>
      </w:r>
    </w:p>
    <w:p w14:paraId="70977D14">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质保期为验收合格后3年，质保期内出现质量问题，供应商在接到通知后2小时内响应到场，2小时内完成维修或更换，并承担修理调换的费用；如货物经供应商2次维修仍不能达到本合同约定的质量标准，视作供应商未能按时交货，采购人有权退货。</w:t>
      </w:r>
    </w:p>
    <w:p w14:paraId="2877594F">
      <w:pPr>
        <w:bidi w:val="0"/>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5.交货地址：四川省妇幼保健院天府院区（成都市双流区岐黄二路1515号），联系人：朱老师，联系电话：028-65978306。</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本项采用最低评标价法</w:t>
      </w:r>
      <w:r>
        <w:rPr>
          <w:rFonts w:hint="eastAsia" w:ascii="宋体" w:hAnsi="宋体" w:eastAsia="宋体" w:cs="宋体"/>
          <w:color w:val="auto"/>
          <w:kern w:val="0"/>
          <w:sz w:val="24"/>
          <w:szCs w:val="24"/>
          <w:highlight w:val="none"/>
          <w:lang w:eastAsia="zh-CN"/>
        </w:rPr>
        <w:t>。</w:t>
      </w:r>
    </w:p>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0"/>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0"/>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5"/>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1"/>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
        <w:gridCol w:w="1260"/>
        <w:gridCol w:w="1155"/>
        <w:gridCol w:w="1245"/>
        <w:gridCol w:w="1185"/>
        <w:gridCol w:w="1125"/>
        <w:gridCol w:w="1335"/>
      </w:tblGrid>
      <w:tr w14:paraId="7680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68" w:type="dxa"/>
            <w:vAlign w:val="top"/>
          </w:tcPr>
          <w:p w14:paraId="3466F747">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60" w:type="dxa"/>
            <w:vAlign w:val="top"/>
          </w:tcPr>
          <w:p w14:paraId="23692452">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1155" w:type="dxa"/>
            <w:vAlign w:val="top"/>
          </w:tcPr>
          <w:p w14:paraId="5C7490D9">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品牌</w:t>
            </w:r>
          </w:p>
        </w:tc>
        <w:tc>
          <w:tcPr>
            <w:tcW w:w="1245" w:type="dxa"/>
            <w:vAlign w:val="top"/>
          </w:tcPr>
          <w:p w14:paraId="23D80D70">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型号</w:t>
            </w:r>
          </w:p>
        </w:tc>
        <w:tc>
          <w:tcPr>
            <w:tcW w:w="1185" w:type="dxa"/>
            <w:vAlign w:val="top"/>
          </w:tcPr>
          <w:p w14:paraId="10C75CA5">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数量</w:t>
            </w:r>
          </w:p>
        </w:tc>
        <w:tc>
          <w:tcPr>
            <w:tcW w:w="1125" w:type="dxa"/>
            <w:vAlign w:val="top"/>
          </w:tcPr>
          <w:p w14:paraId="7ADCF164">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单位</w:t>
            </w:r>
          </w:p>
        </w:tc>
        <w:tc>
          <w:tcPr>
            <w:tcW w:w="1335" w:type="dxa"/>
            <w:vAlign w:val="top"/>
          </w:tcPr>
          <w:p w14:paraId="7E84D051">
            <w:pPr>
              <w:pStyle w:val="20"/>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cs="宋体"/>
                <w:sz w:val="24"/>
                <w:szCs w:val="24"/>
                <w:lang w:val="en-US" w:eastAsia="zh-CN"/>
              </w:rPr>
              <w:t>万元）</w:t>
            </w:r>
          </w:p>
        </w:tc>
      </w:tr>
      <w:tr w14:paraId="1788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968" w:type="dxa"/>
            <w:vAlign w:val="top"/>
          </w:tcPr>
          <w:p w14:paraId="13FF5E04">
            <w:pPr>
              <w:pStyle w:val="17"/>
              <w:numPr>
                <w:ilvl w:val="0"/>
                <w:numId w:val="0"/>
              </w:numPr>
              <w:ind w:leftChars="0"/>
              <w:jc w:val="center"/>
              <w:rPr>
                <w:rFonts w:hint="eastAsia" w:hAnsi="宋体"/>
                <w:lang w:val="en-US" w:eastAsia="zh-CN"/>
              </w:rPr>
            </w:pPr>
            <w:r>
              <w:rPr>
                <w:rFonts w:hint="eastAsia" w:hAnsi="宋体"/>
                <w:lang w:val="en-US" w:eastAsia="zh-CN"/>
              </w:rPr>
              <w:t>1</w:t>
            </w:r>
          </w:p>
        </w:tc>
        <w:tc>
          <w:tcPr>
            <w:tcW w:w="1260" w:type="dxa"/>
            <w:shd w:val="clear" w:color="auto" w:fill="FFFFFF" w:themeFill="background1"/>
            <w:vAlign w:val="top"/>
          </w:tcPr>
          <w:p w14:paraId="69A1D446">
            <w:pPr>
              <w:pStyle w:val="17"/>
              <w:numPr>
                <w:ilvl w:val="0"/>
                <w:numId w:val="0"/>
              </w:numPr>
              <w:ind w:leftChars="0"/>
              <w:jc w:val="center"/>
              <w:rPr>
                <w:rFonts w:hint="eastAsia" w:hAnsi="宋体"/>
                <w:lang w:val="en-US" w:eastAsia="zh-CN"/>
              </w:rPr>
            </w:pPr>
          </w:p>
        </w:tc>
        <w:tc>
          <w:tcPr>
            <w:tcW w:w="1155" w:type="dxa"/>
            <w:shd w:val="clear" w:color="auto" w:fill="FFFFFF" w:themeFill="background1"/>
            <w:vAlign w:val="center"/>
          </w:tcPr>
          <w:p w14:paraId="2930A427">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c>
          <w:tcPr>
            <w:tcW w:w="1245" w:type="dxa"/>
            <w:shd w:val="clear" w:color="auto" w:fill="FFFFFF" w:themeFill="background1"/>
            <w:vAlign w:val="center"/>
          </w:tcPr>
          <w:p w14:paraId="4987E0C3">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c>
          <w:tcPr>
            <w:tcW w:w="1185" w:type="dxa"/>
            <w:shd w:val="clear" w:color="auto" w:fill="FFFFFF" w:themeFill="background1"/>
            <w:vAlign w:val="center"/>
          </w:tcPr>
          <w:p w14:paraId="02EF79D1">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w:t>
            </w:r>
          </w:p>
        </w:tc>
        <w:tc>
          <w:tcPr>
            <w:tcW w:w="1125" w:type="dxa"/>
            <w:shd w:val="clear" w:color="auto" w:fill="FFFFFF" w:themeFill="background1"/>
            <w:vAlign w:val="center"/>
          </w:tcPr>
          <w:p w14:paraId="5D1DD40A">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台</w:t>
            </w:r>
          </w:p>
        </w:tc>
        <w:tc>
          <w:tcPr>
            <w:tcW w:w="1335" w:type="dxa"/>
            <w:shd w:val="clear" w:color="auto" w:fill="FFFFFF" w:themeFill="background1"/>
            <w:vAlign w:val="center"/>
          </w:tcPr>
          <w:p w14:paraId="7D3BA96D">
            <w:pPr>
              <w:pStyle w:val="20"/>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3"/>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3"/>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5"/>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0"/>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0"/>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0"/>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0"/>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0"/>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0"/>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4"/>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5"/>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2"/>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0AB72B7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0D18728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七</w:t>
      </w:r>
      <w:r>
        <w:rPr>
          <w:rFonts w:hint="eastAsia" w:ascii="宋体" w:hAnsi="宋体" w:eastAsia="宋体" w:cs="宋体"/>
          <w:sz w:val="24"/>
          <w:szCs w:val="24"/>
        </w:rPr>
        <w:t>）法律、行政法规规定的其他条件；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谈判</w:t>
      </w:r>
      <w:r>
        <w:rPr>
          <w:rFonts w:hint="eastAsia" w:ascii="宋体" w:hAnsi="宋体" w:eastAsia="宋体" w:cs="宋体"/>
          <w:sz w:val="24"/>
          <w:szCs w:val="24"/>
        </w:rPr>
        <w:t>文件中规定的实质性要求，如对</w:t>
      </w:r>
      <w:r>
        <w:rPr>
          <w:rFonts w:hint="eastAsia" w:ascii="宋体" w:hAnsi="宋体" w:cs="宋体"/>
          <w:sz w:val="24"/>
          <w:szCs w:val="24"/>
          <w:lang w:eastAsia="zh-CN"/>
        </w:rPr>
        <w:t>谈判</w:t>
      </w:r>
      <w:r>
        <w:rPr>
          <w:rFonts w:hint="eastAsia" w:ascii="宋体" w:hAnsi="宋体" w:eastAsia="宋体" w:cs="宋体"/>
          <w:sz w:val="24"/>
          <w:szCs w:val="24"/>
        </w:rPr>
        <w:t>文件有异议，已经在</w:t>
      </w:r>
      <w:r>
        <w:rPr>
          <w:rFonts w:hint="eastAsia" w:ascii="宋体" w:hAnsi="宋体" w:cs="宋体"/>
          <w:sz w:val="24"/>
          <w:szCs w:val="24"/>
          <w:lang w:eastAsia="zh-CN"/>
        </w:rPr>
        <w:t>谈判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谈判</w:t>
      </w:r>
      <w:r>
        <w:rPr>
          <w:rFonts w:hint="eastAsia" w:ascii="宋体" w:hAnsi="宋体" w:eastAsia="宋体" w:cs="宋体"/>
          <w:sz w:val="24"/>
          <w:szCs w:val="24"/>
        </w:rPr>
        <w:t>文件有异议的同时又参加</w:t>
      </w:r>
      <w:r>
        <w:rPr>
          <w:rFonts w:hint="eastAsia" w:ascii="宋体" w:hAnsi="宋体" w:cs="宋体"/>
          <w:sz w:val="24"/>
          <w:szCs w:val="24"/>
          <w:lang w:eastAsia="zh-CN"/>
        </w:rPr>
        <w:t>谈判</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cs="宋体"/>
          <w:sz w:val="24"/>
          <w:szCs w:val="24"/>
          <w:lang w:eastAsia="zh-CN"/>
        </w:rPr>
        <w:t>谈判</w:t>
      </w:r>
      <w:r>
        <w:rPr>
          <w:rFonts w:hint="eastAsia" w:ascii="宋体" w:hAnsi="宋体" w:eastAsia="宋体" w:cs="宋体"/>
          <w:sz w:val="24"/>
          <w:szCs w:val="24"/>
        </w:rPr>
        <w:t>采购活动，不存在与单位负责人为同一人或者存在直接控股、管理关系的其他供应商参与同一合同项下的采购活动的行为。本单位未参与本采购项目前期咨询论证，不属于禁止参加本项目</w:t>
      </w:r>
      <w:r>
        <w:rPr>
          <w:rFonts w:hint="eastAsia" w:ascii="宋体" w:hAnsi="宋体" w:cs="宋体"/>
          <w:sz w:val="24"/>
          <w:szCs w:val="24"/>
          <w:lang w:eastAsia="zh-CN"/>
        </w:rPr>
        <w:t>谈判</w:t>
      </w:r>
      <w:r>
        <w:rPr>
          <w:rFonts w:hint="eastAsia" w:ascii="宋体" w:hAnsi="宋体" w:eastAsia="宋体" w:cs="宋体"/>
          <w:sz w:val="24"/>
          <w:szCs w:val="24"/>
        </w:rPr>
        <w:t>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w:t>
      </w:r>
      <w:r>
        <w:rPr>
          <w:rFonts w:hint="eastAsia" w:ascii="宋体" w:hAnsi="宋体" w:cs="宋体"/>
          <w:sz w:val="24"/>
          <w:szCs w:val="24"/>
          <w:lang w:eastAsia="zh-CN"/>
        </w:rPr>
        <w:t>谈判</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7"/>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5"/>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1"/>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1"/>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1"/>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4"/>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1"/>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1"/>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1"/>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1"/>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1"/>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1"/>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5"/>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5"/>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5"/>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8"/>
        <w:numPr>
          <w:ilvl w:val="0"/>
          <w:numId w:val="0"/>
        </w:numPr>
        <w:ind w:left="1680" w:leftChars="0"/>
        <w:rPr>
          <w:rFonts w:hint="default"/>
          <w:lang w:val="en-US" w:eastAsia="zh-CN"/>
        </w:rPr>
      </w:pPr>
    </w:p>
    <w:p w14:paraId="4CF4AD6A">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5"/>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0D94872"/>
    <w:rsid w:val="01B62F5C"/>
    <w:rsid w:val="01FE6BD3"/>
    <w:rsid w:val="02554005"/>
    <w:rsid w:val="02FE6776"/>
    <w:rsid w:val="04865C14"/>
    <w:rsid w:val="04B7134B"/>
    <w:rsid w:val="066D03A6"/>
    <w:rsid w:val="08315D7E"/>
    <w:rsid w:val="0A325E03"/>
    <w:rsid w:val="0BF65853"/>
    <w:rsid w:val="0E2A3E4A"/>
    <w:rsid w:val="0FC95E75"/>
    <w:rsid w:val="110F482C"/>
    <w:rsid w:val="121A7943"/>
    <w:rsid w:val="12FE7BB6"/>
    <w:rsid w:val="1331710B"/>
    <w:rsid w:val="13F910D3"/>
    <w:rsid w:val="14C02123"/>
    <w:rsid w:val="150B2214"/>
    <w:rsid w:val="1599279D"/>
    <w:rsid w:val="19503EFC"/>
    <w:rsid w:val="1C831556"/>
    <w:rsid w:val="1CF21D0A"/>
    <w:rsid w:val="1FEA0D76"/>
    <w:rsid w:val="20D451E9"/>
    <w:rsid w:val="22297D19"/>
    <w:rsid w:val="2239241F"/>
    <w:rsid w:val="224805CD"/>
    <w:rsid w:val="22E9628F"/>
    <w:rsid w:val="251B38EF"/>
    <w:rsid w:val="254A443E"/>
    <w:rsid w:val="29506857"/>
    <w:rsid w:val="29E21280"/>
    <w:rsid w:val="2B4E089B"/>
    <w:rsid w:val="2C6E0973"/>
    <w:rsid w:val="2DD66DE3"/>
    <w:rsid w:val="2E462777"/>
    <w:rsid w:val="2EAA00A6"/>
    <w:rsid w:val="310C0ABD"/>
    <w:rsid w:val="337820FF"/>
    <w:rsid w:val="343B728A"/>
    <w:rsid w:val="34AD7EA2"/>
    <w:rsid w:val="356154A3"/>
    <w:rsid w:val="35926D62"/>
    <w:rsid w:val="36482F72"/>
    <w:rsid w:val="36630549"/>
    <w:rsid w:val="371B2276"/>
    <w:rsid w:val="39D64F8F"/>
    <w:rsid w:val="3C046D30"/>
    <w:rsid w:val="3D703934"/>
    <w:rsid w:val="3DF17D30"/>
    <w:rsid w:val="3F056573"/>
    <w:rsid w:val="3F1227D7"/>
    <w:rsid w:val="3F135889"/>
    <w:rsid w:val="3F226016"/>
    <w:rsid w:val="408908EE"/>
    <w:rsid w:val="426A4E5F"/>
    <w:rsid w:val="428A38B6"/>
    <w:rsid w:val="435747A7"/>
    <w:rsid w:val="43EE6A01"/>
    <w:rsid w:val="441929DC"/>
    <w:rsid w:val="45940E0F"/>
    <w:rsid w:val="45EE3F48"/>
    <w:rsid w:val="46075BC9"/>
    <w:rsid w:val="477D3E56"/>
    <w:rsid w:val="47B03B5B"/>
    <w:rsid w:val="47C82CF5"/>
    <w:rsid w:val="48906A9A"/>
    <w:rsid w:val="4922747B"/>
    <w:rsid w:val="4D951D36"/>
    <w:rsid w:val="4F080938"/>
    <w:rsid w:val="4F846A83"/>
    <w:rsid w:val="4F9059A1"/>
    <w:rsid w:val="504A47C7"/>
    <w:rsid w:val="50E23A41"/>
    <w:rsid w:val="514946EA"/>
    <w:rsid w:val="52FA4C60"/>
    <w:rsid w:val="54645881"/>
    <w:rsid w:val="55EC5708"/>
    <w:rsid w:val="560D3D1A"/>
    <w:rsid w:val="57BB6C94"/>
    <w:rsid w:val="584432E8"/>
    <w:rsid w:val="58D64F0E"/>
    <w:rsid w:val="5BD9413E"/>
    <w:rsid w:val="5C414DE8"/>
    <w:rsid w:val="5CE951D8"/>
    <w:rsid w:val="60BA5126"/>
    <w:rsid w:val="633D37C8"/>
    <w:rsid w:val="642C665D"/>
    <w:rsid w:val="6481459B"/>
    <w:rsid w:val="65416891"/>
    <w:rsid w:val="65655FC8"/>
    <w:rsid w:val="66D03901"/>
    <w:rsid w:val="66D954CC"/>
    <w:rsid w:val="68A47FBA"/>
    <w:rsid w:val="69EF3566"/>
    <w:rsid w:val="6B996D13"/>
    <w:rsid w:val="6BA32EA6"/>
    <w:rsid w:val="6D164F86"/>
    <w:rsid w:val="6F4F5991"/>
    <w:rsid w:val="6F756ED1"/>
    <w:rsid w:val="70DF0F9F"/>
    <w:rsid w:val="719974E5"/>
    <w:rsid w:val="71C35F39"/>
    <w:rsid w:val="72162E3A"/>
    <w:rsid w:val="727608D5"/>
    <w:rsid w:val="72CA79DF"/>
    <w:rsid w:val="74FD4DFC"/>
    <w:rsid w:val="75F3408F"/>
    <w:rsid w:val="76096233"/>
    <w:rsid w:val="769E4528"/>
    <w:rsid w:val="7794703F"/>
    <w:rsid w:val="7CFC7D9A"/>
    <w:rsid w:val="7D6C7908"/>
    <w:rsid w:val="7F93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annotation text"/>
    <w:basedOn w:val="1"/>
    <w:unhideWhenUsed/>
    <w:qFormat/>
    <w:uiPriority w:val="99"/>
    <w:pPr>
      <w:jc w:val="left"/>
    </w:pPr>
  </w:style>
  <w:style w:type="paragraph" w:styleId="5">
    <w:name w:val="Body Text"/>
    <w:basedOn w:val="1"/>
    <w:next w:val="1"/>
    <w:qFormat/>
    <w:uiPriority w:val="0"/>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List Bullet 5"/>
    <w:basedOn w:val="1"/>
    <w:qFormat/>
    <w:uiPriority w:val="0"/>
    <w:pPr>
      <w:numPr>
        <w:ilvl w:val="0"/>
        <w:numId w:val="1"/>
      </w:numPr>
    </w:pPr>
  </w:style>
  <w:style w:type="paragraph" w:styleId="9">
    <w:name w:val="Body Text Indent 2"/>
    <w:basedOn w:val="1"/>
    <w:qFormat/>
    <w:uiPriority w:val="0"/>
    <w:pPr>
      <w:widowControl w:val="0"/>
      <w:ind w:firstLine="540" w:firstLineChars="257"/>
      <w:jc w:val="both"/>
    </w:pPr>
    <w:rPr>
      <w:kern w:val="2"/>
      <w:sz w:val="21"/>
    </w:rPr>
  </w:style>
  <w:style w:type="paragraph" w:styleId="10">
    <w:name w:val="toc 1"/>
    <w:basedOn w:val="1"/>
    <w:next w:val="1"/>
    <w:qFormat/>
    <w:uiPriority w:val="0"/>
    <w:pPr>
      <w:spacing w:line="180" w:lineRule="auto"/>
      <w:jc w:val="center"/>
    </w:pPr>
    <w:rPr>
      <w:sz w:val="3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snapToGrid w:val="0"/>
      <w:spacing w:before="40" w:after="40" w:line="288" w:lineRule="auto"/>
      <w:ind w:firstLine="482"/>
    </w:pPr>
    <w:rPr>
      <w:rFonts w:ascii="仿宋_GB2312" w:hAnsi="仿宋_GB2312" w:eastAsia="仿宋_GB2312"/>
      <w:szCs w:val="20"/>
    </w:rPr>
  </w:style>
  <w:style w:type="paragraph" w:styleId="13">
    <w:name w:val="Body Text First Indent 2"/>
    <w:basedOn w:val="6"/>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标题 5（有编号）（绿盟科技）"/>
    <w:basedOn w:val="1"/>
    <w:next w:val="19"/>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Table Text"/>
    <w:basedOn w:val="1"/>
    <w:semiHidden/>
    <w:qFormat/>
    <w:uiPriority w:val="0"/>
    <w:rPr>
      <w:rFonts w:ascii="宋体" w:hAnsi="宋体" w:eastAsia="宋体" w:cs="宋体"/>
      <w:sz w:val="16"/>
      <w:szCs w:val="16"/>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GW-正文"/>
    <w:basedOn w:val="1"/>
    <w:qFormat/>
    <w:uiPriority w:val="0"/>
    <w:pPr>
      <w:spacing w:line="360" w:lineRule="auto"/>
      <w:ind w:firstLine="200" w:firstLineChars="200"/>
    </w:pPr>
    <w:rPr>
      <w:rFonts w:eastAsia="仿宋_GB2312"/>
      <w:sz w:val="24"/>
      <w:szCs w:val="24"/>
    </w:rPr>
  </w:style>
  <w:style w:type="character" w:customStyle="1" w:styleId="23">
    <w:name w:val="font61"/>
    <w:basedOn w:val="16"/>
    <w:qFormat/>
    <w:uiPriority w:val="0"/>
    <w:rPr>
      <w:rFonts w:hint="eastAsia" w:ascii="宋体" w:hAnsi="宋体" w:eastAsia="宋体" w:cs="宋体"/>
      <w:b/>
      <w:color w:val="000000"/>
      <w:sz w:val="24"/>
      <w:szCs w:val="24"/>
      <w:u w:val="none"/>
    </w:rPr>
  </w:style>
  <w:style w:type="character" w:customStyle="1" w:styleId="24">
    <w:name w:val="font131"/>
    <w:basedOn w:val="16"/>
    <w:qFormat/>
    <w:uiPriority w:val="0"/>
    <w:rPr>
      <w:rFonts w:hint="eastAsia" w:ascii="宋体" w:hAnsi="宋体" w:eastAsia="宋体" w:cs="宋体"/>
      <w:color w:val="000000"/>
      <w:kern w:val="0"/>
      <w:sz w:val="20"/>
      <w:szCs w:val="20"/>
      <w:u w:val="none"/>
      <w:lang w:eastAsia="en-US"/>
    </w:rPr>
  </w:style>
  <w:style w:type="paragraph" w:customStyle="1" w:styleId="2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4681</Words>
  <Characters>4865</Characters>
  <Lines>0</Lines>
  <Paragraphs>0</Paragraphs>
  <TotalTime>0</TotalTime>
  <ScaleCrop>false</ScaleCrop>
  <LinksUpToDate>false</LinksUpToDate>
  <CharactersWithSpaces>5243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2025-12-24T08:08:18Z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E31741E0A0F941B1958068D15522F4B8_13</vt:lpwstr>
  </property>
  <property fmtid="{D5CDD505-2E9C-101B-9397-08002B2CF9AE}" pid="4" name="KSOTemplateDocerSaveRecord">
    <vt:lpwstr>eyJoZGlkIjoiODcwZmE0ZmU3Y2M1ZWQ5MWU4OTc0ZDQ0OGMzYzM2NmMiLCJ1c2VySWQiOiIxMzE0MjM0OTg5In0=</vt:lpwstr>
  </property>
</Properties>
</file>