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highlight w:val="none"/>
        </w:rPr>
        <w:t>附件1：</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20"/>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：电子内窥镜图像处理器</w:t>
      </w:r>
    </w:p>
    <w:p>
      <w:pPr>
        <w:pStyle w:val="20"/>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：0.95</w:t>
      </w:r>
      <w:r>
        <w:rPr>
          <w:rFonts w:hint="eastAsia" w:ascii="宋体" w:hAnsi="宋体" w:eastAsia="宋体" w:cs="宋体"/>
          <w:b/>
          <w:bCs w:val="0"/>
          <w:sz w:val="24"/>
          <w:szCs w:val="24"/>
          <w:lang w:val="en-US" w:eastAsia="zh-CN"/>
        </w:rPr>
        <w:t>万元</w:t>
      </w:r>
    </w:p>
    <w:p>
      <w:pPr>
        <w:pStyle w:val="20"/>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技术要求：</w:t>
      </w:r>
    </w:p>
    <w:p>
      <w:pPr>
        <w:pStyle w:val="9"/>
        <w:spacing w:before="296" w:line="219" w:lineRule="auto"/>
      </w:pPr>
      <w:r>
        <w:rPr>
          <w:rFonts w:hint="eastAsia"/>
          <w:lang w:val="en-US" w:eastAsia="zh-CN"/>
        </w:rPr>
        <w:t>▲</w:t>
      </w:r>
      <w:r>
        <w:rPr>
          <w:spacing w:val="-3"/>
        </w:rPr>
        <w:t>1 主机内置存储空间：能存储</w:t>
      </w:r>
      <w:r>
        <w:rPr>
          <w:rFonts w:hint="eastAsia"/>
          <w:spacing w:val="-3"/>
          <w:lang w:val="en-US" w:eastAsia="zh-CN"/>
        </w:rPr>
        <w:t>≥5000</w:t>
      </w:r>
      <w:r>
        <w:rPr>
          <w:spacing w:val="-3"/>
        </w:rPr>
        <w:t>张照片和</w:t>
      </w:r>
      <w:r>
        <w:rPr>
          <w:rFonts w:hint="eastAsia"/>
          <w:spacing w:val="-3"/>
          <w:lang w:val="en-US" w:eastAsia="zh-CN"/>
        </w:rPr>
        <w:t>≥8</w:t>
      </w:r>
      <w:r>
        <w:rPr>
          <w:spacing w:val="-3"/>
        </w:rPr>
        <w:t>小时的视频</w:t>
      </w:r>
      <w:r>
        <w:rPr>
          <w:rFonts w:hint="eastAsia"/>
          <w:spacing w:val="-3"/>
          <w:lang w:eastAsia="zh-CN"/>
        </w:rPr>
        <w:t>，或存储空间</w:t>
      </w:r>
      <w:r>
        <w:rPr>
          <w:rFonts w:hint="eastAsia" w:ascii="宋体" w:hAnsi="宋体" w:eastAsia="宋体" w:cs="宋体"/>
          <w:color w:val="auto"/>
          <w:sz w:val="24"/>
          <w:szCs w:val="24"/>
          <w:highlight w:val="none"/>
        </w:rPr>
        <w:t>≥32G</w:t>
      </w:r>
      <w:r>
        <w:rPr>
          <w:spacing w:val="-3"/>
        </w:rPr>
        <w:t>。</w:t>
      </w:r>
    </w:p>
    <w:p>
      <w:pPr>
        <w:pStyle w:val="9"/>
        <w:spacing w:before="195" w:line="219" w:lineRule="auto"/>
        <w:jc w:val="both"/>
        <w:rPr>
          <w:rFonts w:hint="eastAsia" w:eastAsiaTheme="minorEastAsia"/>
          <w:lang w:val="en-US" w:eastAsia="zh-CN"/>
        </w:rPr>
      </w:pPr>
      <w:r>
        <w:rPr>
          <w:rFonts w:hint="eastAsia"/>
          <w:lang w:val="en-US" w:eastAsia="zh-CN"/>
        </w:rPr>
        <w:t>★</w:t>
      </w:r>
      <w:r>
        <w:rPr>
          <w:rFonts w:ascii="Times New Roman" w:hAnsi="Times New Roman" w:eastAsia="Times New Roman" w:cs="Times New Roman"/>
          <w:spacing w:val="-5"/>
        </w:rPr>
        <w:t>2</w:t>
      </w:r>
      <w:r>
        <w:rPr>
          <w:rFonts w:ascii="Times New Roman" w:hAnsi="Times New Roman" w:eastAsia="Times New Roman" w:cs="Times New Roman"/>
          <w:spacing w:val="15"/>
          <w:w w:val="101"/>
        </w:rPr>
        <w:t xml:space="preserve"> </w:t>
      </w:r>
      <w:r>
        <w:rPr>
          <w:rFonts w:hint="eastAsia" w:ascii="Times New Roman" w:hAnsi="Times New Roman" w:eastAsia="宋体" w:cs="Times New Roman"/>
          <w:spacing w:val="15"/>
          <w:w w:val="101"/>
          <w:lang w:eastAsia="zh-CN"/>
        </w:rPr>
        <w:t>具有拍照、摄像功能，主机需</w:t>
      </w:r>
      <w:r>
        <w:rPr>
          <w:spacing w:val="-5"/>
        </w:rPr>
        <w:t>自带存储功能</w:t>
      </w:r>
      <w:r>
        <w:rPr>
          <w:rFonts w:hint="eastAsia"/>
          <w:spacing w:val="-5"/>
          <w:lang w:eastAsia="zh-CN"/>
        </w:rPr>
        <w:t>，且能</w:t>
      </w:r>
      <w:r>
        <w:rPr>
          <w:spacing w:val="-5"/>
        </w:rPr>
        <w:t>通过</w:t>
      </w:r>
      <w:r>
        <w:rPr>
          <w:rFonts w:ascii="Times New Roman" w:hAnsi="Times New Roman" w:eastAsia="Times New Roman" w:cs="Times New Roman"/>
          <w:spacing w:val="-5"/>
        </w:rPr>
        <w:t>USB</w:t>
      </w:r>
      <w:r>
        <w:rPr>
          <w:spacing w:val="-5"/>
        </w:rPr>
        <w:t>接口外接电脑</w:t>
      </w:r>
      <w:r>
        <w:rPr>
          <w:rFonts w:hint="eastAsia"/>
          <w:spacing w:val="-5"/>
          <w:lang w:eastAsia="zh-CN"/>
        </w:rPr>
        <w:t>或移动存储设备导出视频、图像资料</w:t>
      </w:r>
      <w:r>
        <w:rPr>
          <w:spacing w:val="-5"/>
        </w:rPr>
        <w:t>。</w:t>
      </w:r>
      <w:r>
        <w:rPr>
          <w:rFonts w:hint="eastAsia"/>
          <w:spacing w:val="-5"/>
          <w:lang w:eastAsia="zh-CN"/>
        </w:rPr>
        <w:t>（提供产品说明书或公开发布的印刷资料或国家认可的检测机构出具的检测报告复印件、</w:t>
      </w:r>
      <w:r>
        <w:rPr>
          <w:rFonts w:hint="eastAsia"/>
          <w:spacing w:val="-5"/>
          <w:lang w:val="en-US" w:eastAsia="zh-CN"/>
        </w:rPr>
        <w:t>注册证等证明资料</w:t>
      </w:r>
      <w:r>
        <w:rPr>
          <w:rFonts w:hint="eastAsia"/>
          <w:spacing w:val="-5"/>
          <w:lang w:eastAsia="zh-CN"/>
        </w:rPr>
        <w:t>）</w:t>
      </w:r>
      <w:r>
        <w:rPr>
          <w:rFonts w:hint="eastAsia"/>
          <w:spacing w:val="-5"/>
          <w:lang w:val="en-US" w:eastAsia="zh-CN"/>
        </w:rPr>
        <w:tab/>
      </w:r>
    </w:p>
    <w:p>
      <w:pPr>
        <w:pStyle w:val="9"/>
        <w:spacing w:before="136" w:line="219" w:lineRule="auto"/>
        <w:rPr>
          <w:rFonts w:hint="eastAsia" w:eastAsia="宋体"/>
          <w:lang w:eastAsia="zh-CN"/>
        </w:rPr>
      </w:pPr>
      <w:r>
        <w:rPr>
          <w:rFonts w:hint="eastAsia"/>
          <w:lang w:val="en-US" w:eastAsia="zh-CN"/>
        </w:rPr>
        <w:t>★</w:t>
      </w:r>
      <w:r>
        <w:rPr>
          <w:spacing w:val="-4"/>
        </w:rPr>
        <w:t>3</w:t>
      </w:r>
      <w:r>
        <w:rPr>
          <w:rFonts w:hint="eastAsia"/>
          <w:spacing w:val="-4"/>
          <w:lang w:val="en-US" w:eastAsia="zh-CN"/>
        </w:rPr>
        <w:t xml:space="preserve"> 需长期提供能</w:t>
      </w:r>
      <w:r>
        <w:rPr>
          <w:spacing w:val="-4"/>
        </w:rPr>
        <w:t>兼容</w:t>
      </w:r>
      <w:r>
        <w:rPr>
          <w:rFonts w:hint="eastAsia"/>
          <w:spacing w:val="-4"/>
          <w:lang w:eastAsia="zh-CN"/>
        </w:rPr>
        <w:t>使用的</w:t>
      </w:r>
      <w:r>
        <w:rPr>
          <w:spacing w:val="-4"/>
        </w:rPr>
        <w:t>一次性使用电子输尿管肾盂内窥镜导管</w:t>
      </w:r>
      <w:r>
        <w:rPr>
          <w:rFonts w:hint="eastAsia"/>
          <w:spacing w:val="-4"/>
          <w:lang w:eastAsia="zh-CN"/>
        </w:rPr>
        <w:t>（输尿管软镜）。</w:t>
      </w:r>
    </w:p>
    <w:p>
      <w:pPr>
        <w:pStyle w:val="9"/>
        <w:spacing w:before="135" w:line="219" w:lineRule="auto"/>
        <w:rPr>
          <w:rFonts w:hint="eastAsia"/>
          <w:lang w:eastAsia="zh-CN"/>
        </w:rPr>
      </w:pPr>
      <w:r>
        <w:rPr>
          <w:rFonts w:hint="eastAsia"/>
          <w:lang w:val="en-US" w:eastAsia="zh-CN"/>
        </w:rPr>
        <w:t>▲</w:t>
      </w:r>
      <w:r>
        <w:rPr>
          <w:rFonts w:ascii="Times New Roman" w:hAnsi="Times New Roman" w:eastAsia="Times New Roman" w:cs="Times New Roman"/>
          <w:spacing w:val="-10"/>
        </w:rPr>
        <w:t>4</w:t>
      </w:r>
      <w:r>
        <w:rPr>
          <w:rFonts w:ascii="Times New Roman" w:hAnsi="Times New Roman" w:eastAsia="Times New Roman" w:cs="Times New Roman"/>
          <w:spacing w:val="19"/>
        </w:rPr>
        <w:t xml:space="preserve"> </w:t>
      </w:r>
      <w:r>
        <w:rPr>
          <w:spacing w:val="-10"/>
        </w:rPr>
        <w:t>输出接口：具有</w:t>
      </w:r>
      <w:r>
        <w:rPr>
          <w:rFonts w:ascii="Times New Roman" w:hAnsi="Times New Roman" w:eastAsia="Times New Roman" w:cs="Times New Roman"/>
          <w:spacing w:val="-10"/>
        </w:rPr>
        <w:t>S-VIDEO</w:t>
      </w:r>
      <w:r>
        <w:rPr>
          <w:rFonts w:hint="eastAsia" w:ascii="Times New Roman" w:hAnsi="Times New Roman" w:eastAsia="宋体" w:cs="Times New Roman"/>
          <w:spacing w:val="-10"/>
          <w:lang w:eastAsia="zh-CN"/>
        </w:rPr>
        <w:t>或（和）</w:t>
      </w:r>
      <w:r>
        <w:rPr>
          <w:rFonts w:ascii="Times New Roman" w:hAnsi="Times New Roman" w:eastAsia="Times New Roman" w:cs="Times New Roman"/>
          <w:spacing w:val="-10"/>
        </w:rPr>
        <w:t>BNC</w:t>
      </w:r>
      <w:r>
        <w:rPr>
          <w:rFonts w:hint="eastAsia" w:ascii="Times New Roman" w:hAnsi="Times New Roman" w:eastAsia="宋体" w:cs="Times New Roman"/>
          <w:spacing w:val="-10"/>
          <w:lang w:eastAsia="zh-CN"/>
        </w:rPr>
        <w:t>、或（和）</w:t>
      </w:r>
      <w:r>
        <w:rPr>
          <w:rFonts w:hint="eastAsia" w:ascii="Times New Roman" w:hAnsi="Times New Roman" w:eastAsia="宋体" w:cs="Times New Roman"/>
          <w:spacing w:val="-10"/>
          <w:lang w:val="en-US" w:eastAsia="zh-CN"/>
        </w:rPr>
        <w:t>AV、或（和）HDMI、或（和）DVI、或（和） VGA等多种</w:t>
      </w:r>
      <w:r>
        <w:rPr>
          <w:spacing w:val="-10"/>
        </w:rPr>
        <w:t>视频输出接口</w:t>
      </w:r>
      <w:r>
        <w:rPr>
          <w:rFonts w:hint="eastAsia"/>
          <w:spacing w:val="-10"/>
          <w:lang w:val="en-US" w:eastAsia="zh-CN"/>
        </w:rPr>
        <w:t>/格式</w:t>
      </w:r>
      <w:r>
        <w:rPr>
          <w:spacing w:val="-10"/>
        </w:rPr>
        <w:t>，</w:t>
      </w:r>
      <w:r>
        <w:rPr>
          <w:rFonts w:hint="eastAsia"/>
          <w:spacing w:val="-10"/>
          <w:lang w:eastAsia="zh-CN"/>
        </w:rPr>
        <w:t>可</w:t>
      </w:r>
      <w:r>
        <w:rPr>
          <w:spacing w:val="-10"/>
        </w:rPr>
        <w:t>连接</w:t>
      </w:r>
      <w:r>
        <w:rPr>
          <w:rFonts w:hint="eastAsia"/>
          <w:spacing w:val="-10"/>
          <w:lang w:eastAsia="zh-CN"/>
        </w:rPr>
        <w:t>本院现有多种型号</w:t>
      </w:r>
      <w:r>
        <w:rPr>
          <w:spacing w:val="-10"/>
        </w:rPr>
        <w:t>监视器</w:t>
      </w:r>
      <w:r>
        <w:rPr>
          <w:rFonts w:hint="eastAsia"/>
          <w:spacing w:val="-10"/>
          <w:lang w:eastAsia="zh-CN"/>
        </w:rPr>
        <w:t>使用。</w:t>
      </w:r>
    </w:p>
    <w:p>
      <w:pPr>
        <w:pStyle w:val="9"/>
        <w:spacing w:before="136" w:line="221" w:lineRule="auto"/>
        <w:rPr>
          <w:rFonts w:hint="eastAsia"/>
          <w:spacing w:val="-7"/>
          <w:lang w:eastAsia="zh-CN"/>
        </w:rPr>
      </w:pPr>
      <w:r>
        <w:rPr>
          <w:spacing w:val="-7"/>
        </w:rPr>
        <w:t xml:space="preserve">5 </w:t>
      </w:r>
      <w:r>
        <w:rPr>
          <w:rFonts w:hint="eastAsia"/>
          <w:spacing w:val="-7"/>
          <w:lang w:eastAsia="zh-CN"/>
        </w:rPr>
        <w:t>内置冷光源，无需外接冷光源系统。</w:t>
      </w:r>
    </w:p>
    <w:p>
      <w:pPr>
        <w:rPr>
          <w:rFonts w:hint="default"/>
          <w:lang w:val="en-US" w:eastAsia="zh-CN"/>
        </w:rPr>
      </w:pPr>
      <w:r>
        <w:rPr>
          <w:rFonts w:hint="eastAsia"/>
          <w:spacing w:val="-7"/>
          <w:lang w:val="en-US" w:eastAsia="zh-CN"/>
        </w:rPr>
        <w:t>6 具备手动或自动白平衡功能。</w:t>
      </w:r>
    </w:p>
    <w:p>
      <w:pPr>
        <w:pStyle w:val="20"/>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1.合同履行期限及地点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合同履行期限：经甲乙双方法定代表人（或授权代表）签字并加盖公章（或合同专用章）之日起生效，完成日期：质保期结束之日。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 合同履行地点：四川省妇幼保健院。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1.3交货期限：合同签订生效后，收到采购人通知后30日内完成安装调试并交付采购人验收。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2.付款方法和条件：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采购人</w:t>
      </w:r>
      <w:r>
        <w:rPr>
          <w:rFonts w:hint="eastAsia" w:asciiTheme="minorEastAsia" w:hAnsiTheme="minorEastAsia" w:cstheme="minorEastAsia"/>
          <w:kern w:val="2"/>
          <w:sz w:val="24"/>
          <w:szCs w:val="24"/>
          <w:lang w:val="en-US" w:eastAsia="zh-CN" w:bidi="ar-SA"/>
        </w:rPr>
        <w:t>最终</w:t>
      </w:r>
      <w:r>
        <w:rPr>
          <w:rFonts w:hint="eastAsia" w:asciiTheme="minorEastAsia" w:hAnsiTheme="minorEastAsia" w:eastAsiaTheme="minorEastAsia" w:cstheme="minorEastAsia"/>
          <w:kern w:val="2"/>
          <w:sz w:val="24"/>
          <w:szCs w:val="24"/>
          <w:lang w:val="en-US" w:eastAsia="zh-CN" w:bidi="ar-SA"/>
        </w:rPr>
        <w:t>验收合格后，供应商须向采购人出具合法有效完整的完税发票及凭证资料，采购人自收到上述发票及凭证资料后60 日内支付合同总价 100%的货款给供应商。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3.安装调试及验收：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3.1中标人负责货物安装、调试。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3.2货物安装调试完毕后，中标人应对采购人操作人员进行现场培训，直至采购人的技术人员能独立操作，同时能完成一般常见故障的维修工作。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3.3完成中标产品所有安装、调试、培训后，采购人组织项目验收，验收标准按照《财政部关于进一步加强政府采购需求和履约验收管理的指导意见》（财库〔2016〕205号）、招标文件、中标人投标文件为准。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4.售后服务：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4.1质保期：最终验收合格后提供至少5年原厂质保（含整机所有部件；如质保期内部件损坏，中标人免费更换全新原厂配件，并对更换部件延长一年质保）。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4.3如质保期内货物经中标人两次维修仍不能达到国家相关质量标准，采购人有权要求中标人无条件更换全新货物或退货，并追究中标人违约责任。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4.4如货物涉及软件升级，中标人承诺为采购人提供软件升级服务，费用包含在投标总价内，采购人不再另行支付费用。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4.5中标人应承诺保证设备停产后至少5年的零配件供应。质保期内，中标人每半年提供巡检及保养≥1次，并按医院要求提供巡检及保养记录。</w:t>
      </w:r>
    </w:p>
    <w:p>
      <w:pPr>
        <w:adjustRightInd w:val="0"/>
        <w:snapToGrid w:val="0"/>
        <w:spacing w:line="360" w:lineRule="auto"/>
        <w:rPr>
          <w:rFonts w:hint="eastAsia" w:ascii="宋体" w:hAnsi="宋体" w:cs="宋体"/>
        </w:rPr>
      </w:pPr>
      <w:r>
        <w:rPr>
          <w:rFonts w:hint="eastAsia" w:ascii="宋体" w:hAnsi="宋体" w:cs="宋体"/>
          <w:bCs/>
        </w:rPr>
        <w:t>履约担保：</w:t>
      </w:r>
      <w:r>
        <w:rPr>
          <w:rFonts w:hint="eastAsia" w:ascii="宋体" w:hAnsi="宋体" w:cs="宋体"/>
        </w:rPr>
        <w:t>是否收取履约保证金：</w:t>
      </w:r>
      <w:r>
        <w:rPr>
          <w:rFonts w:hint="eastAsia" w:ascii="宋体" w:hAnsi="宋体" w:cs="宋体"/>
          <w:iCs/>
        </w:rPr>
        <w:sym w:font="Wingdings" w:char="00FE"/>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rPr>
        <w:t>收取履约保证金形式</w:t>
      </w:r>
      <w:r>
        <w:rPr>
          <w:rFonts w:hint="eastAsia" w:ascii="宋体" w:hAnsi="宋体" w:cs="宋体"/>
          <w:color w:val="000000"/>
          <w:kern w:val="0"/>
        </w:rPr>
        <w:t>：</w:t>
      </w:r>
      <w:r>
        <w:rPr>
          <w:rFonts w:hint="eastAsia" w:ascii="宋体" w:hAnsi="宋体" w:cs="宋体"/>
          <w:color w:val="000000"/>
          <w:kern w:val="0"/>
          <w:lang w:val="en-US" w:eastAsia="zh-CN"/>
        </w:rPr>
        <w:t>（1）交款方式：以银行转账支票、汇票、本票或者金融机构、担保机构出具的保函等非现金形式向采购人交纳</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（2）交款时间：投标人在收到采购人通知后7日内、设备安装前；</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（3）收款单位：采购人指定；</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（4）开户银行：采购人指定；</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（5）账号：采购人指定；</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（6）退还时间：设备自最终验收合格之日满 2 年，采购人接到投标人付款申请后 30 个工作日内，采购人一次性无息退还投标人的履约保证金，若履约保证金缴纳方式为保函，则按照保函相关流程退回。</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（7）履约保证金不予退还情形：</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1）中标供应商不履行与采购人订立的合同的，给采购人造成的损失超过履约保证金数额的，还应当对超过部分予以赔偿；</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2）项目验收结果不合格的；</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3）其他违反国家相关法律法规的情形；</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（8）若投标人接到支付履约保证金通知未在7个工作日内缴纳履约保证金，采购人有权解除合同。</w:t>
      </w:r>
    </w:p>
    <w:p>
      <w:pPr>
        <w:pStyle w:val="2"/>
        <w:ind w:left="0" w:leftChars="0" w:firstLine="0" w:firstLineChars="0"/>
        <w:rPr>
          <w:rFonts w:hint="eastAsia" w:ascii="宋体" w:hAnsi="宋体" w:cs="宋体"/>
          <w:color w:val="000000"/>
          <w:kern w:val="0"/>
        </w:rPr>
      </w:pPr>
      <w:r>
        <w:rPr>
          <w:rFonts w:hint="eastAsia" w:ascii="宋体" w:hAnsi="宋体" w:cs="宋体"/>
          <w:color w:val="000000"/>
          <w:kern w:val="0"/>
          <w:lang w:val="en-US" w:eastAsia="zh-CN"/>
        </w:rPr>
        <w:t>注：以保函形式交纳履约保证金的，保函受益人为采购人。由中标供应商基本账户所在银行或其他经相应主管部门批准可以开展保函业务的金融或担保机构出具的保函</w:t>
      </w:r>
      <w:r>
        <w:rPr>
          <w:rFonts w:hint="eastAsia" w:ascii="宋体" w:hAnsi="宋体" w:cs="宋体"/>
          <w:color w:val="000000"/>
          <w:kern w:val="0"/>
        </w:rPr>
        <w:t xml:space="preserve">。 </w:t>
      </w:r>
    </w:p>
    <w:p>
      <w:pPr>
        <w:numPr>
          <w:ilvl w:val="0"/>
          <w:numId w:val="3"/>
        </w:numPr>
        <w:spacing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设备配套耗材报价说明：</w:t>
      </w:r>
    </w:p>
    <w:p>
      <w:pPr>
        <w:numPr>
          <w:ilvl w:val="0"/>
          <w:numId w:val="0"/>
        </w:numPr>
        <w:spacing w:line="240" w:lineRule="auto"/>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设备配套耗材报价单填写说明：</w:t>
      </w:r>
    </w:p>
    <w:p>
      <w:pPr>
        <w:numPr>
          <w:ilvl w:val="0"/>
          <w:numId w:val="4"/>
        </w:numPr>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在保障设备正常运行的基础上，提供设备所涉及的配套耗材明细及价格。</w:t>
      </w:r>
    </w:p>
    <w:p>
      <w:pPr>
        <w:numPr>
          <w:numId w:val="0"/>
        </w:numPr>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2.配套耗材有多种规格型号且涉及不同报价，投标人应全部报价（可自行增减表格行数），配套耗材总价=耗材单价或平均单价×预估年度用量。</w:t>
      </w:r>
    </w:p>
    <w:p>
      <w:pPr>
        <w:pageBreakBefore w:val="0"/>
        <w:widowControl/>
        <w:numPr>
          <w:ilvl w:val="0"/>
          <w:numId w:val="0"/>
        </w:numPr>
        <w:shd w:val="clear" w:color="auto" w:fill="auto"/>
        <w:kinsoku/>
        <w:wordWrap/>
        <w:overflowPunct/>
        <w:topLinePunct w:val="0"/>
        <w:autoSpaceDE/>
        <w:autoSpaceDN/>
        <w:bidi w:val="0"/>
        <w:adjustRightInd/>
        <w:snapToGrid/>
        <w:spacing w:after="0" w:line="240" w:lineRule="auto"/>
        <w:jc w:val="left"/>
        <w:textAlignment w:val="auto"/>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3.配套耗材报价金额仅做为后期保障评审依据以及供采购人后续耗材采购参考，不纳入设备价格评审。</w:t>
      </w:r>
    </w:p>
    <w:p>
      <w:pPr>
        <w:pStyle w:val="10"/>
        <w:ind w:left="0" w:leftChars="0" w:firstLine="0" w:firstLineChars="0"/>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4.投标人需承诺后期该设备配套耗材投标报价不高于本次报价，否则按无效投标处理。</w:t>
      </w:r>
    </w:p>
    <w:p>
      <w:pPr>
        <w:pageBreakBefore w:val="0"/>
        <w:kinsoku/>
        <w:wordWrap/>
        <w:overflowPunct/>
        <w:topLinePunct w:val="0"/>
        <w:autoSpaceDE/>
        <w:autoSpaceDN/>
        <w:bidi w:val="0"/>
        <w:adjustRightInd w:val="0"/>
        <w:snapToGrid w:val="0"/>
        <w:spacing w:after="0" w:line="240" w:lineRule="auto"/>
        <w:jc w:val="center"/>
        <w:textAlignment w:val="auto"/>
        <w:outlineLvl w:val="0"/>
        <w:rPr>
          <w:rFonts w:hint="eastAsia"/>
          <w:b/>
          <w:bCs/>
          <w:color w:val="auto"/>
          <w:sz w:val="24"/>
          <w:szCs w:val="24"/>
          <w:highlight w:val="none"/>
        </w:rPr>
      </w:pPr>
      <w:r>
        <w:rPr>
          <w:rFonts w:hint="eastAsia"/>
          <w:b/>
          <w:bCs/>
          <w:color w:val="auto"/>
          <w:sz w:val="24"/>
          <w:szCs w:val="24"/>
          <w:highlight w:val="none"/>
          <w:lang w:val="en-US" w:eastAsia="zh-CN"/>
        </w:rPr>
        <w:t>设备</w:t>
      </w:r>
      <w:r>
        <w:rPr>
          <w:rFonts w:hint="eastAsia"/>
          <w:b/>
          <w:bCs/>
          <w:color w:val="auto"/>
          <w:sz w:val="24"/>
          <w:szCs w:val="24"/>
          <w:highlight w:val="none"/>
        </w:rPr>
        <w:t>配套</w:t>
      </w:r>
      <w:r>
        <w:rPr>
          <w:rFonts w:hint="eastAsia"/>
          <w:b/>
          <w:bCs/>
          <w:color w:val="auto"/>
          <w:sz w:val="24"/>
          <w:szCs w:val="24"/>
          <w:highlight w:val="none"/>
          <w:lang w:val="en-US" w:eastAsia="zh-CN"/>
        </w:rPr>
        <w:t>耗材</w:t>
      </w:r>
      <w:r>
        <w:rPr>
          <w:rFonts w:hint="eastAsia"/>
          <w:b/>
          <w:bCs/>
          <w:color w:val="auto"/>
          <w:sz w:val="24"/>
          <w:szCs w:val="24"/>
          <w:highlight w:val="none"/>
        </w:rPr>
        <w:t>报价单</w:t>
      </w:r>
    </w:p>
    <w:tbl>
      <w:tblPr>
        <w:tblStyle w:val="1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02"/>
        <w:gridCol w:w="793"/>
        <w:gridCol w:w="765"/>
        <w:gridCol w:w="780"/>
        <w:gridCol w:w="705"/>
        <w:gridCol w:w="840"/>
        <w:gridCol w:w="945"/>
        <w:gridCol w:w="523"/>
        <w:gridCol w:w="1382"/>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0"/>
            <w:vAlign w:val="center"/>
          </w:tcPr>
          <w:p>
            <w:pPr>
              <w:spacing w:line="240" w:lineRule="auto"/>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序号</w:t>
            </w:r>
          </w:p>
        </w:tc>
        <w:tc>
          <w:tcPr>
            <w:tcW w:w="1202" w:type="dxa"/>
            <w:noWrap w:val="0"/>
            <w:vAlign w:val="center"/>
          </w:tcPr>
          <w:p>
            <w:pPr>
              <w:spacing w:line="240" w:lineRule="auto"/>
              <w:jc w:val="center"/>
              <w:rPr>
                <w:rFonts w:hint="default" w:ascii="宋体" w:hAnsi="宋体" w:eastAsia="宋体" w:cs="宋体"/>
                <w:b/>
                <w:bCs/>
                <w:sz w:val="24"/>
                <w:szCs w:val="24"/>
                <w:highlight w:val="none"/>
                <w:vertAlign w:val="baseline"/>
                <w:lang w:val="en-US" w:eastAsia="zh-CN"/>
              </w:rPr>
            </w:pPr>
            <w:r>
              <w:rPr>
                <w:rFonts w:hint="eastAsia"/>
                <w:b/>
                <w:bCs/>
                <w:color w:val="auto"/>
                <w:sz w:val="24"/>
                <w:szCs w:val="24"/>
                <w:highlight w:val="none"/>
                <w:lang w:val="en-US" w:eastAsia="zh-CN"/>
              </w:rPr>
              <w:t>设备</w:t>
            </w:r>
            <w:r>
              <w:rPr>
                <w:rFonts w:hint="eastAsia"/>
                <w:b/>
                <w:bCs/>
                <w:color w:val="auto"/>
                <w:sz w:val="24"/>
                <w:szCs w:val="24"/>
                <w:highlight w:val="none"/>
              </w:rPr>
              <w:t>配套</w:t>
            </w:r>
            <w:r>
              <w:rPr>
                <w:rFonts w:hint="eastAsia"/>
                <w:b/>
                <w:bCs/>
                <w:color w:val="auto"/>
                <w:sz w:val="24"/>
                <w:szCs w:val="24"/>
                <w:highlight w:val="none"/>
                <w:lang w:val="en-US" w:eastAsia="zh-CN"/>
              </w:rPr>
              <w:t>耗材</w:t>
            </w:r>
            <w:r>
              <w:rPr>
                <w:rFonts w:hint="eastAsia" w:ascii="宋体" w:hAnsi="宋体" w:cs="宋体"/>
                <w:b/>
                <w:bCs/>
                <w:sz w:val="24"/>
                <w:szCs w:val="24"/>
                <w:highlight w:val="none"/>
                <w:vertAlign w:val="baseline"/>
                <w:lang w:val="en-US" w:eastAsia="zh-CN"/>
              </w:rPr>
              <w:t>（耗材名称）</w:t>
            </w:r>
          </w:p>
        </w:tc>
        <w:tc>
          <w:tcPr>
            <w:tcW w:w="793" w:type="dxa"/>
            <w:noWrap w:val="0"/>
            <w:vAlign w:val="center"/>
          </w:tcPr>
          <w:p>
            <w:pPr>
              <w:jc w:val="center"/>
              <w:rPr>
                <w:rFonts w:hint="default" w:ascii="宋体" w:hAnsi="宋体" w:eastAsia="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耗材注册证名称</w:t>
            </w:r>
          </w:p>
        </w:tc>
        <w:tc>
          <w:tcPr>
            <w:tcW w:w="765" w:type="dxa"/>
            <w:noWrap w:val="0"/>
            <w:vAlign w:val="center"/>
          </w:tcPr>
          <w:p>
            <w:pPr>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生产厂家</w:t>
            </w:r>
          </w:p>
        </w:tc>
        <w:tc>
          <w:tcPr>
            <w:tcW w:w="780" w:type="dxa"/>
            <w:noWrap w:val="0"/>
            <w:vAlign w:val="center"/>
          </w:tcPr>
          <w:p>
            <w:pPr>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规格型号（如有）</w:t>
            </w:r>
          </w:p>
        </w:tc>
        <w:tc>
          <w:tcPr>
            <w:tcW w:w="705" w:type="dxa"/>
            <w:noWrap w:val="0"/>
            <w:vAlign w:val="center"/>
          </w:tcPr>
          <w:p>
            <w:pPr>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rPr>
              <w:t>单价</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元/套</w:t>
            </w:r>
            <w:r>
              <w:rPr>
                <w:rFonts w:hint="eastAsia" w:ascii="仿宋" w:hAnsi="仿宋" w:eastAsia="仿宋" w:cs="仿宋"/>
                <w:b/>
                <w:bCs/>
                <w:color w:val="000000"/>
                <w:sz w:val="24"/>
                <w:highlight w:val="none"/>
                <w:lang w:eastAsia="zh-CN"/>
              </w:rPr>
              <w:t>）</w:t>
            </w:r>
          </w:p>
        </w:tc>
        <w:tc>
          <w:tcPr>
            <w:tcW w:w="840" w:type="dxa"/>
            <w:noWrap w:val="0"/>
            <w:vAlign w:val="center"/>
          </w:tcPr>
          <w:p>
            <w:pPr>
              <w:spacing w:line="240" w:lineRule="auto"/>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平均单价</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元/套</w:t>
            </w:r>
            <w:r>
              <w:rPr>
                <w:rFonts w:hint="eastAsia" w:ascii="仿宋" w:hAnsi="仿宋" w:eastAsia="仿宋" w:cs="仿宋"/>
                <w:b/>
                <w:bCs/>
                <w:color w:val="000000"/>
                <w:sz w:val="24"/>
                <w:highlight w:val="none"/>
                <w:lang w:eastAsia="zh-CN"/>
              </w:rPr>
              <w:t>）</w:t>
            </w:r>
          </w:p>
        </w:tc>
        <w:tc>
          <w:tcPr>
            <w:tcW w:w="945" w:type="dxa"/>
            <w:noWrap w:val="0"/>
            <w:vAlign w:val="center"/>
          </w:tcPr>
          <w:p>
            <w:pPr>
              <w:jc w:val="center"/>
              <w:rPr>
                <w:rFonts w:hint="default"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rPr>
              <w:t>预估年度用量</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套</w:t>
            </w:r>
            <w:r>
              <w:rPr>
                <w:rFonts w:hint="eastAsia" w:ascii="仿宋" w:hAnsi="仿宋" w:eastAsia="仿宋" w:cs="仿宋"/>
                <w:b/>
                <w:bCs/>
                <w:color w:val="000000"/>
                <w:sz w:val="24"/>
                <w:highlight w:val="none"/>
                <w:lang w:eastAsia="zh-CN"/>
              </w:rPr>
              <w:t>）</w:t>
            </w:r>
          </w:p>
        </w:tc>
        <w:tc>
          <w:tcPr>
            <w:tcW w:w="523" w:type="dxa"/>
            <w:noWrap w:val="0"/>
            <w:vAlign w:val="center"/>
          </w:tcPr>
          <w:p>
            <w:pPr>
              <w:jc w:val="center"/>
              <w:rPr>
                <w:rFonts w:hint="default" w:ascii="宋体" w:hAnsi="宋体" w:cs="宋体"/>
                <w:b/>
                <w:bCs/>
                <w:sz w:val="24"/>
                <w:szCs w:val="24"/>
                <w:highlight w:val="none"/>
                <w:vertAlign w:val="baseline"/>
                <w:lang w:val="en-US" w:eastAsia="zh-CN"/>
              </w:rPr>
            </w:pPr>
            <w:r>
              <w:rPr>
                <w:rFonts w:hint="eastAsia" w:ascii="仿宋" w:hAnsi="仿宋" w:eastAsia="仿宋" w:cs="仿宋"/>
                <w:b/>
                <w:bCs/>
                <w:color w:val="000000"/>
                <w:sz w:val="24"/>
              </w:rPr>
              <w:t>总价</w:t>
            </w:r>
            <w:r>
              <w:rPr>
                <w:rFonts w:hint="eastAsia" w:ascii="仿宋" w:hAnsi="仿宋" w:eastAsia="仿宋" w:cs="仿宋"/>
                <w:b/>
                <w:bCs/>
                <w:color w:val="000000"/>
                <w:sz w:val="24"/>
                <w:lang w:eastAsia="zh-CN"/>
              </w:rPr>
              <w:t>（</w:t>
            </w:r>
            <w:r>
              <w:rPr>
                <w:rFonts w:hint="eastAsia" w:ascii="仿宋" w:hAnsi="仿宋" w:eastAsia="仿宋" w:cs="仿宋"/>
                <w:b/>
                <w:bCs/>
                <w:color w:val="000000"/>
                <w:sz w:val="24"/>
                <w:lang w:val="en-US" w:eastAsia="zh-CN"/>
              </w:rPr>
              <w:t>元</w:t>
            </w:r>
            <w:r>
              <w:rPr>
                <w:rFonts w:hint="eastAsia" w:ascii="仿宋" w:hAnsi="仿宋" w:eastAsia="仿宋" w:cs="仿宋"/>
                <w:b/>
                <w:bCs/>
                <w:color w:val="000000"/>
                <w:sz w:val="24"/>
                <w:lang w:eastAsia="zh-CN"/>
              </w:rPr>
              <w:t>）</w:t>
            </w:r>
          </w:p>
        </w:tc>
        <w:tc>
          <w:tcPr>
            <w:tcW w:w="1382" w:type="dxa"/>
            <w:noWrap w:val="0"/>
            <w:vAlign w:val="center"/>
          </w:tcPr>
          <w:p>
            <w:pPr>
              <w:spacing w:line="240" w:lineRule="auto"/>
              <w:jc w:val="center"/>
              <w:rPr>
                <w:rFonts w:hint="default" w:ascii="宋体" w:hAnsi="宋体" w:eastAsia="宋体" w:cs="宋体"/>
                <w:b/>
                <w:bCs/>
                <w:kern w:val="2"/>
                <w:sz w:val="24"/>
                <w:szCs w:val="24"/>
                <w:highlight w:val="none"/>
                <w:vertAlign w:val="baseline"/>
                <w:lang w:val="en-US" w:eastAsia="zh-CN" w:bidi="ar-SA"/>
              </w:rPr>
            </w:pPr>
            <w:r>
              <w:rPr>
                <w:rFonts w:hint="eastAsia" w:ascii="仿宋" w:hAnsi="仿宋" w:eastAsia="仿宋" w:cs="仿宋"/>
                <w:b/>
                <w:bCs/>
                <w:color w:val="000000"/>
                <w:sz w:val="24"/>
                <w:lang w:val="en-US" w:eastAsia="zh-CN"/>
              </w:rPr>
              <w:t>四川省药械集中采购及医药价格监管平台耗材商品代码/流水号(如有)</w:t>
            </w:r>
          </w:p>
        </w:tc>
        <w:tc>
          <w:tcPr>
            <w:tcW w:w="431" w:type="dxa"/>
            <w:noWrap w:val="0"/>
            <w:vAlign w:val="center"/>
          </w:tcPr>
          <w:p>
            <w:pPr>
              <w:spacing w:line="240" w:lineRule="auto"/>
              <w:jc w:val="center"/>
              <w:rPr>
                <w:rFonts w:hint="eastAsia" w:ascii="宋体" w:hAnsi="宋体" w:eastAsia="宋体" w:cs="宋体"/>
                <w:b/>
                <w:bCs/>
                <w:kern w:val="2"/>
                <w:sz w:val="24"/>
                <w:szCs w:val="24"/>
                <w:highlight w:val="none"/>
                <w:vertAlign w:val="baseline"/>
                <w:lang w:val="en-US" w:eastAsia="zh-CN" w:bidi="ar-SA"/>
              </w:rPr>
            </w:pPr>
            <w:r>
              <w:rPr>
                <w:rFonts w:hint="eastAsia" w:ascii="宋体" w:hAnsi="宋体" w:cs="宋体"/>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0"/>
            <w:vAlign w:val="center"/>
          </w:tcPr>
          <w:p>
            <w:pPr>
              <w:spacing w:line="24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202"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spacing w:val="-4"/>
                <w:lang w:val="en-US" w:eastAsia="zh-CN"/>
              </w:rPr>
              <w:t>一</w:t>
            </w:r>
            <w:r>
              <w:rPr>
                <w:spacing w:val="-4"/>
              </w:rPr>
              <w:t>次性使用电子输尿管肾盂内窥镜导管</w:t>
            </w:r>
          </w:p>
        </w:tc>
        <w:tc>
          <w:tcPr>
            <w:tcW w:w="793" w:type="dxa"/>
            <w:noWrap w:val="0"/>
            <w:vAlign w:val="center"/>
          </w:tcPr>
          <w:p>
            <w:pPr>
              <w:spacing w:line="240" w:lineRule="auto"/>
              <w:jc w:val="center"/>
              <w:rPr>
                <w:rFonts w:hint="default" w:ascii="宋体" w:hAnsi="宋体" w:eastAsia="宋体" w:cs="宋体"/>
                <w:sz w:val="24"/>
                <w:szCs w:val="24"/>
                <w:highlight w:val="none"/>
                <w:vertAlign w:val="baseline"/>
                <w:lang w:val="en-US" w:eastAsia="zh-CN"/>
              </w:rPr>
            </w:pPr>
          </w:p>
        </w:tc>
        <w:tc>
          <w:tcPr>
            <w:tcW w:w="765"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780"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705"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840"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945" w:type="dxa"/>
            <w:noWrap w:val="0"/>
            <w:vAlign w:val="center"/>
          </w:tcPr>
          <w:p>
            <w:pPr>
              <w:spacing w:line="240" w:lineRule="auto"/>
              <w:jc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10</w:t>
            </w:r>
          </w:p>
        </w:tc>
        <w:tc>
          <w:tcPr>
            <w:tcW w:w="523" w:type="dxa"/>
            <w:noWrap w:val="0"/>
            <w:vAlign w:val="center"/>
          </w:tcPr>
          <w:p>
            <w:pPr>
              <w:spacing w:line="240" w:lineRule="auto"/>
              <w:jc w:val="center"/>
              <w:rPr>
                <w:rFonts w:hint="default" w:ascii="宋体" w:hAnsi="宋体" w:eastAsia="宋体" w:cs="宋体"/>
                <w:b w:val="0"/>
                <w:bCs w:val="0"/>
                <w:sz w:val="24"/>
                <w:szCs w:val="24"/>
                <w:highlight w:val="none"/>
                <w:vertAlign w:val="baseline"/>
                <w:lang w:val="en-US" w:eastAsia="zh-CN"/>
              </w:rPr>
            </w:pPr>
          </w:p>
        </w:tc>
        <w:tc>
          <w:tcPr>
            <w:tcW w:w="1382" w:type="dxa"/>
            <w:noWrap w:val="0"/>
            <w:vAlign w:val="center"/>
          </w:tcPr>
          <w:p>
            <w:pPr>
              <w:spacing w:line="240" w:lineRule="auto"/>
              <w:jc w:val="center"/>
              <w:rPr>
                <w:rFonts w:hint="default" w:ascii="宋体" w:hAnsi="宋体" w:eastAsia="宋体" w:cs="宋体"/>
                <w:kern w:val="2"/>
                <w:sz w:val="24"/>
                <w:szCs w:val="24"/>
                <w:highlight w:val="none"/>
                <w:vertAlign w:val="baseline"/>
                <w:lang w:val="en-US" w:eastAsia="zh-CN" w:bidi="ar-SA"/>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vertAlign w:val="baseline"/>
                <w:lang w:val="en-US" w:eastAsia="zh-CN" w:bidi="ar-SA"/>
              </w:rPr>
            </w:pPr>
          </w:p>
        </w:tc>
      </w:tr>
    </w:tbl>
    <w:p>
      <w:pPr>
        <w:numPr>
          <w:ilvl w:val="0"/>
          <w:numId w:val="0"/>
        </w:numPr>
        <w:spacing w:line="240" w:lineRule="auto"/>
        <w:rPr>
          <w:rFonts w:hint="eastAsia" w:eastAsia="宋体" w:cs="宋体"/>
          <w:sz w:val="32"/>
          <w:lang w:val="en-US" w:eastAsia="zh-CN"/>
        </w:rPr>
      </w:pPr>
      <w:r>
        <w:rPr>
          <w:rFonts w:hint="eastAsia" w:eastAsia="宋体" w:cs="宋体"/>
          <w:sz w:val="32"/>
          <w:lang w:val="en-US" w:eastAsia="zh-CN"/>
        </w:rPr>
        <w:t>合计总价：XXXX元 大写：XXXX元整</w:t>
      </w:r>
    </w:p>
    <w:p>
      <w:pPr>
        <w:pStyle w:val="2"/>
        <w:ind w:left="0" w:leftChars="0" w:firstLine="0" w:firstLineChars="0"/>
        <w:rPr>
          <w:rFonts w:hint="eastAsia" w:ascii="宋体" w:hAnsi="宋体" w:cs="宋体"/>
          <w:color w:val="000000"/>
          <w:kern w:val="0"/>
          <w:lang w:val="en-US" w:eastAsia="zh-CN"/>
        </w:rPr>
      </w:pP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备注：本招标文件中“★”要</w:t>
      </w:r>
      <w:bookmarkStart w:id="0" w:name="_GoBack"/>
      <w:bookmarkEnd w:id="0"/>
      <w:r>
        <w:rPr>
          <w:rFonts w:hint="eastAsia" w:ascii="仿宋_GB2312" w:hAnsi="黑体" w:eastAsia="仿宋_GB2312" w:cs="仿宋_GB2312"/>
          <w:b/>
          <w:bCs/>
          <w:sz w:val="21"/>
          <w:szCs w:val="21"/>
          <w:highlight w:val="none"/>
          <w:vertAlign w:val="baseline"/>
          <w:lang w:val="en-US" w:eastAsia="zh-CN"/>
        </w:rPr>
        <w:t>求为实质性要求。投标人在投标文件中进行实质性响应，否则作无效投标处理。</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p>
    <w:p>
      <w:pPr>
        <w:rPr>
          <w:rFonts w:hint="eastAsia" w:ascii="宋体" w:hAnsi="宋体" w:eastAsia="宋体" w:cs="宋体"/>
          <w:b/>
          <w:bCs w:val="0"/>
          <w:i w:val="0"/>
          <w:caps w:val="0"/>
          <w:color w:val="000000"/>
          <w:spacing w:val="0"/>
          <w:sz w:val="24"/>
          <w:szCs w:val="24"/>
          <w:highlight w:val="none"/>
          <w:shd w:val="clear" w:fill="FFFFFF"/>
        </w:rPr>
      </w:pPr>
      <w:r>
        <w:rPr>
          <w:rFonts w:hint="eastAsia" w:ascii="宋体" w:hAnsi="宋体" w:eastAsia="宋体" w:cs="宋体"/>
          <w:b/>
          <w:bCs w:val="0"/>
          <w:i w:val="0"/>
          <w:caps w:val="0"/>
          <w:color w:val="000000"/>
          <w:spacing w:val="0"/>
          <w:sz w:val="24"/>
          <w:szCs w:val="24"/>
          <w:highlight w:val="none"/>
          <w:shd w:val="clear" w:fill="FFFFFF"/>
          <w:lang w:val="en-US" w:eastAsia="zh-CN"/>
        </w:rPr>
        <w:t>附件2：</w:t>
      </w:r>
    </w:p>
    <w:p>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序号</w:t>
            </w:r>
          </w:p>
        </w:tc>
        <w:tc>
          <w:tcPr>
            <w:tcW w:w="1383"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评分因素</w:t>
            </w:r>
          </w:p>
        </w:tc>
        <w:tc>
          <w:tcPr>
            <w:tcW w:w="8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分值</w:t>
            </w:r>
          </w:p>
        </w:tc>
        <w:tc>
          <w:tcPr>
            <w:tcW w:w="41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评分标准</w:t>
            </w:r>
          </w:p>
        </w:tc>
        <w:tc>
          <w:tcPr>
            <w:tcW w:w="1322"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报价</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30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rPr>
              <w:t>满足招标文件要求且以投标价最低的为评标基准价</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其价格分为</w:t>
            </w:r>
            <w:r>
              <w:rPr>
                <w:rFonts w:hint="eastAsia" w:ascii="仿宋_GB2312" w:hAnsi="仿宋_GB2312" w:eastAsia="仿宋_GB2312" w:cs="仿宋_GB2312"/>
                <w:bCs/>
                <w:sz w:val="21"/>
                <w:szCs w:val="21"/>
                <w:lang w:val="en-US" w:eastAsia="zh-CN"/>
              </w:rPr>
              <w:t>30</w:t>
            </w:r>
            <w:r>
              <w:rPr>
                <w:rFonts w:hint="eastAsia" w:ascii="仿宋_GB2312" w:hAnsi="仿宋_GB2312" w:eastAsia="仿宋_GB2312" w:cs="仿宋_GB2312"/>
                <w:bCs/>
                <w:sz w:val="21"/>
                <w:szCs w:val="21"/>
              </w:rPr>
              <w:t>分。其他参选机构的价格分统一按照以下公式计算：价格分</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(评标基准价／投标报价)×</w:t>
            </w:r>
            <w:r>
              <w:rPr>
                <w:rFonts w:hint="eastAsia" w:ascii="仿宋_GB2312" w:hAnsi="仿宋_GB2312" w:eastAsia="仿宋_GB2312" w:cs="仿宋_GB2312"/>
                <w:bCs/>
                <w:sz w:val="21"/>
                <w:szCs w:val="21"/>
                <w:lang w:val="en-US" w:eastAsia="zh-CN"/>
              </w:rPr>
              <w:t>30</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83" w:type="dxa"/>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Segoe UI"/>
                <w:color w:val="000000"/>
                <w:kern w:val="0"/>
                <w:lang w:val="en-US" w:eastAsia="zh-CN"/>
              </w:rPr>
              <w:t>30</w:t>
            </w:r>
            <w:r>
              <w:rPr>
                <w:rFonts w:hint="eastAsia" w:ascii="宋体" w:hAnsi="宋体" w:cs="Segoe UI"/>
                <w:color w:val="000000"/>
                <w:kern w:val="0"/>
              </w:rPr>
              <w:t>%</w:t>
            </w:r>
          </w:p>
        </w:tc>
        <w:tc>
          <w:tcPr>
            <w:tcW w:w="850" w:type="dxa"/>
            <w:noWrap w:val="0"/>
            <w:vAlign w:val="center"/>
          </w:tcPr>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Segoe UI"/>
                <w:color w:val="333333"/>
                <w:kern w:val="0"/>
                <w:lang w:val="en-US" w:eastAsia="zh-CN"/>
              </w:rPr>
              <w:t>30</w:t>
            </w:r>
          </w:p>
        </w:tc>
        <w:tc>
          <w:tcPr>
            <w:tcW w:w="4150" w:type="dxa"/>
            <w:noWrap w:val="0"/>
            <w:vAlign w:val="center"/>
          </w:tcPr>
          <w:p>
            <w:pPr>
              <w:widowControl/>
              <w:spacing w:line="360" w:lineRule="exact"/>
              <w:rPr>
                <w:rFonts w:hint="eastAsia" w:ascii="宋体" w:hAnsi="宋体" w:eastAsia="宋体" w:cs="宋体"/>
              </w:rPr>
            </w:pPr>
            <w:r>
              <w:rPr>
                <w:rFonts w:hint="eastAsia" w:ascii="宋体" w:hAnsi="宋体" w:eastAsia="宋体" w:cs="宋体"/>
              </w:rPr>
              <w:t>完全符合招标文件技术参数要求得</w:t>
            </w:r>
            <w:r>
              <w:rPr>
                <w:rFonts w:hint="eastAsia" w:ascii="宋体" w:hAnsi="宋体" w:eastAsia="宋体" w:cs="宋体"/>
                <w:lang w:val="en-US" w:eastAsia="zh-CN"/>
              </w:rPr>
              <w:t>30</w:t>
            </w:r>
            <w:r>
              <w:rPr>
                <w:rFonts w:hint="eastAsia" w:ascii="宋体" w:hAnsi="宋体" w:eastAsia="宋体" w:cs="宋体"/>
              </w:rPr>
              <w:t>分。</w:t>
            </w:r>
          </w:p>
          <w:p>
            <w:pPr>
              <w:widowControl/>
              <w:spacing w:line="3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10</w:t>
            </w:r>
            <w:r>
              <w:rPr>
                <w:rFonts w:hint="eastAsia" w:ascii="宋体" w:hAnsi="宋体" w:eastAsia="宋体" w:cs="宋体"/>
              </w:rPr>
              <w:t xml:space="preserve">分。 </w:t>
            </w:r>
          </w:p>
          <w:p>
            <w:pPr>
              <w:widowControl/>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20</w:t>
            </w:r>
            <w:r>
              <w:rPr>
                <w:rFonts w:hint="eastAsia" w:ascii="宋体" w:hAnsi="宋体" w:eastAsia="宋体" w:cs="宋体"/>
              </w:rPr>
              <w:t>分。</w:t>
            </w:r>
          </w:p>
          <w:p>
            <w:pPr>
              <w:widowControl/>
              <w:spacing w:line="360" w:lineRule="exact"/>
              <w:rPr>
                <w:rFonts w:hint="eastAsia" w:ascii="仿宋" w:hAnsi="仿宋" w:eastAsia="仿宋" w:cs="宋体"/>
                <w:kern w:val="0"/>
                <w:sz w:val="24"/>
                <w:szCs w:val="22"/>
                <w:lang w:val="en-US" w:eastAsia="zh-CN"/>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说明书或向社会公开的彩页资料或国家认可的合法的检测机构出具的检测报告证明材料</w:t>
            </w:r>
            <w:r>
              <w:rPr>
                <w:rFonts w:hint="eastAsia" w:ascii="宋体" w:hAnsi="宋体" w:eastAsia="宋体" w:cs="宋体"/>
                <w:lang w:eastAsia="zh-CN"/>
              </w:rPr>
              <w:t>、</w:t>
            </w:r>
            <w:r>
              <w:rPr>
                <w:rFonts w:hint="eastAsia" w:ascii="宋体" w:hAnsi="宋体" w:eastAsia="宋体" w:cs="宋体"/>
                <w:lang w:val="en-US" w:eastAsia="zh-CN"/>
              </w:rPr>
              <w:t>注册证等</w:t>
            </w:r>
            <w:r>
              <w:rPr>
                <w:rFonts w:hint="eastAsia" w:ascii="宋体" w:hAnsi="宋体" w:eastAsia="宋体" w:cs="宋体"/>
              </w:rPr>
              <w:t xml:space="preserve">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83" w:type="dxa"/>
            <w:noWrap w:val="0"/>
            <w:vAlign w:val="center"/>
          </w:tcPr>
          <w:p>
            <w:pPr>
              <w:widowControl/>
              <w:spacing w:line="360" w:lineRule="exact"/>
              <w:jc w:val="center"/>
              <w:rPr>
                <w:rFonts w:hint="eastAsia" w:ascii="宋体" w:hAnsi="宋体" w:cs="宋体"/>
              </w:rPr>
            </w:pPr>
            <w:r>
              <w:rPr>
                <w:rFonts w:hint="eastAsia" w:ascii="宋体" w:hAnsi="宋体" w:cs="宋体"/>
              </w:rPr>
              <w:t>业绩</w:t>
            </w:r>
          </w:p>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宋体"/>
                <w:lang w:val="en-US" w:eastAsia="zh-CN"/>
              </w:rPr>
              <w:t>2</w:t>
            </w:r>
            <w:r>
              <w:rPr>
                <w:rFonts w:hint="eastAsia" w:ascii="宋体" w:hAnsi="宋体" w:cs="宋体"/>
              </w:rPr>
              <w:t>%</w:t>
            </w:r>
          </w:p>
        </w:tc>
        <w:tc>
          <w:tcPr>
            <w:tcW w:w="850" w:type="dxa"/>
            <w:noWrap w:val="0"/>
            <w:vAlign w:val="center"/>
          </w:tcPr>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宋体"/>
                <w:lang w:val="en-US" w:eastAsia="zh-CN"/>
              </w:rPr>
              <w:t>2</w:t>
            </w:r>
          </w:p>
        </w:tc>
        <w:tc>
          <w:tcPr>
            <w:tcW w:w="4150" w:type="dxa"/>
            <w:noWrap w:val="0"/>
            <w:vAlign w:val="center"/>
          </w:tcPr>
          <w:p>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自2022年1月1日（含）至今，以合同签订时间为准，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每具有一个所投产品业绩的得1分，最高得2分。 </w:t>
            </w:r>
          </w:p>
          <w:p>
            <w:pPr>
              <w:pStyle w:val="8"/>
              <w:rPr>
                <w:rFonts w:hint="eastAsia" w:ascii="仿宋" w:hAnsi="仿宋" w:eastAsia="仿宋" w:cs="宋体"/>
                <w:kern w:val="0"/>
                <w:sz w:val="24"/>
                <w:szCs w:val="22"/>
                <w:lang w:val="en-US" w:eastAsia="zh-CN"/>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83" w:type="dxa"/>
            <w:noWrap w:val="0"/>
            <w:vAlign w:val="center"/>
          </w:tcPr>
          <w:p>
            <w:pPr>
              <w:widowControl/>
              <w:spacing w:line="360" w:lineRule="exact"/>
              <w:jc w:val="center"/>
              <w:rPr>
                <w:rFonts w:hint="eastAsia" w:ascii="宋体" w:hAnsi="宋体" w:cs="宋体"/>
              </w:rPr>
            </w:pPr>
            <w:r>
              <w:rPr>
                <w:rFonts w:hint="eastAsia" w:ascii="宋体" w:hAnsi="宋体" w:cs="宋体"/>
              </w:rPr>
              <w:t>售后服务方案</w:t>
            </w:r>
          </w:p>
          <w:p>
            <w:pPr>
              <w:widowControl/>
              <w:spacing w:line="360" w:lineRule="exact"/>
              <w:jc w:val="center"/>
              <w:rPr>
                <w:rFonts w:hint="eastAsia" w:ascii="仿宋_GB2312" w:hAnsi="仿宋_GB2312" w:eastAsia="仿宋_GB2312" w:cs="仿宋_GB2312"/>
                <w:sz w:val="21"/>
                <w:szCs w:val="21"/>
                <w:lang w:val="en-US" w:eastAsia="zh-CN"/>
              </w:rPr>
            </w:pPr>
            <w:r>
              <w:rPr>
                <w:rFonts w:hint="eastAsia" w:ascii="宋体" w:hAnsi="宋体" w:cs="宋体"/>
              </w:rPr>
              <w:t>8%</w:t>
            </w:r>
          </w:p>
        </w:tc>
        <w:tc>
          <w:tcPr>
            <w:tcW w:w="850" w:type="dxa"/>
            <w:noWrap w:val="0"/>
            <w:vAlign w:val="center"/>
          </w:tcPr>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宋体"/>
              </w:rPr>
              <w:t>8</w:t>
            </w:r>
          </w:p>
        </w:tc>
        <w:tc>
          <w:tcPr>
            <w:tcW w:w="4150" w:type="dxa"/>
            <w:noWrap w:val="0"/>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widowControl/>
              <w:spacing w:line="360" w:lineRule="exact"/>
              <w:rPr>
                <w:rFonts w:hint="eastAsia" w:ascii="仿宋" w:hAnsi="仿宋" w:eastAsia="仿宋" w:cs="宋体"/>
                <w:kern w:val="0"/>
                <w:sz w:val="24"/>
                <w:szCs w:val="22"/>
                <w:lang w:val="en-US" w:eastAsia="zh-CN"/>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p>
        </w:tc>
        <w:tc>
          <w:tcPr>
            <w:tcW w:w="1383" w:type="dxa"/>
            <w:noWrap w:val="0"/>
            <w:vAlign w:val="center"/>
          </w:tcPr>
          <w:p>
            <w:pPr>
              <w:widowControl/>
              <w:spacing w:line="360" w:lineRule="exact"/>
              <w:jc w:val="center"/>
              <w:rPr>
                <w:rFonts w:hint="eastAsia" w:ascii="宋体" w:hAnsi="宋体" w:cs="宋体"/>
              </w:rPr>
            </w:pPr>
            <w:r>
              <w:rPr>
                <w:rFonts w:hint="eastAsia" w:ascii="宋体" w:hAnsi="宋体" w:eastAsia="宋体" w:cs="宋体"/>
                <w:color w:val="0000FF"/>
                <w:kern w:val="0"/>
                <w:szCs w:val="21"/>
                <w:lang w:val="zh-CN" w:bidi="ar"/>
              </w:rPr>
              <w:t>后期保障（配套耗材</w:t>
            </w:r>
            <w:r>
              <w:rPr>
                <w:rFonts w:hint="eastAsia" w:ascii="宋体" w:hAnsi="宋体" w:eastAsia="宋体" w:cs="宋体"/>
                <w:color w:val="0000FF"/>
                <w:kern w:val="0"/>
                <w:szCs w:val="21"/>
                <w:lang w:val="en-US" w:eastAsia="zh-CN" w:bidi="ar"/>
              </w:rPr>
              <w:t>报价</w:t>
            </w:r>
            <w:r>
              <w:rPr>
                <w:rFonts w:hint="eastAsia" w:ascii="宋体" w:hAnsi="宋体" w:eastAsia="宋体" w:cs="宋体"/>
                <w:color w:val="0000FF"/>
                <w:kern w:val="0"/>
                <w:szCs w:val="21"/>
                <w:lang w:val="zh-CN" w:bidi="ar"/>
              </w:rPr>
              <w:t>得分）</w:t>
            </w:r>
            <w:r>
              <w:rPr>
                <w:rFonts w:hint="eastAsia" w:ascii="宋体" w:hAnsi="宋体" w:eastAsia="宋体" w:cs="宋体"/>
                <w:color w:val="0000FF"/>
                <w:kern w:val="0"/>
                <w:szCs w:val="21"/>
                <w:lang w:val="en-US" w:eastAsia="zh-CN" w:bidi="ar"/>
              </w:rPr>
              <w:t>30%</w:t>
            </w:r>
          </w:p>
        </w:tc>
        <w:tc>
          <w:tcPr>
            <w:tcW w:w="850" w:type="dxa"/>
            <w:noWrap w:val="0"/>
            <w:vAlign w:val="center"/>
          </w:tcPr>
          <w:p>
            <w:pPr>
              <w:widowControl/>
              <w:spacing w:line="360" w:lineRule="exact"/>
              <w:jc w:val="center"/>
              <w:rPr>
                <w:rFonts w:hint="default" w:ascii="宋体" w:hAnsi="宋体" w:cs="宋体" w:eastAsiaTheme="minorEastAsia"/>
                <w:lang w:val="en-US" w:eastAsia="zh-CN"/>
              </w:rPr>
            </w:pPr>
            <w:r>
              <w:rPr>
                <w:rFonts w:hint="eastAsia" w:ascii="宋体" w:hAnsi="宋体" w:cs="宋体"/>
                <w:lang w:val="en-US" w:eastAsia="zh-CN"/>
              </w:rPr>
              <w:t>30</w:t>
            </w:r>
          </w:p>
        </w:tc>
        <w:tc>
          <w:tcPr>
            <w:tcW w:w="4150" w:type="dxa"/>
            <w:noWrap w:val="0"/>
            <w:vAlign w:val="center"/>
          </w:tcPr>
          <w:p>
            <w:pPr>
              <w:widowControl/>
              <w:spacing w:line="360" w:lineRule="exact"/>
              <w:rPr>
                <w:rFonts w:hint="eastAsia" w:ascii="宋体" w:hAnsi="宋体" w:eastAsia="宋体" w:cs="宋体"/>
                <w:color w:val="0000FF"/>
                <w:kern w:val="0"/>
                <w:szCs w:val="21"/>
                <w:lang w:val="zh-CN" w:bidi="ar"/>
              </w:rPr>
            </w:pPr>
            <w:r>
              <w:rPr>
                <w:rFonts w:hint="eastAsia" w:ascii="宋体" w:hAnsi="宋体" w:eastAsia="宋体" w:cs="宋体"/>
                <w:color w:val="0000FF"/>
                <w:kern w:val="0"/>
                <w:szCs w:val="21"/>
                <w:lang w:val="zh-CN" w:bidi="ar"/>
              </w:rPr>
              <w:t>在保障设备正常运行的基础上，提供配套耗材报价金额，后期保障得分=(基准价／供应商报价)×</w:t>
            </w:r>
            <w:r>
              <w:rPr>
                <w:rFonts w:hint="eastAsia" w:ascii="宋体" w:hAnsi="宋体" w:eastAsia="宋体" w:cs="宋体"/>
                <w:color w:val="0000FF"/>
                <w:kern w:val="0"/>
                <w:szCs w:val="21"/>
                <w:lang w:val="en-US" w:eastAsia="zh-CN" w:bidi="ar"/>
              </w:rPr>
              <w:t>30</w:t>
            </w:r>
            <w:r>
              <w:rPr>
                <w:rFonts w:hint="eastAsia" w:ascii="宋体" w:hAnsi="宋体" w:eastAsia="宋体" w:cs="宋体"/>
                <w:color w:val="0000FF"/>
                <w:kern w:val="0"/>
                <w:szCs w:val="21"/>
                <w:lang w:val="zh-CN" w:bidi="ar"/>
              </w:rPr>
              <w:t>（保留两位小数）。</w:t>
            </w:r>
          </w:p>
          <w:p>
            <w:pPr>
              <w:widowControl/>
              <w:spacing w:line="360" w:lineRule="exact"/>
              <w:rPr>
                <w:rFonts w:hint="eastAsia" w:ascii="宋体" w:hAnsi="宋体" w:cs="宋体"/>
              </w:rPr>
            </w:pPr>
            <w:r>
              <w:rPr>
                <w:rFonts w:hint="eastAsia" w:ascii="宋体" w:hAnsi="宋体" w:eastAsia="宋体" w:cs="宋体"/>
                <w:color w:val="0000FF"/>
                <w:kern w:val="0"/>
                <w:szCs w:val="21"/>
                <w:lang w:val="zh-CN" w:bidi="ar"/>
              </w:rPr>
              <w:t>注：耗材报价最低的为基准价。</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客观分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9"/>
        <w:numPr>
          <w:ilvl w:val="0"/>
          <w:numId w:val="0"/>
        </w:numPr>
        <w:rPr>
          <w:rFonts w:hint="default"/>
          <w:lang w:val="en-US" w:eastAsia="zh-CN"/>
        </w:rPr>
      </w:pPr>
    </w:p>
    <w:p>
      <w:pPr>
        <w:adjustRightInd w:val="0"/>
        <w:snapToGrid w:val="0"/>
        <w:spacing w:line="580" w:lineRule="exact"/>
        <w:rPr>
          <w:rFonts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3</w:t>
      </w:r>
      <w:r>
        <w:rPr>
          <w:rFonts w:hint="eastAsia" w:ascii="仿宋_GB2312" w:eastAsia="仿宋_GB2312"/>
          <w:sz w:val="28"/>
          <w:szCs w:val="32"/>
        </w:rPr>
        <w:t>：</w:t>
      </w:r>
    </w:p>
    <w:p>
      <w:pPr>
        <w:jc w:val="center"/>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1.封面（注明包号、</w:t>
      </w:r>
      <w:r>
        <w:rPr>
          <w:rFonts w:hint="eastAsia" w:ascii="宋体" w:hAnsi="宋体" w:eastAsia="宋体" w:cs="宋体"/>
          <w:spacing w:val="8"/>
          <w:kern w:val="0"/>
          <w:sz w:val="28"/>
          <w:szCs w:val="32"/>
          <w:shd w:val="clear" w:color="auto" w:fill="FFFFFF"/>
          <w:lang w:val="en-US" w:eastAsia="zh-CN"/>
        </w:rPr>
        <w:t>项目名称</w:t>
      </w:r>
      <w:r>
        <w:rPr>
          <w:rFonts w:hint="eastAsia" w:ascii="宋体" w:hAnsi="宋体" w:eastAsia="宋体" w:cs="宋体"/>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3.</w:t>
      </w:r>
      <w:r>
        <w:rPr>
          <w:rFonts w:hint="eastAsia" w:ascii="宋体" w:hAnsi="宋体" w:eastAsia="宋体" w:cs="宋体"/>
          <w:spacing w:val="8"/>
          <w:kern w:val="0"/>
          <w:sz w:val="28"/>
          <w:szCs w:val="32"/>
          <w:shd w:val="clear" w:color="auto" w:fill="FFFFFF"/>
          <w:lang w:val="en-US" w:eastAsia="zh-CN"/>
        </w:rPr>
        <w:t>资格证明文件（</w:t>
      </w:r>
      <w:r>
        <w:rPr>
          <w:rFonts w:hint="eastAsia" w:ascii="宋体" w:hAnsi="宋体" w:eastAsia="宋体" w:cs="宋体"/>
          <w:spacing w:val="8"/>
          <w:kern w:val="0"/>
          <w:sz w:val="28"/>
          <w:szCs w:val="32"/>
          <w:shd w:val="clear" w:color="auto" w:fill="FFFFFF"/>
        </w:rPr>
        <w:t>有效的营业执照（副本）复印件</w:t>
      </w:r>
      <w:r>
        <w:rPr>
          <w:rFonts w:hint="eastAsia" w:ascii="宋体" w:hAnsi="宋体" w:eastAsia="宋体" w:cs="宋体"/>
          <w:spacing w:val="8"/>
          <w:kern w:val="0"/>
          <w:sz w:val="28"/>
          <w:szCs w:val="32"/>
          <w:shd w:val="clear" w:color="auto" w:fill="FFFFFF"/>
          <w:lang w:val="en-US" w:eastAsia="zh-CN"/>
        </w:rPr>
        <w:t>）</w:t>
      </w:r>
      <w:r>
        <w:rPr>
          <w:rFonts w:hint="eastAsia" w:ascii="宋体" w:hAnsi="宋体" w:eastAsia="宋体" w:cs="宋体"/>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4.授权参加本次采购活动的供应商代表证明。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rPr>
      </w:pPr>
      <w:r>
        <w:rPr>
          <w:rFonts w:hint="eastAsia" w:ascii="宋体" w:hAnsi="宋体" w:eastAsia="宋体" w:cs="宋体"/>
          <w:spacing w:val="8"/>
          <w:kern w:val="0"/>
          <w:sz w:val="28"/>
          <w:szCs w:val="32"/>
          <w:highlight w:val="none"/>
          <w:shd w:val="clear" w:color="auto" w:fill="FFFFFF"/>
          <w:lang w:val="en-US" w:eastAsia="zh-CN"/>
        </w:rPr>
        <w:t>4.1</w:t>
      </w:r>
      <w:r>
        <w:rPr>
          <w:rFonts w:hint="eastAsia" w:ascii="宋体" w:hAnsi="宋体" w:eastAsia="宋体" w:cs="宋体"/>
          <w:spacing w:val="8"/>
          <w:kern w:val="0"/>
          <w:sz w:val="28"/>
          <w:szCs w:val="32"/>
          <w:highlight w:val="none"/>
          <w:shd w:val="clear" w:color="auto" w:fill="FFFFFF"/>
        </w:rPr>
        <w:t>供应商代表为“授权代表”时，提供授权委托书</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格式见附件5-4</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lang w:val="en-US" w:eastAsia="zh-CN"/>
        </w:rPr>
      </w:pPr>
      <w:r>
        <w:rPr>
          <w:rFonts w:hint="eastAsia" w:ascii="宋体" w:hAnsi="宋体" w:eastAsia="宋体" w:cs="宋体"/>
          <w:spacing w:val="8"/>
          <w:kern w:val="0"/>
          <w:sz w:val="28"/>
          <w:szCs w:val="32"/>
          <w:highlight w:val="none"/>
          <w:shd w:val="clear" w:color="auto" w:fill="FFFFFF"/>
          <w:lang w:val="en-US" w:eastAsia="zh-CN"/>
        </w:rPr>
        <w:t>4.2</w:t>
      </w:r>
      <w:r>
        <w:rPr>
          <w:rFonts w:hint="eastAsia" w:ascii="宋体" w:hAnsi="宋体" w:eastAsia="宋体" w:cs="宋体"/>
          <w:spacing w:val="8"/>
          <w:kern w:val="0"/>
          <w:sz w:val="28"/>
          <w:szCs w:val="32"/>
          <w:highlight w:val="none"/>
          <w:shd w:val="clear" w:color="auto" w:fill="FFFFFF"/>
        </w:rPr>
        <w:t>供应商代表为“法定代表人（单位负责人）”时，提供法定代表人（单位负责人）身份证明</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格式见附件5-5</w:t>
      </w:r>
      <w:r>
        <w:rPr>
          <w:rFonts w:hint="eastAsia" w:ascii="宋体" w:hAnsi="宋体" w:eastAsia="宋体" w:cs="宋体"/>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5.具有良好的商业信誉和健全的财务会计制度承诺函。(格式自拟)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6.具有履行合同所必须的设备和专业技术能力承诺函。(格式自拟)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7.具有依法缴纳税收和社会保障资金的良好记录承诺函。(格式自拟)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8.参加本次采购活动前三年内，在经营活动中没有重大违法记录；没有因安全事故、质量事故、违规等被政府有关部门记录承诺函。(格式自拟)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9.供应商负责人为同一人或者存在控股、管理关系的不同单位，均视为同一参会供应商，不得重复参加采购承诺函。(格式自拟)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
          <w:bCs/>
          <w:kern w:val="0"/>
          <w:sz w:val="40"/>
          <w:szCs w:val="44"/>
          <w:shd w:val="clear" w:color="auto" w:fill="FFFFFF"/>
        </w:rPr>
      </w:pPr>
      <w:r>
        <w:rPr>
          <w:rFonts w:hint="eastAsia" w:ascii="仿宋_GB2312" w:eastAsia="仿宋_GB2312"/>
          <w:b/>
          <w:bCs/>
          <w:sz w:val="28"/>
          <w:szCs w:val="32"/>
        </w:rPr>
        <w:t>附件</w:t>
      </w:r>
      <w:r>
        <w:rPr>
          <w:rFonts w:hint="eastAsia" w:ascii="仿宋_GB2312" w:eastAsia="仿宋_GB2312"/>
          <w:b/>
          <w:bCs/>
          <w:sz w:val="28"/>
          <w:szCs w:val="32"/>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7"/>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shd w:val="clear" w:color="auto" w:fill="FFFFFF"/>
        </w:rPr>
        <w:t>3.报价一览表（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5-1</w:t>
      </w:r>
      <w:r>
        <w:rPr>
          <w:rFonts w:hint="eastAsia" w:asciiTheme="minorEastAsia" w:hAnsiTheme="minorEastAsia" w:eastAsiaTheme="minorEastAsia" w:cstheme="minorEastAsia"/>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rPr>
        <w:t>4.技术、商务要求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cstheme="minorEastAsia"/>
          <w:spacing w:val="8"/>
          <w:kern w:val="0"/>
          <w:sz w:val="28"/>
          <w:szCs w:val="32"/>
          <w:highlight w:val="none"/>
          <w:shd w:val="clear" w:color="auto" w:fill="FFFFFF"/>
          <w:lang w:val="en-US" w:eastAsia="zh-CN"/>
        </w:rPr>
        <w:t>2</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售后服务承诺</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6.反商业贿赂承诺书（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6）</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7.禁止围标、串标情况承诺函（</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8.供应商遵守招标采购纪律承诺书（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9.行业相关</w:t>
      </w:r>
      <w:r>
        <w:rPr>
          <w:rFonts w:hint="eastAsia" w:asciiTheme="minorEastAsia" w:hAnsiTheme="minorEastAsia" w:eastAsiaTheme="minorEastAsia" w:cstheme="minorEastAsia"/>
          <w:spacing w:val="8"/>
          <w:kern w:val="0"/>
          <w:sz w:val="28"/>
          <w:szCs w:val="32"/>
          <w:highlight w:val="none"/>
          <w:shd w:val="clear" w:color="auto" w:fill="FFFFFF"/>
        </w:rPr>
        <w:t>规范或标准</w:t>
      </w:r>
      <w:r>
        <w:rPr>
          <w:rFonts w:hint="eastAsia" w:asciiTheme="minorEastAsia" w:hAnsiTheme="minorEastAsia" w:eastAsiaTheme="minorEastAsia" w:cstheme="minorEastAsia"/>
          <w:spacing w:val="8"/>
          <w:kern w:val="0"/>
          <w:sz w:val="28"/>
          <w:szCs w:val="32"/>
          <w:highlight w:val="none"/>
          <w:shd w:val="clear" w:color="auto" w:fill="FFFFFF"/>
          <w:lang w:eastAsia="zh-CN"/>
        </w:rPr>
        <w:t>（</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如有</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10.供应商认为需要提供的其它资料</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11.</w:t>
      </w:r>
      <w:r>
        <w:rPr>
          <w:rFonts w:hint="eastAsia" w:asciiTheme="minorEastAsia" w:hAnsiTheme="minorEastAsia" w:eastAsiaTheme="minorEastAsia" w:cstheme="minorEastAsia"/>
          <w:spacing w:val="8"/>
          <w:kern w:val="0"/>
          <w:sz w:val="28"/>
          <w:szCs w:val="32"/>
          <w:highlight w:val="none"/>
          <w:shd w:val="clear" w:color="auto" w:fill="FFFFFF"/>
        </w:rPr>
        <w:t>封底</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6"/>
        <w:tblW w:w="10565" w:type="dxa"/>
        <w:jc w:val="center"/>
        <w:tblLayout w:type="fixed"/>
        <w:tblCellMar>
          <w:top w:w="0" w:type="dxa"/>
          <w:left w:w="0" w:type="dxa"/>
          <w:bottom w:w="0" w:type="dxa"/>
          <w:right w:w="0" w:type="dxa"/>
        </w:tblCellMar>
      </w:tblPr>
      <w:tblGrid>
        <w:gridCol w:w="873"/>
        <w:gridCol w:w="1828"/>
        <w:gridCol w:w="2319"/>
        <w:gridCol w:w="1636"/>
        <w:gridCol w:w="845"/>
        <w:gridCol w:w="846"/>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产品注册证名称</w:t>
            </w: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医疗器械注册证（如有）</w:t>
            </w: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注册人名称/生产厂家</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6"/>
        <w:tblW w:w="0" w:type="auto"/>
        <w:jc w:val="center"/>
        <w:tblLayout w:type="autofit"/>
        <w:tblCellMar>
          <w:top w:w="0" w:type="dxa"/>
          <w:left w:w="0" w:type="dxa"/>
          <w:bottom w:w="0" w:type="dxa"/>
          <w:right w:w="0" w:type="dxa"/>
        </w:tblCellMar>
      </w:tblPr>
      <w:tblGrid>
        <w:gridCol w:w="1056"/>
        <w:gridCol w:w="2281"/>
        <w:gridCol w:w="2343"/>
        <w:gridCol w:w="2842"/>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若要求提供证明资料，写明详见XXXX页</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6"/>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3"/>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6"/>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9"/>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4"/>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5</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24"/>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Style w:val="14"/>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10"/>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ascii="仿宋_GB2312" w:hAnsi="宋体" w:eastAsia="仿宋_GB2312" w:cs="宋体"/>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93DBDDA-0054-4CD4-8F08-A6BA60A0ACF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B647CC-6358-4AAF-8B81-5C848B4687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DDCA702-DA53-40BB-A2C4-4BE667993684}"/>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4" w:fontKey="{207D08EA-152A-4892-AD3D-939C3ED29CD9}"/>
  </w:font>
  <w:font w:name="仿宋">
    <w:panose1 w:val="02010609060101010101"/>
    <w:charset w:val="86"/>
    <w:family w:val="modern"/>
    <w:pitch w:val="default"/>
    <w:sig w:usb0="800002BF" w:usb1="38CF7CFA" w:usb2="00000016" w:usb3="00000000" w:csb0="00040001" w:csb1="00000000"/>
    <w:embedRegular r:id="rId5" w:fontKey="{15CFC014-9F8B-4A56-88AB-28A17EA49C4F}"/>
  </w:font>
  <w:font w:name="Segoe UI">
    <w:panose1 w:val="020B0502040204020203"/>
    <w:charset w:val="00"/>
    <w:family w:val="swiss"/>
    <w:pitch w:val="default"/>
    <w:sig w:usb0="E4002EFF" w:usb1="C000E47F" w:usb2="00000009" w:usb3="00000000" w:csb0="200001FF" w:csb1="00000000"/>
    <w:embedRegular r:id="rId6" w:fontKey="{DE818B2C-7C1B-42B9-B078-4D0928C7D252}"/>
  </w:font>
  <w:font w:name="微软雅黑">
    <w:panose1 w:val="020B0503020204020204"/>
    <w:charset w:val="86"/>
    <w:family w:val="auto"/>
    <w:pitch w:val="default"/>
    <w:sig w:usb0="80000287" w:usb1="2ACF3C50" w:usb2="00000016" w:usb3="00000000" w:csb0="0004001F" w:csb1="00000000"/>
    <w:embedRegular r:id="rId7" w:fontKey="{6E1D75A8-E23D-4C86-9572-CD3D166999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227CD8DE"/>
    <w:multiLevelType w:val="singleLevel"/>
    <w:tmpl w:val="227CD8DE"/>
    <w:lvl w:ilvl="0" w:tentative="0">
      <w:start w:val="5"/>
      <w:numFmt w:val="decimal"/>
      <w:lvlText w:val="%1."/>
      <w:lvlJc w:val="left"/>
      <w:pPr>
        <w:tabs>
          <w:tab w:val="left" w:pos="312"/>
        </w:tabs>
      </w:pPr>
    </w:lvl>
  </w:abstractNum>
  <w:abstractNum w:abstractNumId="2">
    <w:nsid w:val="24B06C0B"/>
    <w:multiLevelType w:val="singleLevel"/>
    <w:tmpl w:val="24B06C0B"/>
    <w:lvl w:ilvl="0" w:tentative="0">
      <w:start w:val="1"/>
      <w:numFmt w:val="decimal"/>
      <w:lvlText w:val="%1."/>
      <w:lvlJc w:val="left"/>
      <w:pPr>
        <w:tabs>
          <w:tab w:val="left" w:pos="312"/>
        </w:tabs>
      </w:pPr>
    </w:lvl>
  </w:abstractNum>
  <w:abstractNum w:abstractNumId="3">
    <w:nsid w:val="346C5CA9"/>
    <w:multiLevelType w:val="multilevel"/>
    <w:tmpl w:val="346C5CA9"/>
    <w:lvl w:ilvl="0" w:tentative="0">
      <w:start w:val="1"/>
      <w:numFmt w:val="bullet"/>
      <w:pStyle w:val="22"/>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62C49E7"/>
    <w:rsid w:val="069B07C6"/>
    <w:rsid w:val="06CC2DD5"/>
    <w:rsid w:val="0A996768"/>
    <w:rsid w:val="0BC0367C"/>
    <w:rsid w:val="0F8825C6"/>
    <w:rsid w:val="10A33144"/>
    <w:rsid w:val="1198663F"/>
    <w:rsid w:val="137A25E0"/>
    <w:rsid w:val="13EE7170"/>
    <w:rsid w:val="1420134A"/>
    <w:rsid w:val="14FC0436"/>
    <w:rsid w:val="1759391E"/>
    <w:rsid w:val="18147845"/>
    <w:rsid w:val="19D4524B"/>
    <w:rsid w:val="209B6D55"/>
    <w:rsid w:val="26995227"/>
    <w:rsid w:val="27941805"/>
    <w:rsid w:val="29090661"/>
    <w:rsid w:val="2A4A1D28"/>
    <w:rsid w:val="2BE85474"/>
    <w:rsid w:val="2C5878F6"/>
    <w:rsid w:val="2E732B85"/>
    <w:rsid w:val="30C42E38"/>
    <w:rsid w:val="359A2AC2"/>
    <w:rsid w:val="36211653"/>
    <w:rsid w:val="36913B20"/>
    <w:rsid w:val="3D6C58AA"/>
    <w:rsid w:val="3E484DCC"/>
    <w:rsid w:val="40540CF6"/>
    <w:rsid w:val="407B4644"/>
    <w:rsid w:val="43D67F5B"/>
    <w:rsid w:val="43EB5F32"/>
    <w:rsid w:val="45E611FC"/>
    <w:rsid w:val="46EE5581"/>
    <w:rsid w:val="479B18E2"/>
    <w:rsid w:val="48C24FF6"/>
    <w:rsid w:val="4BCD39B7"/>
    <w:rsid w:val="4CD30F6F"/>
    <w:rsid w:val="4CDA2830"/>
    <w:rsid w:val="4DB6131A"/>
    <w:rsid w:val="4F021BCA"/>
    <w:rsid w:val="507C5EDF"/>
    <w:rsid w:val="53A25B7C"/>
    <w:rsid w:val="542F0F56"/>
    <w:rsid w:val="552E5968"/>
    <w:rsid w:val="558A46C7"/>
    <w:rsid w:val="56867584"/>
    <w:rsid w:val="5C9C0F66"/>
    <w:rsid w:val="5EAE6EA2"/>
    <w:rsid w:val="5F4A19DE"/>
    <w:rsid w:val="5FED4DAE"/>
    <w:rsid w:val="5FF21869"/>
    <w:rsid w:val="60934D78"/>
    <w:rsid w:val="616E1341"/>
    <w:rsid w:val="61A14FEA"/>
    <w:rsid w:val="61E872D3"/>
    <w:rsid w:val="61FF6AE9"/>
    <w:rsid w:val="62060167"/>
    <w:rsid w:val="629955A0"/>
    <w:rsid w:val="632329D3"/>
    <w:rsid w:val="63C06DA3"/>
    <w:rsid w:val="69F031AD"/>
    <w:rsid w:val="6A2B6021"/>
    <w:rsid w:val="6A7379C8"/>
    <w:rsid w:val="6CBC7404"/>
    <w:rsid w:val="6CD8343A"/>
    <w:rsid w:val="6D6B47C4"/>
    <w:rsid w:val="6EBE0890"/>
    <w:rsid w:val="6F3E229A"/>
    <w:rsid w:val="6FE0119D"/>
    <w:rsid w:val="718208B7"/>
    <w:rsid w:val="72634067"/>
    <w:rsid w:val="73345415"/>
    <w:rsid w:val="734D097C"/>
    <w:rsid w:val="739D6E34"/>
    <w:rsid w:val="73B644F4"/>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
    <w:qFormat/>
    <w:uiPriority w:val="0"/>
    <w:pPr>
      <w:spacing w:after="120"/>
    </w:pPr>
  </w:style>
  <w:style w:type="paragraph" w:styleId="10">
    <w:name w:val="Body Text Indent 2"/>
    <w:basedOn w:val="1"/>
    <w:next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rPr>
      <w:rFonts w:ascii="Times New Roman" w:hAnsi="Times New Roman" w:eastAsia="宋体" w:cs="Times New Roman"/>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9"/>
    <w:semiHidden/>
    <w:unhideWhenUsed/>
    <w:qFormat/>
    <w:uiPriority w:val="99"/>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0">
    <w:name w:val="List Paragraph"/>
    <w:basedOn w:val="1"/>
    <w:qFormat/>
    <w:uiPriority w:val="99"/>
    <w:pPr>
      <w:ind w:firstLine="420" w:firstLineChars="200"/>
    </w:pPr>
  </w:style>
  <w:style w:type="paragraph" w:customStyle="1" w:styleId="21">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2">
    <w:name w:val="U_编号2"/>
    <w:basedOn w:val="1"/>
    <w:qFormat/>
    <w:uiPriority w:val="0"/>
    <w:pPr>
      <w:numPr>
        <w:ilvl w:val="0"/>
        <w:numId w:val="1"/>
      </w:numPr>
      <w:spacing w:beforeLines="10" w:line="300" w:lineRule="auto"/>
      <w:ind w:left="1124"/>
    </w:pPr>
    <w:rPr>
      <w:sz w:val="24"/>
      <w:szCs w:val="20"/>
    </w:rPr>
  </w:style>
  <w:style w:type="paragraph" w:customStyle="1" w:styleId="2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paragraph" w:customStyle="1" w:styleId="25">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6">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7521</Words>
  <Characters>7844</Characters>
  <Lines>0</Lines>
  <Paragraphs>0</Paragraphs>
  <TotalTime>0</TotalTime>
  <ScaleCrop>false</ScaleCrop>
  <LinksUpToDate>false</LinksUpToDate>
  <CharactersWithSpaces>8056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lxy</cp:lastModifiedBy>
  <dcterms:modified xsi:type="dcterms:W3CDTF">2025-12-22T03:06:29Z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75E1407322E34E808EE2BD0CF6561D70_13</vt:lpwstr>
  </property>
</Properties>
</file>