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bidi w:val="0"/>
        <w:spacing w:line="44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附件1：</w:t>
      </w:r>
      <w:r>
        <w:rPr>
          <w:rFonts w:hint="eastAsia" w:ascii="宋体" w:hAnsi="宋体" w:eastAsia="宋体" w:cs="宋体"/>
          <w:b/>
          <w:bCs/>
          <w:sz w:val="24"/>
          <w:szCs w:val="24"/>
          <w:highlight w:val="none"/>
          <w:lang w:val="en-US" w:eastAsia="zh-CN"/>
        </w:rPr>
        <w:t>采购需求</w:t>
      </w:r>
    </w:p>
    <w:p>
      <w:pPr>
        <w:keepNext w:val="0"/>
        <w:keepLines w:val="0"/>
        <w:pageBreakBefore w:val="0"/>
        <w:kinsoku/>
        <w:bidi w:val="0"/>
        <w:spacing w:line="440" w:lineRule="exact"/>
        <w:ind w:firstLine="446" w:firstLineChars="186"/>
        <w:jc w:val="left"/>
        <w:rPr>
          <w:rFonts w:hint="eastAsia" w:ascii="宋体" w:hAnsi="宋体" w:eastAsia="宋体" w:cs="宋体"/>
          <w:sz w:val="24"/>
          <w:szCs w:val="24"/>
        </w:rPr>
      </w:pPr>
      <w:r>
        <w:rPr>
          <w:rFonts w:hint="eastAsia" w:ascii="宋体" w:hAnsi="宋体" w:eastAsia="宋体" w:cs="宋体"/>
          <w:sz w:val="24"/>
          <w:szCs w:val="24"/>
        </w:rPr>
        <w:t>本章中“★”的条款为本项目的实质性要求条款，供应商应全部</w:t>
      </w:r>
      <w:r>
        <w:rPr>
          <w:rFonts w:hint="eastAsia" w:ascii="宋体" w:hAnsi="宋体" w:eastAsia="宋体" w:cs="宋体"/>
          <w:sz w:val="24"/>
          <w:szCs w:val="24"/>
          <w:lang w:val="en-US" w:eastAsia="zh-CN"/>
        </w:rPr>
        <w:t>响应</w:t>
      </w:r>
      <w:r>
        <w:rPr>
          <w:rFonts w:hint="eastAsia" w:ascii="宋体" w:hAnsi="宋体" w:eastAsia="宋体" w:cs="宋体"/>
          <w:sz w:val="24"/>
          <w:szCs w:val="24"/>
        </w:rPr>
        <w:t>满足</w:t>
      </w:r>
      <w:r>
        <w:rPr>
          <w:rFonts w:hint="eastAsia" w:ascii="宋体" w:hAnsi="宋体" w:eastAsia="宋体" w:cs="宋体"/>
          <w:sz w:val="24"/>
          <w:szCs w:val="24"/>
          <w:lang w:val="en-US" w:eastAsia="zh-CN"/>
        </w:rPr>
        <w:t>要求</w:t>
      </w:r>
      <w:r>
        <w:rPr>
          <w:rFonts w:hint="eastAsia" w:ascii="宋体" w:hAnsi="宋体" w:eastAsia="宋体" w:cs="宋体"/>
          <w:sz w:val="24"/>
          <w:szCs w:val="24"/>
        </w:rPr>
        <w:t>，</w:t>
      </w:r>
      <w:r>
        <w:rPr>
          <w:rFonts w:hint="eastAsia" w:ascii="宋体" w:hAnsi="宋体" w:eastAsia="宋体" w:cs="宋体"/>
          <w:sz w:val="24"/>
          <w:szCs w:val="24"/>
          <w:lang w:val="en-US" w:eastAsia="zh-CN"/>
        </w:rPr>
        <w:t>如有明确提供佐证材料的，应按要求进行提供佐证材料，</w:t>
      </w:r>
      <w:r>
        <w:rPr>
          <w:rFonts w:hint="eastAsia" w:ascii="宋体" w:hAnsi="宋体" w:eastAsia="宋体" w:cs="宋体"/>
          <w:sz w:val="24"/>
          <w:szCs w:val="24"/>
        </w:rPr>
        <w:t>否则其投标文件作无效处理。未标识符号的条款为一般参数条款。</w:t>
      </w:r>
    </w:p>
    <w:p>
      <w:pPr>
        <w:pStyle w:val="7"/>
        <w:keepNext w:val="0"/>
        <w:keepLines w:val="0"/>
        <w:pageBreakBefore w:val="0"/>
        <w:kinsoku/>
        <w:bidi w:val="0"/>
        <w:spacing w:line="440" w:lineRule="exact"/>
        <w:ind w:firstLine="422"/>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sz w:val="24"/>
          <w:szCs w:val="24"/>
        </w:rPr>
        <w:t>一、</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pPr>
        <w:pStyle w:val="21"/>
        <w:keepNext w:val="0"/>
        <w:keepLines w:val="0"/>
        <w:pageBreakBefore w:val="0"/>
        <w:numPr>
          <w:ilvl w:val="0"/>
          <w:numId w:val="3"/>
        </w:numPr>
        <w:kinsoku/>
        <w:bidi w:val="0"/>
        <w:adjustRightInd w:val="0"/>
        <w:spacing w:before="156" w:beforeLines="50" w:after="156" w:afterLines="50" w:line="440" w:lineRule="exact"/>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w:t>
      </w:r>
      <w:r>
        <w:rPr>
          <w:rFonts w:hint="eastAsia" w:ascii="宋体" w:hAnsi="宋体" w:eastAsia="宋体" w:cs="宋体"/>
          <w:b/>
          <w:bCs w:val="0"/>
          <w:color w:val="000000"/>
          <w:sz w:val="24"/>
          <w:szCs w:val="24"/>
          <w:lang w:val="en-US" w:eastAsia="zh-CN"/>
        </w:rPr>
        <w:t>四川省妇幼保健院</w:t>
      </w:r>
      <w:bookmarkStart w:id="0" w:name="_GoBack"/>
      <w:bookmarkEnd w:id="0"/>
      <w:r>
        <w:rPr>
          <w:rFonts w:hint="eastAsia" w:ascii="宋体" w:hAnsi="宋体" w:eastAsia="宋体" w:cs="宋体"/>
          <w:b/>
          <w:bCs w:val="0"/>
          <w:color w:val="000000"/>
          <w:sz w:val="24"/>
          <w:szCs w:val="24"/>
          <w:lang w:val="en-US" w:eastAsia="zh-CN"/>
        </w:rPr>
        <w:t>ADHD数字疗法服务</w:t>
      </w:r>
    </w:p>
    <w:p>
      <w:pPr>
        <w:pStyle w:val="21"/>
        <w:keepNext w:val="0"/>
        <w:keepLines w:val="0"/>
        <w:pageBreakBefore w:val="0"/>
        <w:numPr>
          <w:ilvl w:val="0"/>
          <w:numId w:val="3"/>
        </w:numPr>
        <w:kinsoku/>
        <w:bidi w:val="0"/>
        <w:adjustRightInd w:val="0"/>
        <w:spacing w:before="156" w:beforeLines="50" w:after="156" w:afterLines="50" w:line="440" w:lineRule="exact"/>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预算金额：25万元</w:t>
      </w:r>
    </w:p>
    <w:p>
      <w:pPr>
        <w:pStyle w:val="21"/>
        <w:keepNext w:val="0"/>
        <w:keepLines w:val="0"/>
        <w:pageBreakBefore w:val="0"/>
        <w:numPr>
          <w:ilvl w:val="0"/>
          <w:numId w:val="3"/>
        </w:numPr>
        <w:kinsoku/>
        <w:bidi w:val="0"/>
        <w:adjustRightInd w:val="0"/>
        <w:spacing w:before="156" w:beforeLines="50" w:after="156" w:afterLines="50" w:line="440" w:lineRule="exact"/>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服务期限：一年</w:t>
      </w:r>
    </w:p>
    <w:p>
      <w:pPr>
        <w:pStyle w:val="21"/>
        <w:keepNext w:val="0"/>
        <w:keepLines w:val="0"/>
        <w:pageBreakBefore w:val="0"/>
        <w:numPr>
          <w:ilvl w:val="0"/>
          <w:numId w:val="3"/>
        </w:numPr>
        <w:kinsoku/>
        <w:bidi w:val="0"/>
        <w:adjustRightInd w:val="0"/>
        <w:spacing w:before="156" w:beforeLines="50" w:after="156" w:afterLines="50" w:line="440" w:lineRule="exact"/>
        <w:ind w:left="0"/>
        <w:contextualSpacing/>
        <w:jc w:val="left"/>
        <w:outlineLvl w:val="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单价最高限价</w:t>
      </w:r>
      <w:r>
        <w:rPr>
          <w:rFonts w:hint="eastAsia" w:ascii="宋体" w:hAnsi="宋体" w:eastAsia="宋体" w:cs="宋体"/>
          <w:kern w:val="2"/>
          <w:sz w:val="24"/>
          <w:szCs w:val="24"/>
          <w:lang w:val="en-US" w:eastAsia="zh-CN" w:bidi="ar-SA"/>
        </w:rPr>
        <w:t>：服务费报价不超过院内收费的40%，最终结算总价不超过本项目的预算金额（即25万元）。</w:t>
      </w:r>
    </w:p>
    <w:p>
      <w:pPr>
        <w:keepNext w:val="0"/>
        <w:keepLines w:val="0"/>
        <w:pageBreakBefore w:val="0"/>
        <w:kinsoku/>
        <w:bidi w:val="0"/>
        <w:adjustRightInd w:val="0"/>
        <w:spacing w:line="440" w:lineRule="exact"/>
        <w:rPr>
          <w:rFonts w:hint="eastAsia" w:ascii="宋体" w:hAnsi="宋体" w:eastAsia="宋体" w:cs="宋体"/>
          <w:b/>
          <w:bCs w:val="0"/>
          <w:sz w:val="24"/>
          <w:szCs w:val="24"/>
          <w:lang w:val="en-US" w:eastAsia="zh-CN"/>
        </w:rPr>
      </w:pPr>
      <w:r>
        <w:rPr>
          <w:rFonts w:hint="eastAsia" w:ascii="宋体" w:hAnsi="宋体" w:eastAsia="宋体" w:cs="宋体"/>
          <w:b/>
          <w:sz w:val="22"/>
          <w:szCs w:val="22"/>
        </w:rPr>
        <w:t xml:space="preserve">  </w:t>
      </w:r>
      <w:r>
        <w:rPr>
          <w:rFonts w:hint="eastAsia" w:ascii="宋体" w:hAnsi="宋体" w:eastAsia="宋体" w:cs="宋体"/>
          <w:b/>
          <w:bCs w:val="0"/>
          <w:sz w:val="24"/>
          <w:szCs w:val="24"/>
        </w:rPr>
        <w:t xml:space="preserve"> </w:t>
      </w:r>
      <w:r>
        <w:rPr>
          <w:rFonts w:hint="eastAsia" w:ascii="宋体" w:hAnsi="宋体" w:eastAsia="宋体" w:cs="宋体"/>
          <w:b/>
          <w:bCs w:val="0"/>
          <w:kern w:val="2"/>
          <w:sz w:val="24"/>
          <w:szCs w:val="24"/>
          <w:lang w:val="en-US" w:eastAsia="zh-CN" w:bidi="ar-SA"/>
        </w:rPr>
        <w:t xml:space="preserve"> 二、技术要求（功能和质量要求）</w:t>
      </w:r>
    </w:p>
    <w:p>
      <w:pPr>
        <w:pStyle w:val="7"/>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1.总体要求：</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适用于4-12岁患有神经发育迟缓、精神心理问题以及由疾病引发的神经发育损伤的儿童。</w:t>
      </w:r>
    </w:p>
    <w:p>
      <w:pPr>
        <w:pStyle w:val="7"/>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 适用场景至少包含：儿童保健发育行为中心测评患儿的认知能力；根据测评结果对患儿进行认知康复训练；医院端、远程端同时满足患者训练需求。</w:t>
      </w:r>
    </w:p>
    <w:p>
      <w:pPr>
        <w:keepNext w:val="0"/>
        <w:keepLines w:val="0"/>
        <w:pageBreakBefore w:val="0"/>
        <w:numPr>
          <w:ilvl w:val="0"/>
          <w:numId w:val="0"/>
        </w:numPr>
        <w:kinsoku/>
        <w:bidi w:val="0"/>
        <w:spacing w:line="440" w:lineRule="exact"/>
        <w:ind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 至少包含以下适应病症：</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（1）神经发育障碍：注意缺陷多动障碍、抽动障碍、学习困难、口吃、构音障碍、发育迟缓、发育落后、语言发育迟缓、智力障碍、孤独症谱系障碍、阅读障碍、发作性睡病、睡眠障碍；</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（2）精神类：焦虑状态、抑郁状态、儿童情绪障碍、强迫状态、行为障碍、社交障碍；</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功能要求</w:t>
      </w:r>
    </w:p>
    <w:p>
      <w:pPr>
        <w:keepNext w:val="0"/>
        <w:keepLines w:val="0"/>
        <w:pageBreakBefore w:val="0"/>
        <w:kinsoku/>
        <w:bidi w:val="0"/>
        <w:spacing w:line="44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2.1 包含医生端及患者端，其中医生端需包含：①用户档案创建或管理②认知评估配置和下发③数据结果查看及报告打印④训练方案的配置和下发⑤训练数据查看和训练报告打印等功能；患者端需包含：①用户登录及在线测评②在线训练，查看训练记录的功能；③带远程居家训练功能，④智能算法推荐每日训练任务，并可根据患者训练情况调整训练方案；</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系统界面符合学龄前、学龄期儿童心理发展特点，满足触屏、鼠标操作需求；</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系统数据确保在100人以上同时操作时的正常运行；</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 一般性数据保存、修改、删除等操作的平均响应时间≤5秒，简单查询平均响应时间≤1秒内，复杂查询平均响应时间≤3秒；</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3.认知测评模块</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测评范围：对儿童的各项基本认知能力进行评估,至少需包括空间知觉、运动知觉、空间记忆、记忆广度、警觉性注意、持续性注意、工作记忆、加工速度、情景记忆、选择性注意、集中性注意、反应抑制、冲突抑制方面的测评，列表展示评估数据结果，方便医生对患者进行全面客观的评估；</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测评下发：含人工和系统预约两种方式，可通过人工进行自定义下发；</w:t>
      </w:r>
    </w:p>
    <w:p>
      <w:pPr>
        <w:keepNext w:val="0"/>
        <w:keepLines w:val="0"/>
        <w:pageBreakBefore w:val="0"/>
        <w:kinsoku/>
        <w:bidi w:val="0"/>
        <w:spacing w:line="44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 测评结果：系统自动计算测评结果，出具结论。测评结果保存于数据库中，可随时调阅；自定义实现同一患者多次测评结果对比；</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4.认知训练模块</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 训练内容≥100+的训练项目，可以组成&gt;10000训练方案组合，至少包含针对儿童的记忆力､注意力､感知觉、执行控制､言语训练､阅读训练等多项能力的训练；</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4.2 AI算法训练模式：具有根据评估结果自动生成详细的治疗方案，并根据训练情况自动调整训练难度和范围,也可根据患者情况选择训练方式，同时支持自定义训练方案的制定和调整管理的功能；</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 训练记录：包含训练范式､训练时间、累计训练时长、训练得分、训练完成度、训练完成情况趋势等信息实时储存；</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 患者管理：支持患者查看医生下发或系统推荐的训练任务；查看每次的训练记录，包含训练内容、训练时长、训练得分等，并且根据用户的训练得分及得分变化趋势，对患者能力进行综合评价。</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▲5.至少提供1名现场服务人员驻点，熟悉康复认知业务，能熟练运用系统，并对医院相关工作人员进行技术指导；如需更换人员，供应商需至少提前3个工作日向采购人提出申请，同意后方可更换。</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p>
    <w:p>
      <w:pPr>
        <w:pStyle w:val="5"/>
        <w:keepNext w:val="0"/>
        <w:keepLines w:val="0"/>
        <w:pageBreakBefore w:val="0"/>
        <w:numPr>
          <w:ilvl w:val="0"/>
          <w:numId w:val="0"/>
        </w:numPr>
        <w:kinsoku/>
        <w:wordWrap/>
        <w:overflowPunct/>
        <w:topLinePunct w:val="0"/>
        <w:autoSpaceDE/>
        <w:autoSpaceDN/>
        <w:bidi w:val="0"/>
        <w:spacing w:line="440" w:lineRule="exact"/>
        <w:ind w:firstLine="620" w:firstLineChars="200"/>
        <w:rPr>
          <w:rFonts w:hint="eastAsia" w:ascii="宋体" w:hAnsi="宋体" w:eastAsia="宋体" w:cs="宋体"/>
          <w:b/>
          <w:bCs/>
          <w:color w:val="000000"/>
          <w:sz w:val="24"/>
          <w:szCs w:val="24"/>
        </w:rPr>
      </w:pPr>
      <w:r>
        <w:rPr>
          <w:rFonts w:ascii="仿宋_GB2312" w:hAnsi="仿宋_GB2312" w:eastAsia="仿宋_GB2312" w:cs="仿宋_GB2312"/>
          <w:sz w:val="31"/>
          <w:szCs w:val="31"/>
          <w:u w:val="none"/>
          <w:lang w:eastAsia="en-US"/>
        </w:rPr>
        <w:t>★</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商务要求</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实质性要求</w:t>
      </w:r>
      <w:r>
        <w:rPr>
          <w:rFonts w:hint="eastAsia" w:ascii="宋体" w:hAnsi="宋体" w:eastAsia="宋体" w:cs="宋体"/>
          <w:b/>
          <w:bCs/>
          <w:color w:val="000000"/>
          <w:sz w:val="24"/>
          <w:szCs w:val="24"/>
          <w:lang w:eastAsia="zh-CN"/>
        </w:rPr>
        <w:t>）</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1.交货期及地点：</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交货期：合同签订生效后，90日内完成安装调测。</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 交货地点：四川省妇幼保健院指定地点</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付款方法和条件</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2.1本项目以单价形式采购，每月采购人根据当月服务工作量向中标人据实结算服务费，向中标人据实结算服务费，且最终结算总价不超过本项目的预算金额，即25万元(大写:贰拾伍万元整)。</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月结周期为每月1日至当月月底，次月 10 日前双方针对上一月结周期实际发生的服务清单及费用进行核对，核对无误并经采购方验收合格后（考核表详见附件8），供应商开具对应金额增值税发票，采购人收到上述发票并确认无误后，60 日内向供应商支付该笔款项。</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3.服务年限：1年</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4.报价要求：服务费报价不超过院内收费的40%。</w:t>
      </w:r>
    </w:p>
    <w:p>
      <w:pPr>
        <w:keepNext w:val="0"/>
        <w:keepLines w:val="0"/>
        <w:pageBreakBefore w:val="0"/>
        <w:kinsoku/>
        <w:bidi w:val="0"/>
        <w:spacing w:line="440" w:lineRule="exact"/>
        <w:ind w:firstLine="480" w:firstLineChars="200"/>
        <w:rPr>
          <w:rFonts w:hint="eastAsia" w:ascii="宋体" w:hAnsi="宋体" w:eastAsia="宋体" w:cs="宋体"/>
          <w:kern w:val="2"/>
          <w:sz w:val="24"/>
          <w:szCs w:val="24"/>
          <w:lang w:val="en-US" w:eastAsia="zh-CN" w:bidi="ar-SA"/>
        </w:rPr>
      </w:pPr>
    </w:p>
    <w:p>
      <w:pPr>
        <w:pStyle w:val="7"/>
        <w:keepNext w:val="0"/>
        <w:keepLines w:val="0"/>
        <w:pageBreakBefore w:val="0"/>
        <w:numPr>
          <w:ilvl w:val="0"/>
          <w:numId w:val="0"/>
        </w:numPr>
        <w:kinsoku/>
        <w:bidi w:val="0"/>
        <w:spacing w:line="440" w:lineRule="exact"/>
        <w:ind w:leftChars="0" w:firstLine="482" w:firstLineChars="200"/>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★四、其他要求：</w:t>
      </w:r>
    </w:p>
    <w:p>
      <w:pPr>
        <w:keepNext w:val="0"/>
        <w:keepLines w:val="0"/>
        <w:pageBreakBefore w:val="0"/>
        <w:numPr>
          <w:ilvl w:val="0"/>
          <w:numId w:val="0"/>
        </w:numPr>
        <w:kinsoku/>
        <w:bidi w:val="0"/>
        <w:spacing w:line="44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1.确保系统24小时不间断运行；</w:t>
      </w:r>
    </w:p>
    <w:p>
      <w:pPr>
        <w:keepNext w:val="0"/>
        <w:keepLines w:val="0"/>
        <w:pageBreakBefore w:val="0"/>
        <w:numPr>
          <w:ilvl w:val="0"/>
          <w:numId w:val="0"/>
        </w:numPr>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1.1运营：协助相关宣传与患者宣教引导，实现不同疾病阶段患者分类管理；</w:t>
      </w:r>
    </w:p>
    <w:p>
      <w:pPr>
        <w:keepNext w:val="0"/>
        <w:keepLines w:val="0"/>
        <w:pageBreakBefore w:val="0"/>
        <w:numPr>
          <w:ilvl w:val="0"/>
          <w:numId w:val="0"/>
        </w:numPr>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1.2培训：围绕科室每半年开展一次注意缺陷多动障碍、认知障碍相关疾病及康复治疗技术专业培训。</w:t>
      </w:r>
    </w:p>
    <w:p>
      <w:pPr>
        <w:keepNext w:val="0"/>
        <w:keepLines w:val="0"/>
        <w:pageBreakBefore w:val="0"/>
        <w:numPr>
          <w:ilvl w:val="0"/>
          <w:numId w:val="0"/>
        </w:numPr>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2.供应商不得擅自使用、复制采购人及采购人客户的个人资料、商业信息及其他资料，不得使用对方的名称、字号等对外宣传，否则采购人有权解除本合同并要求供应商赔偿由此造成的全部损失。</w:t>
      </w:r>
    </w:p>
    <w:p>
      <w:pPr>
        <w:pStyle w:val="6"/>
        <w:keepNext w:val="0"/>
        <w:keepLines w:val="0"/>
        <w:pageBreakBefore w:val="0"/>
        <w:numPr>
          <w:ilvl w:val="0"/>
          <w:numId w:val="0"/>
        </w:numPr>
        <w:kinsoku/>
        <w:bidi w:val="0"/>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保密期限:自合同签订之日起，未经采购人允许，任何个人及机构不能使用相关数据。项目所涉及的全部儿童信息及数据在本协议终止后，一并发交给采购人留存。保密义务持续有效，不因合同效力变化而变更。</w:t>
      </w:r>
    </w:p>
    <w:p>
      <w:pPr>
        <w:pStyle w:val="6"/>
        <w:keepNext w:val="0"/>
        <w:keepLines w:val="0"/>
        <w:pageBreakBefore w:val="0"/>
        <w:numPr>
          <w:ilvl w:val="0"/>
          <w:numId w:val="0"/>
        </w:numPr>
        <w:kinsoku/>
        <w:bidi w:val="0"/>
        <w:spacing w:line="440" w:lineRule="exact"/>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注：供应商须针对“★四、其他要求”中的每条进行逐条承诺满足，提供承诺函原件，否则视为无效响应。</w:t>
      </w:r>
    </w:p>
    <w:p>
      <w:pPr>
        <w:keepNext w:val="0"/>
        <w:keepLines w:val="0"/>
        <w:pageBreakBefore w:val="0"/>
        <w:widowControl/>
        <w:kinsoku/>
        <w:wordWrap/>
        <w:overflowPunct/>
        <w:topLinePunct w:val="0"/>
        <w:autoSpaceDE/>
        <w:autoSpaceDN/>
        <w:bidi w:val="0"/>
        <w:snapToGrid/>
        <w:spacing w:beforeAutospacing="0" w:afterAutospacing="0" w:line="440" w:lineRule="exact"/>
        <w:jc w:val="both"/>
        <w:textAlignment w:val="auto"/>
        <w:outlineLvl w:val="1"/>
        <w:rPr>
          <w:rFonts w:hint="eastAsia" w:ascii="宋体" w:hAnsi="宋体" w:cs="宋体"/>
          <w:b/>
          <w:bCs/>
          <w:color w:val="auto"/>
          <w:kern w:val="0"/>
          <w:sz w:val="24"/>
          <w:szCs w:val="24"/>
          <w:highlight w:val="none"/>
          <w:lang w:val="en-US" w:eastAsia="zh-CN"/>
        </w:rPr>
      </w:pPr>
    </w:p>
    <w:p>
      <w:pPr>
        <w:keepNext w:val="0"/>
        <w:keepLines w:val="0"/>
        <w:pageBreakBefore w:val="0"/>
        <w:widowControl/>
        <w:kinsoku/>
        <w:wordWrap/>
        <w:overflowPunct/>
        <w:topLinePunct w:val="0"/>
        <w:autoSpaceDE/>
        <w:autoSpaceDN/>
        <w:bidi w:val="0"/>
        <w:snapToGrid/>
        <w:spacing w:beforeAutospacing="0" w:afterAutospacing="0" w:line="440" w:lineRule="exact"/>
        <w:ind w:firstLine="241" w:firstLineChars="100"/>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pPr>
        <w:keepNext w:val="0"/>
        <w:keepLines w:val="0"/>
        <w:pageBreakBefore w:val="0"/>
        <w:widowControl/>
        <w:kinsoku/>
        <w:wordWrap/>
        <w:overflowPunct/>
        <w:topLinePunct w:val="0"/>
        <w:autoSpaceDE/>
        <w:autoSpaceDN/>
        <w:bidi w:val="0"/>
        <w:snapToGrid/>
        <w:spacing w:beforeAutospacing="0" w:afterAutospacing="0" w:line="440" w:lineRule="exact"/>
        <w:ind w:firstLine="240" w:firstLineChars="1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snapToGrid/>
        <w:spacing w:beforeAutospacing="0" w:afterAutospacing="0" w:line="440" w:lineRule="exact"/>
        <w:ind w:firstLine="240" w:firstLineChars="100"/>
        <w:jc w:val="both"/>
        <w:textAlignment w:val="auto"/>
        <w:outlineLvl w:val="1"/>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snapToGrid/>
        <w:spacing w:beforeAutospacing="0" w:afterAutospacing="0" w:line="440" w:lineRule="exact"/>
        <w:ind w:firstLine="240" w:firstLineChars="100"/>
        <w:jc w:val="both"/>
        <w:textAlignment w:val="auto"/>
        <w:outlineLvl w:val="1"/>
        <w:rPr>
          <w:rFonts w:hint="eastAsia" w:ascii="方正小标宋简体" w:hAnsi="宋体" w:eastAsia="方正小标宋简体" w:cs="宋体"/>
          <w:bCs/>
          <w:kern w:val="0"/>
          <w:sz w:val="36"/>
          <w:szCs w:val="36"/>
          <w:shd w:val="clear" w:color="auto" w:fill="FFFFFF"/>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280"/>
        <w:gridCol w:w="941"/>
        <w:gridCol w:w="4119"/>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sz w:val="24"/>
                <w:szCs w:val="24"/>
              </w:rPr>
              <w:t>序号</w:t>
            </w:r>
          </w:p>
        </w:tc>
        <w:tc>
          <w:tcPr>
            <w:tcW w:w="1280" w:type="dxa"/>
            <w:shd w:val="clear" w:color="auto" w:fill="auto"/>
            <w:vAlign w:val="center"/>
          </w:tcPr>
          <w:p>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sz w:val="24"/>
                <w:szCs w:val="24"/>
              </w:rPr>
              <w:t>评分因素</w:t>
            </w:r>
          </w:p>
        </w:tc>
        <w:tc>
          <w:tcPr>
            <w:tcW w:w="941" w:type="dxa"/>
            <w:shd w:val="clear" w:color="auto" w:fill="auto"/>
            <w:vAlign w:val="center"/>
          </w:tcPr>
          <w:p>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sz w:val="24"/>
                <w:szCs w:val="24"/>
              </w:rPr>
              <w:t>分值</w:t>
            </w:r>
          </w:p>
        </w:tc>
        <w:tc>
          <w:tcPr>
            <w:tcW w:w="4119" w:type="dxa"/>
            <w:shd w:val="clear" w:color="auto" w:fill="auto"/>
            <w:vAlign w:val="center"/>
          </w:tcPr>
          <w:p>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评分标准</w:t>
            </w:r>
          </w:p>
        </w:tc>
        <w:tc>
          <w:tcPr>
            <w:tcW w:w="1126" w:type="dxa"/>
            <w:shd w:val="clear" w:color="auto" w:fill="auto"/>
            <w:vAlign w:val="center"/>
          </w:tcPr>
          <w:p>
            <w:pPr>
              <w:keepNext w:val="0"/>
              <w:keepLines w:val="0"/>
              <w:pageBreakBefore w:val="0"/>
              <w:kinsoku/>
              <w:wordWrap w:val="0"/>
              <w:overflowPunct w:val="0"/>
              <w:topLinePunct/>
              <w:bidi w:val="0"/>
              <w:spacing w:line="440" w:lineRule="exact"/>
              <w:jc w:val="center"/>
              <w:textAlignment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pPr>
              <w:keepNext w:val="0"/>
              <w:keepLines w:val="0"/>
              <w:pageBreakBefore w:val="0"/>
              <w:kinsoku/>
              <w:bidi w:val="0"/>
              <w:spacing w:line="440" w:lineRule="exact"/>
              <w:ind w:firstLine="28"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Cs w:val="21"/>
              </w:rPr>
              <w:t>1</w:t>
            </w:r>
          </w:p>
        </w:tc>
        <w:tc>
          <w:tcPr>
            <w:tcW w:w="1280"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val="en-US" w:eastAsia="zh-CN"/>
              </w:rPr>
              <w:t>报价</w:t>
            </w:r>
          </w:p>
        </w:tc>
        <w:tc>
          <w:tcPr>
            <w:tcW w:w="941"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val="en-US" w:eastAsia="zh-CN"/>
              </w:rPr>
              <w:t>30</w:t>
            </w:r>
          </w:p>
        </w:tc>
        <w:tc>
          <w:tcPr>
            <w:tcW w:w="4119" w:type="dxa"/>
            <w:shd w:val="clear" w:color="auto" w:fill="auto"/>
            <w:vAlign w:val="center"/>
          </w:tcPr>
          <w:p>
            <w:pPr>
              <w:keepNext w:val="0"/>
              <w:keepLines w:val="0"/>
              <w:pageBreakBefore w:val="0"/>
              <w:kinsoku/>
              <w:bidi w:val="0"/>
              <w:spacing w:line="440" w:lineRule="exac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color w:val="auto"/>
                <w:sz w:val="24"/>
                <w:szCs w:val="24"/>
                <w:highlight w:val="none"/>
                <w:lang w:val="en-US" w:eastAsia="zh-CN"/>
              </w:rPr>
              <w:t>满足采购文件要求且以投标报价最低的为评标基准价，价格分为30分。价格分按照以下公式计算：价格分=（评标基准价/投标报价）×30</w:t>
            </w:r>
          </w:p>
        </w:tc>
        <w:tc>
          <w:tcPr>
            <w:tcW w:w="1126"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eastAsia="zh-CN"/>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pPr>
              <w:keepNext w:val="0"/>
              <w:keepLines w:val="0"/>
              <w:pageBreakBefore w:val="0"/>
              <w:kinsoku/>
              <w:bidi w:val="0"/>
              <w:spacing w:line="440" w:lineRule="exact"/>
              <w:ind w:firstLine="28"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Cs w:val="21"/>
              </w:rPr>
              <w:t>2</w:t>
            </w:r>
          </w:p>
        </w:tc>
        <w:tc>
          <w:tcPr>
            <w:tcW w:w="1280"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技术服务</w:t>
            </w:r>
          </w:p>
        </w:tc>
        <w:tc>
          <w:tcPr>
            <w:tcW w:w="941"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35</w:t>
            </w:r>
          </w:p>
        </w:tc>
        <w:tc>
          <w:tcPr>
            <w:tcW w:w="4119" w:type="dxa"/>
            <w:shd w:val="clear" w:color="auto" w:fill="auto"/>
            <w:vAlign w:val="center"/>
          </w:tcPr>
          <w:p>
            <w:pPr>
              <w:keepNext w:val="0"/>
              <w:keepLines w:val="0"/>
              <w:pageBreakBefore w:val="0"/>
              <w:numPr>
                <w:ilvl w:val="0"/>
                <w:numId w:val="4"/>
              </w:numPr>
              <w:kinsoku/>
              <w:bidi w:val="0"/>
              <w:spacing w:line="440" w:lineRule="exac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完全符合技术参数没有负偏离得</w:t>
            </w:r>
            <w:r>
              <w:rPr>
                <w:rFonts w:hint="eastAsia" w:asciiTheme="minorEastAsia" w:hAnsiTheme="minorEastAsia" w:eastAsiaTheme="minorEastAsia" w:cstheme="minorEastAsia"/>
                <w:b w:val="0"/>
                <w:bCs/>
                <w:color w:val="0000FF"/>
                <w:sz w:val="24"/>
                <w:szCs w:val="24"/>
                <w:lang w:val="en-US" w:eastAsia="zh-CN"/>
              </w:rPr>
              <w:t>35分</w:t>
            </w:r>
            <w:r>
              <w:rPr>
                <w:rFonts w:hint="eastAsia" w:asciiTheme="minorEastAsia" w:hAnsiTheme="minorEastAsia" w:eastAsiaTheme="minorEastAsia" w:cstheme="minorEastAsia"/>
                <w:b w:val="0"/>
                <w:bCs/>
                <w:sz w:val="24"/>
                <w:szCs w:val="24"/>
                <w:lang w:val="en-US" w:eastAsia="zh-CN"/>
              </w:rPr>
              <w:t>；</w:t>
            </w:r>
          </w:p>
          <w:p>
            <w:pPr>
              <w:keepNext w:val="0"/>
              <w:keepLines w:val="0"/>
              <w:pageBreakBefore w:val="0"/>
              <w:numPr>
                <w:ilvl w:val="0"/>
                <w:numId w:val="4"/>
              </w:numPr>
              <w:kinsoku/>
              <w:bidi w:val="0"/>
              <w:spacing w:line="440" w:lineRule="exac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i w:val="0"/>
                <w:iCs w:val="0"/>
                <w:caps w:val="0"/>
                <w:color w:val="000000"/>
                <w:spacing w:val="0"/>
                <w:kern w:val="0"/>
                <w:sz w:val="24"/>
                <w:szCs w:val="24"/>
                <w:u w:val="none"/>
                <w:lang w:val="en-US" w:eastAsia="zh-CN" w:bidi="ar"/>
              </w:rPr>
              <w:t>▲符号条款为本项目重要参数条款，共计4条，每一条偏离扣5分，扣完为止；</w:t>
            </w:r>
          </w:p>
          <w:p>
            <w:pPr>
              <w:keepNext w:val="0"/>
              <w:keepLines w:val="0"/>
              <w:pageBreakBefore w:val="0"/>
              <w:numPr>
                <w:ilvl w:val="0"/>
                <w:numId w:val="4"/>
              </w:numPr>
              <w:kinsoku/>
              <w:bidi w:val="0"/>
              <w:spacing w:line="440" w:lineRule="exac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i w:val="0"/>
                <w:iCs w:val="0"/>
                <w:caps w:val="0"/>
                <w:color w:val="000000"/>
                <w:spacing w:val="0"/>
                <w:kern w:val="0"/>
                <w:sz w:val="24"/>
                <w:szCs w:val="24"/>
                <w:u w:val="none"/>
                <w:lang w:val="en-US" w:eastAsia="zh-CN" w:bidi="ar"/>
              </w:rPr>
              <w:t>未标识符号的条款为一般参数条款，共计12条，每一条偏离扣1.25分，扣完为止。</w:t>
            </w:r>
          </w:p>
        </w:tc>
        <w:tc>
          <w:tcPr>
            <w:tcW w:w="1126"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eastAsia="zh-CN"/>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pPr>
              <w:keepNext w:val="0"/>
              <w:keepLines w:val="0"/>
              <w:pageBreakBefore w:val="0"/>
              <w:kinsoku/>
              <w:bidi w:val="0"/>
              <w:spacing w:line="440" w:lineRule="exact"/>
              <w:ind w:firstLine="28"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Cs w:val="21"/>
              </w:rPr>
              <w:t>3</w:t>
            </w:r>
          </w:p>
        </w:tc>
        <w:tc>
          <w:tcPr>
            <w:tcW w:w="1280"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售后服务</w:t>
            </w:r>
          </w:p>
        </w:tc>
        <w:tc>
          <w:tcPr>
            <w:tcW w:w="941"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25</w:t>
            </w:r>
          </w:p>
        </w:tc>
        <w:tc>
          <w:tcPr>
            <w:tcW w:w="4119" w:type="dxa"/>
            <w:shd w:val="clear" w:color="auto" w:fill="auto"/>
            <w:vAlign w:val="center"/>
          </w:tcPr>
          <w:p>
            <w:pPr>
              <w:keepNext w:val="0"/>
              <w:keepLines w:val="0"/>
              <w:pageBreakBefore w:val="0"/>
              <w:kinsoku/>
              <w:bidi w:val="0"/>
              <w:spacing w:line="440" w:lineRule="exac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根据供应商提供的针对本项目的实施方案进行综合评审。包含：（1）售后服务计划（响应时间、服务方式）（2）项目人员配置；（3）项目运营及培训方案；（4）使用满意保障计划；（5）应急方案。</w:t>
            </w:r>
          </w:p>
          <w:p>
            <w:pPr>
              <w:keepNext w:val="0"/>
              <w:keepLines w:val="0"/>
              <w:pageBreakBefore w:val="0"/>
              <w:kinsoku/>
              <w:bidi w:val="0"/>
              <w:spacing w:line="440" w:lineRule="exac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上述方案内容完整得25分，每缺少一项扣5分；每有一项方案内容存在缺陷扣2.5分。</w:t>
            </w:r>
          </w:p>
          <w:p>
            <w:pPr>
              <w:keepNext w:val="0"/>
              <w:keepLines w:val="0"/>
              <w:pageBreakBefore w:val="0"/>
              <w:kinsoku/>
              <w:bidi w:val="0"/>
              <w:spacing w:line="440" w:lineRule="exac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备注：</w:t>
            </w:r>
            <w:r>
              <w:rPr>
                <w:rFonts w:hint="eastAsia" w:asciiTheme="minorEastAsia" w:hAnsiTheme="minorEastAsia" w:eastAsiaTheme="minorEastAsia" w:cstheme="minorEastAsia"/>
                <w:lang w:val="en-US" w:eastAsia="zh-CN"/>
              </w:rPr>
              <w:t>内容缺陷是指非专门针对本项目或不适用项目特性的情形、内容不完整或缺少关键节点、套用其他项目内容、内容前后矛盾、涉及的规范及标准错误、不利于项目实施、不可能实现的情形等任意一种情形。</w:t>
            </w:r>
          </w:p>
        </w:tc>
        <w:tc>
          <w:tcPr>
            <w:tcW w:w="1126" w:type="dxa"/>
            <w:shd w:val="clear" w:color="auto" w:fill="auto"/>
            <w:vAlign w:val="center"/>
          </w:tcPr>
          <w:p>
            <w:pPr>
              <w:keepNext w:val="0"/>
              <w:keepLines w:val="0"/>
              <w:pageBreakBefore w:val="0"/>
              <w:tabs>
                <w:tab w:val="left" w:pos="395"/>
              </w:tabs>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eastAsia="zh-CN"/>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pPr>
              <w:keepNext w:val="0"/>
              <w:keepLines w:val="0"/>
              <w:pageBreakBefore w:val="0"/>
              <w:kinsoku/>
              <w:bidi w:val="0"/>
              <w:spacing w:line="440" w:lineRule="exact"/>
              <w:ind w:firstLine="28"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Cs w:val="21"/>
              </w:rPr>
              <w:t>4</w:t>
            </w:r>
          </w:p>
        </w:tc>
        <w:tc>
          <w:tcPr>
            <w:tcW w:w="1280"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业绩</w:t>
            </w:r>
          </w:p>
        </w:tc>
        <w:tc>
          <w:tcPr>
            <w:tcW w:w="941"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10</w:t>
            </w:r>
          </w:p>
        </w:tc>
        <w:tc>
          <w:tcPr>
            <w:tcW w:w="4119" w:type="dxa"/>
            <w:shd w:val="clear" w:color="auto" w:fill="auto"/>
            <w:vAlign w:val="center"/>
          </w:tcPr>
          <w:p>
            <w:pPr>
              <w:keepNext w:val="0"/>
              <w:keepLines w:val="0"/>
              <w:pageBreakBefore w:val="0"/>
              <w:kinsoku/>
              <w:bidi w:val="0"/>
              <w:spacing w:line="440" w:lineRule="exac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具有</w:t>
            </w:r>
            <w:r>
              <w:rPr>
                <w:rFonts w:hint="eastAsia" w:asciiTheme="minorEastAsia" w:hAnsiTheme="minorEastAsia" w:eastAsiaTheme="minorEastAsia" w:cstheme="minorEastAsia"/>
                <w:b w:val="0"/>
                <w:bCs/>
                <w:color w:val="auto"/>
                <w:sz w:val="24"/>
                <w:szCs w:val="24"/>
                <w:lang w:val="en-US" w:eastAsia="zh-CN"/>
              </w:rPr>
              <w:t>2022年1月1日</w:t>
            </w:r>
            <w:r>
              <w:rPr>
                <w:rFonts w:hint="eastAsia" w:asciiTheme="minorEastAsia" w:hAnsiTheme="minorEastAsia" w:eastAsiaTheme="minorEastAsia" w:cstheme="minorEastAsia"/>
                <w:b w:val="0"/>
                <w:bCs/>
                <w:sz w:val="24"/>
                <w:szCs w:val="24"/>
                <w:lang w:val="en-US" w:eastAsia="zh-CN"/>
              </w:rPr>
              <w:t>后同类项目或所投产品业绩，每提供一份合同复印件得2分，最高10分。</w:t>
            </w:r>
          </w:p>
        </w:tc>
        <w:tc>
          <w:tcPr>
            <w:tcW w:w="1126" w:type="dxa"/>
            <w:shd w:val="clear" w:color="auto" w:fill="auto"/>
            <w:vAlign w:val="center"/>
          </w:tcPr>
          <w:p>
            <w:pPr>
              <w:keepNext w:val="0"/>
              <w:keepLines w:val="0"/>
              <w:pageBreakBefore w:val="0"/>
              <w:kinsoku/>
              <w:bidi w:val="0"/>
              <w:spacing w:line="440" w:lineRule="exact"/>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eastAsia="zh-CN"/>
              </w:rPr>
              <w:t>客观</w:t>
            </w:r>
          </w:p>
        </w:tc>
      </w:tr>
    </w:tbl>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附件2：主要表格格式</w:t>
      </w:r>
    </w:p>
    <w:p>
      <w:pPr>
        <w:pStyle w:val="7"/>
        <w:keepNext w:val="0"/>
        <w:keepLines w:val="0"/>
        <w:pageBreakBefore w:val="0"/>
        <w:kinsoku/>
        <w:bidi w:val="0"/>
        <w:spacing w:line="440" w:lineRule="exact"/>
        <w:rPr>
          <w:rFonts w:hint="default"/>
          <w:u w:val="single"/>
          <w:lang w:val="en-US" w:eastAsia="zh-CN"/>
        </w:rPr>
      </w:pPr>
      <w:r>
        <w:rPr>
          <w:rFonts w:hint="eastAsia" w:ascii="宋体" w:hAnsi="宋体" w:eastAsia="宋体" w:cs="宋体"/>
          <w:b/>
          <w:bCs/>
          <w:kern w:val="2"/>
          <w:sz w:val="24"/>
          <w:szCs w:val="24"/>
          <w:highlight w:val="none"/>
          <w:u w:val="single"/>
          <w:lang w:val="en-US" w:eastAsia="zh-CN" w:bidi="ar-SA"/>
        </w:rPr>
        <w:t>2-1</w:t>
      </w:r>
    </w:p>
    <w:p>
      <w:pPr>
        <w:keepNext w:val="0"/>
        <w:keepLines w:val="0"/>
        <w:pageBreakBefore w:val="0"/>
        <w:widowControl/>
        <w:kinsoku/>
        <w:wordWrap/>
        <w:overflowPunct/>
        <w:topLinePunct w:val="0"/>
        <w:autoSpaceDE/>
        <w:autoSpaceDN/>
        <w:bidi w:val="0"/>
        <w:snapToGrid/>
        <w:spacing w:beforeAutospacing="0" w:afterAutospacing="0"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7"/>
        <w:keepNext w:val="0"/>
        <w:keepLines w:val="0"/>
        <w:pageBreakBefore w:val="0"/>
        <w:kinsoku/>
        <w:wordWrap/>
        <w:overflowPunct/>
        <w:topLinePunct w:val="0"/>
        <w:autoSpaceDE/>
        <w:autoSpaceDN/>
        <w:bidi w:val="0"/>
        <w:spacing w:line="440" w:lineRule="exact"/>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30"/>
        <w:tblW w:w="82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3679"/>
        <w:gridCol w:w="3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top"/>
          </w:tcPr>
          <w:p>
            <w:pPr>
              <w:pStyle w:val="29"/>
              <w:keepNext w:val="0"/>
              <w:keepLines w:val="0"/>
              <w:pageBreakBefore w:val="0"/>
              <w:widowControl w:val="0"/>
              <w:kinsoku/>
              <w:wordWrap/>
              <w:overflowPunct/>
              <w:topLinePunct w:val="0"/>
              <w:autoSpaceDE/>
              <w:autoSpaceDN/>
              <w:bidi w:val="0"/>
              <w:adjustRightInd/>
              <w:snapToGrid w:val="0"/>
              <w:spacing w:before="134" w:line="440" w:lineRule="exact"/>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679" w:type="dxa"/>
            <w:vAlign w:val="top"/>
          </w:tcPr>
          <w:p>
            <w:pPr>
              <w:pStyle w:val="29"/>
              <w:keepNext w:val="0"/>
              <w:keepLines w:val="0"/>
              <w:pageBreakBefore w:val="0"/>
              <w:widowControl w:val="0"/>
              <w:kinsoku/>
              <w:wordWrap/>
              <w:overflowPunct/>
              <w:topLinePunct w:val="0"/>
              <w:autoSpaceDE/>
              <w:autoSpaceDN/>
              <w:bidi w:val="0"/>
              <w:adjustRightInd/>
              <w:snapToGrid w:val="0"/>
              <w:spacing w:before="134" w:line="440" w:lineRule="exact"/>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18" w:type="dxa"/>
            <w:vAlign w:val="top"/>
          </w:tcPr>
          <w:p>
            <w:pPr>
              <w:pStyle w:val="29"/>
              <w:keepNext w:val="0"/>
              <w:keepLines w:val="0"/>
              <w:pageBreakBefore w:val="0"/>
              <w:widowControl w:val="0"/>
              <w:kinsoku/>
              <w:wordWrap/>
              <w:overflowPunct/>
              <w:topLinePunct w:val="0"/>
              <w:autoSpaceDE/>
              <w:autoSpaceDN/>
              <w:bidi w:val="0"/>
              <w:adjustRightInd/>
              <w:snapToGrid w:val="0"/>
              <w:spacing w:before="134" w:line="440" w:lineRule="exact"/>
              <w:ind w:left="183"/>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96" w:type="dxa"/>
            <w:vAlign w:val="center"/>
          </w:tcPr>
          <w:p>
            <w:pPr>
              <w:pStyle w:val="31"/>
              <w:keepNext w:val="0"/>
              <w:keepLines w:val="0"/>
              <w:pageBreakBefore w:val="0"/>
              <w:numPr>
                <w:ilvl w:val="0"/>
                <w:numId w:val="0"/>
              </w:numPr>
              <w:kinsoku/>
              <w:bidi w:val="0"/>
              <w:spacing w:line="440" w:lineRule="exact"/>
              <w:ind w:leftChars="0"/>
              <w:jc w:val="center"/>
              <w:rPr>
                <w:rFonts w:hint="eastAsia" w:hAnsi="宋体"/>
                <w:lang w:val="en-US" w:eastAsia="zh-CN"/>
              </w:rPr>
            </w:pPr>
            <w:r>
              <w:rPr>
                <w:rFonts w:hint="eastAsia" w:hAnsi="宋体"/>
                <w:lang w:val="en-US" w:eastAsia="zh-CN"/>
              </w:rPr>
              <w:t>1</w:t>
            </w:r>
          </w:p>
        </w:tc>
        <w:tc>
          <w:tcPr>
            <w:tcW w:w="3679" w:type="dxa"/>
            <w:shd w:val="clear" w:color="auto" w:fill="FFFFFF" w:themeFill="background1"/>
            <w:vAlign w:val="top"/>
          </w:tcPr>
          <w:p>
            <w:pPr>
              <w:pStyle w:val="31"/>
              <w:keepNext w:val="0"/>
              <w:keepLines w:val="0"/>
              <w:pageBreakBefore w:val="0"/>
              <w:numPr>
                <w:ilvl w:val="0"/>
                <w:numId w:val="0"/>
              </w:numPr>
              <w:kinsoku/>
              <w:bidi w:val="0"/>
              <w:spacing w:line="440" w:lineRule="exact"/>
              <w:ind w:leftChars="0"/>
              <w:jc w:val="center"/>
              <w:rPr>
                <w:rFonts w:hint="eastAsia" w:hAnsi="宋体"/>
                <w:lang w:val="en-US" w:eastAsia="zh-CN"/>
              </w:rPr>
            </w:pPr>
          </w:p>
        </w:tc>
        <w:tc>
          <w:tcPr>
            <w:tcW w:w="3818" w:type="dxa"/>
            <w:shd w:val="clear" w:color="auto" w:fill="FFFFFF" w:themeFill="background1"/>
            <w:vAlign w:val="center"/>
          </w:tcPr>
          <w:p>
            <w:pPr>
              <w:pStyle w:val="29"/>
              <w:keepNext w:val="0"/>
              <w:keepLines w:val="0"/>
              <w:pageBreakBefore w:val="0"/>
              <w:widowControl w:val="0"/>
              <w:kinsoku/>
              <w:wordWrap/>
              <w:overflowPunct/>
              <w:topLinePunct w:val="0"/>
              <w:autoSpaceDE/>
              <w:autoSpaceDN/>
              <w:bidi w:val="0"/>
              <w:adjustRightInd/>
              <w:snapToGrid w:val="0"/>
              <w:spacing w:before="33" w:line="440" w:lineRule="exact"/>
              <w:ind w:left="41" w:right="56"/>
              <w:jc w:val="center"/>
              <w:textAlignment w:val="auto"/>
              <w:rPr>
                <w:rFonts w:hint="eastAsia" w:ascii="宋体" w:hAnsi="宋体" w:eastAsia="宋体" w:cs="宋体"/>
                <w:sz w:val="24"/>
                <w:szCs w:val="24"/>
                <w:lang w:val="en-US" w:eastAsia="zh-CN"/>
              </w:rPr>
            </w:pPr>
          </w:p>
        </w:tc>
      </w:tr>
    </w:tbl>
    <w:p>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numPr>
          <w:ilvl w:val="0"/>
          <w:numId w:val="5"/>
        </w:numPr>
        <w:kinsoku/>
        <w:wordWrap/>
        <w:overflowPunct/>
        <w:topLinePunct w:val="0"/>
        <w:autoSpaceDE/>
        <w:autoSpaceDN/>
        <w:bidi w:val="0"/>
        <w:snapToGrid/>
        <w:spacing w:beforeAutospacing="0" w:afterAutospacing="0" w:line="440" w:lineRule="exact"/>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pPr>
        <w:keepNext w:val="0"/>
        <w:keepLines w:val="0"/>
        <w:pageBreakBefore w:val="0"/>
        <w:widowControl/>
        <w:numPr>
          <w:ilvl w:val="0"/>
          <w:numId w:val="5"/>
        </w:numPr>
        <w:kinsoku/>
        <w:wordWrap/>
        <w:overflowPunct/>
        <w:topLinePunct w:val="0"/>
        <w:autoSpaceDE/>
        <w:autoSpaceDN/>
        <w:bidi w:val="0"/>
        <w:snapToGrid/>
        <w:spacing w:beforeAutospacing="0" w:afterAutospacing="0" w:line="440" w:lineRule="exact"/>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440" w:lineRule="exact"/>
        <w:ind w:leftChars="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snapToGrid/>
        <w:spacing w:beforeAutospacing="0" w:afterAutospacing="0" w:line="440" w:lineRule="exact"/>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napToGrid/>
        <w:spacing w:beforeAutospacing="0" w:afterAutospacing="0" w:line="440" w:lineRule="exact"/>
        <w:jc w:val="center"/>
        <w:textAlignment w:val="auto"/>
        <w:outlineLvl w:val="9"/>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440" w:lineRule="exact"/>
        <w:jc w:val="left"/>
        <w:textAlignment w:val="auto"/>
        <w:outlineLvl w:val="9"/>
        <w:rPr>
          <w:rFonts w:hint="eastAsia" w:ascii="宋体" w:hAnsi="宋体" w:eastAsia="宋体" w:cs="宋体"/>
          <w:b/>
          <w:bCs w:val="0"/>
          <w:color w:val="auto"/>
          <w:sz w:val="24"/>
          <w:szCs w:val="24"/>
          <w:highlight w:val="none"/>
          <w:lang w:val="zh-CN"/>
        </w:rPr>
      </w:pPr>
    </w:p>
    <w:p>
      <w:pPr>
        <w:pStyle w:val="7"/>
        <w:keepNext w:val="0"/>
        <w:keepLines w:val="0"/>
        <w:pageBreakBefore w:val="0"/>
        <w:kinsoku/>
        <w:wordWrap/>
        <w:overflowPunct/>
        <w:topLinePunct w:val="0"/>
        <w:autoSpaceDE/>
        <w:autoSpaceDN/>
        <w:bidi w:val="0"/>
        <w:spacing w:beforeAutospacing="0" w:afterAutospacing="0" w:line="440" w:lineRule="exact"/>
        <w:outlineLvl w:val="9"/>
        <w:rPr>
          <w:rFonts w:hint="eastAsia" w:ascii="宋体" w:hAnsi="宋体" w:eastAsia="宋体" w:cs="宋体"/>
          <w:b/>
          <w:bCs w:val="0"/>
          <w:color w:val="auto"/>
          <w:sz w:val="24"/>
          <w:szCs w:val="24"/>
          <w:highlight w:val="none"/>
          <w:lang w:val="zh-CN"/>
        </w:rPr>
      </w:pPr>
    </w:p>
    <w:p>
      <w:pPr>
        <w:keepNext w:val="0"/>
        <w:keepLines w:val="0"/>
        <w:pageBreakBefore w:val="0"/>
        <w:kinsoku/>
        <w:wordWrap/>
        <w:overflowPunct/>
        <w:topLinePunct w:val="0"/>
        <w:autoSpaceDE/>
        <w:autoSpaceDN/>
        <w:bidi w:val="0"/>
        <w:spacing w:beforeAutospacing="0" w:afterAutospacing="0" w:line="440" w:lineRule="exact"/>
        <w:outlineLvl w:val="9"/>
        <w:rPr>
          <w:rFonts w:hint="eastAsia" w:ascii="宋体" w:hAnsi="宋体" w:eastAsia="宋体" w:cs="宋体"/>
          <w:b/>
          <w:bCs w:val="0"/>
          <w:color w:val="auto"/>
          <w:sz w:val="24"/>
          <w:szCs w:val="24"/>
          <w:highlight w:val="none"/>
          <w:lang w:val="zh-CN"/>
        </w:rPr>
      </w:pPr>
    </w:p>
    <w:p>
      <w:pPr>
        <w:keepNext w:val="0"/>
        <w:keepLines w:val="0"/>
        <w:pageBreakBefore w:val="0"/>
        <w:tabs>
          <w:tab w:val="left" w:pos="540"/>
        </w:tabs>
        <w:kinsoku/>
        <w:wordWrap/>
        <w:overflowPunct/>
        <w:topLinePunct w:val="0"/>
        <w:autoSpaceDE/>
        <w:autoSpaceDN/>
        <w:bidi w:val="0"/>
        <w:snapToGrid/>
        <w:spacing w:beforeAutospacing="0" w:afterAutospacing="0" w:line="440" w:lineRule="exact"/>
        <w:ind w:left="720" w:hanging="720"/>
        <w:jc w:val="center"/>
        <w:textAlignment w:val="auto"/>
        <w:outlineLvl w:val="9"/>
        <w:rPr>
          <w:rFonts w:hint="eastAsia" w:ascii="宋体" w:hAnsi="宋体" w:eastAsia="宋体" w:cs="宋体"/>
          <w:b/>
          <w:bCs w:val="0"/>
          <w:color w:val="auto"/>
          <w:sz w:val="24"/>
          <w:szCs w:val="24"/>
          <w:highlight w:val="none"/>
          <w:lang w:val="zh-CN"/>
        </w:rPr>
      </w:pPr>
    </w:p>
    <w:p>
      <w:pPr>
        <w:keepNext w:val="0"/>
        <w:keepLines w:val="0"/>
        <w:pageBreakBefore w:val="0"/>
        <w:tabs>
          <w:tab w:val="left" w:pos="540"/>
        </w:tabs>
        <w:kinsoku/>
        <w:wordWrap/>
        <w:overflowPunct/>
        <w:topLinePunct w:val="0"/>
        <w:autoSpaceDE/>
        <w:autoSpaceDN/>
        <w:bidi w:val="0"/>
        <w:snapToGrid/>
        <w:spacing w:beforeAutospacing="0" w:afterAutospacing="0" w:line="440" w:lineRule="exact"/>
        <w:ind w:left="720" w:hanging="720"/>
        <w:jc w:val="center"/>
        <w:textAlignment w:val="auto"/>
        <w:outlineLvl w:val="9"/>
        <w:rPr>
          <w:rFonts w:hint="eastAsia" w:ascii="宋体" w:hAnsi="宋体" w:eastAsia="宋体" w:cs="宋体"/>
          <w:b/>
          <w:bCs w:val="0"/>
          <w:color w:val="auto"/>
          <w:sz w:val="24"/>
          <w:szCs w:val="24"/>
          <w:highlight w:val="none"/>
          <w:lang w:val="zh-CN"/>
        </w:rPr>
      </w:pPr>
    </w:p>
    <w:p>
      <w:pPr>
        <w:pStyle w:val="14"/>
        <w:keepNext w:val="0"/>
        <w:keepLines w:val="0"/>
        <w:pageBreakBefore w:val="0"/>
        <w:kinsoku/>
        <w:wordWrap/>
        <w:overflowPunct/>
        <w:topLinePunct w:val="0"/>
        <w:autoSpaceDE/>
        <w:autoSpaceDN/>
        <w:bidi w:val="0"/>
        <w:spacing w:line="440" w:lineRule="exact"/>
        <w:jc w:val="left"/>
        <w:outlineLvl w:val="9"/>
        <w:rPr>
          <w:rFonts w:hint="eastAsia" w:ascii="宋体" w:hAnsi="宋体" w:eastAsia="宋体" w:cs="宋体"/>
          <w:b/>
          <w:bCs/>
          <w:color w:val="auto"/>
          <w:sz w:val="24"/>
          <w:szCs w:val="24"/>
          <w:lang w:val="en-US" w:eastAsia="zh-CN"/>
        </w:rPr>
      </w:pPr>
    </w:p>
    <w:p>
      <w:pPr>
        <w:pStyle w:val="14"/>
        <w:keepNext w:val="0"/>
        <w:keepLines w:val="0"/>
        <w:pageBreakBefore w:val="0"/>
        <w:kinsoku/>
        <w:wordWrap/>
        <w:overflowPunct/>
        <w:topLinePunct w:val="0"/>
        <w:autoSpaceDE/>
        <w:autoSpaceDN/>
        <w:bidi w:val="0"/>
        <w:spacing w:line="440" w:lineRule="exact"/>
        <w:jc w:val="left"/>
        <w:outlineLvl w:val="9"/>
        <w:rPr>
          <w:rFonts w:hint="eastAsia" w:ascii="宋体" w:hAnsi="宋体" w:eastAsia="宋体" w:cs="宋体"/>
          <w:b/>
          <w:bCs/>
          <w:color w:val="auto"/>
          <w:sz w:val="24"/>
          <w:szCs w:val="24"/>
          <w:lang w:val="en-US" w:eastAsia="zh-CN"/>
        </w:rPr>
      </w:pPr>
    </w:p>
    <w:p>
      <w:pPr>
        <w:pStyle w:val="14"/>
        <w:keepNext w:val="0"/>
        <w:keepLines w:val="0"/>
        <w:pageBreakBefore w:val="0"/>
        <w:kinsoku/>
        <w:wordWrap/>
        <w:overflowPunct/>
        <w:topLinePunct w:val="0"/>
        <w:autoSpaceDE/>
        <w:autoSpaceDN/>
        <w:bidi w:val="0"/>
        <w:spacing w:line="440" w:lineRule="exact"/>
        <w:jc w:val="left"/>
        <w:outlineLvl w:val="9"/>
        <w:rPr>
          <w:rFonts w:hint="eastAsia" w:ascii="宋体" w:hAnsi="宋体" w:eastAsia="宋体" w:cs="宋体"/>
          <w:b/>
          <w:bCs/>
          <w:color w:val="auto"/>
          <w:sz w:val="24"/>
          <w:szCs w:val="24"/>
          <w:lang w:val="en-US" w:eastAsia="zh-CN"/>
        </w:rPr>
      </w:pPr>
    </w:p>
    <w:p>
      <w:pPr>
        <w:keepNext w:val="0"/>
        <w:keepLines w:val="0"/>
        <w:pageBreakBefore w:val="0"/>
        <w:kinsoku/>
        <w:bidi w:val="0"/>
        <w:spacing w:line="440" w:lineRule="exact"/>
        <w:rPr>
          <w:rFonts w:hint="eastAsia"/>
          <w:lang w:val="en-US" w:eastAsia="zh-CN"/>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2-2</w:t>
      </w:r>
    </w:p>
    <w:p>
      <w:pPr>
        <w:pStyle w:val="24"/>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24"/>
        <w:keepNext w:val="0"/>
        <w:keepLines w:val="0"/>
        <w:pageBreakBefore w:val="0"/>
        <w:kinsoku/>
        <w:wordWrap/>
        <w:overflowPunct/>
        <w:topLinePunct w:val="0"/>
        <w:bidi w:val="0"/>
        <w:spacing w:line="440" w:lineRule="exact"/>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auto"/>
                <w:sz w:val="24"/>
                <w:szCs w:val="20"/>
                <w:highlight w:val="none"/>
              </w:rPr>
            </w:pPr>
          </w:p>
        </w:tc>
      </w:tr>
    </w:tbl>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auto"/>
                <w:sz w:val="24"/>
                <w:szCs w:val="20"/>
                <w:highlight w:val="none"/>
              </w:rPr>
            </w:pPr>
          </w:p>
        </w:tc>
      </w:tr>
    </w:tbl>
    <w:p>
      <w:pPr>
        <w:keepNext w:val="0"/>
        <w:keepLines w:val="0"/>
        <w:pageBreakBefore w:val="0"/>
        <w:kinsoku/>
        <w:bidi w:val="0"/>
        <w:spacing w:line="440" w:lineRule="exact"/>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keepNext w:val="0"/>
        <w:keepLines w:val="0"/>
        <w:pageBreakBefore w:val="0"/>
        <w:widowControl/>
        <w:shd w:val="clear" w:color="auto" w:fill="FFFFFF"/>
        <w:kinsoku/>
        <w:wordWrap w:val="0"/>
        <w:bidi w:val="0"/>
        <w:spacing w:line="440" w:lineRule="exac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2-3</w:t>
      </w:r>
    </w:p>
    <w:p>
      <w:pPr>
        <w:pStyle w:val="7"/>
        <w:keepNext w:val="0"/>
        <w:keepLines w:val="0"/>
        <w:pageBreakBefore w:val="0"/>
        <w:kinsoku/>
        <w:bidi w:val="0"/>
        <w:spacing w:line="440" w:lineRule="exact"/>
        <w:rPr>
          <w:rFonts w:hint="default"/>
          <w:lang w:val="en-US"/>
        </w:rPr>
      </w:pP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7"/>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8"/>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keepNext w:val="0"/>
              <w:keepLines w:val="0"/>
              <w:pageBreakBefore w:val="0"/>
              <w:tabs>
                <w:tab w:val="left" w:pos="5580"/>
              </w:tabs>
              <w:kinsoku/>
              <w:bidi w:val="0"/>
              <w:spacing w:line="440" w:lineRule="exact"/>
              <w:jc w:val="left"/>
              <w:rPr>
                <w:rFonts w:hint="eastAsia" w:asciiTheme="minorEastAsia" w:hAnsiTheme="minorEastAsia" w:eastAsiaTheme="minorEastAsia" w:cstheme="minorEastAsia"/>
                <w:color w:val="000000"/>
                <w:sz w:val="24"/>
                <w:szCs w:val="24"/>
                <w:highlight w:val="none"/>
              </w:rPr>
            </w:pPr>
          </w:p>
        </w:tc>
      </w:tr>
    </w:tbl>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keepNext w:val="0"/>
        <w:keepLines w:val="0"/>
        <w:pageBreakBefore w:val="0"/>
        <w:kinsoku/>
        <w:bidi w:val="0"/>
        <w:spacing w:line="440" w:lineRule="exac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7"/>
        <w:keepNext w:val="0"/>
        <w:keepLines w:val="0"/>
        <w:pageBreakBefore w:val="0"/>
        <w:kinsoku/>
        <w:bidi w:val="0"/>
        <w:spacing w:line="440" w:lineRule="exact"/>
        <w:rPr>
          <w:rFonts w:hint="default"/>
          <w:lang w:val="en-US" w:eastAsia="zh-CN"/>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pStyle w:val="7"/>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pPr>
        <w:pStyle w:val="16"/>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pPr>
        <w:pStyle w:val="16"/>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pPr>
        <w:pStyle w:val="16"/>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pPr>
        <w:pStyle w:val="16"/>
        <w:keepNext w:val="0"/>
        <w:keepLines w:val="0"/>
        <w:pageBreakBefore w:val="0"/>
        <w:kinsoku/>
        <w:bidi w:val="0"/>
        <w:spacing w:line="440" w:lineRule="exact"/>
        <w:rPr>
          <w:rFonts w:hint="eastAsia" w:ascii="宋体" w:hAnsi="宋体" w:eastAsia="宋体" w:cs="宋体"/>
          <w:b/>
          <w:bCs/>
          <w:kern w:val="2"/>
          <w:sz w:val="24"/>
          <w:szCs w:val="24"/>
          <w:highlight w:val="none"/>
          <w:lang w:val="en-US" w:eastAsia="zh-CN" w:bidi="ar-SA"/>
        </w:rPr>
      </w:pPr>
    </w:p>
    <w:p>
      <w:pPr>
        <w:pStyle w:val="16"/>
        <w:keepNext w:val="0"/>
        <w:keepLines w:val="0"/>
        <w:pageBreakBefore w:val="0"/>
        <w:kinsoku/>
        <w:bidi w:val="0"/>
        <w:spacing w:line="440" w:lineRule="exact"/>
        <w:ind w:left="0" w:leftChars="0" w:firstLine="0" w:firstLineChars="0"/>
        <w:rPr>
          <w:rFonts w:hint="default"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2-4</w:t>
      </w:r>
    </w:p>
    <w:p>
      <w:pPr>
        <w:pStyle w:val="16"/>
        <w:keepNext w:val="0"/>
        <w:keepLines w:val="0"/>
        <w:pageBreakBefore w:val="0"/>
        <w:kinsoku/>
        <w:bidi w:val="0"/>
        <w:spacing w:line="440" w:lineRule="exact"/>
        <w:rPr>
          <w:rFonts w:hint="eastAsia" w:ascii="宋体" w:hAnsi="宋体" w:eastAsia="宋体" w:cs="宋体"/>
          <w:b/>
          <w:bCs/>
          <w:kern w:val="2"/>
          <w:sz w:val="24"/>
          <w:szCs w:val="24"/>
          <w:highlight w:val="none"/>
          <w:u w:val="single"/>
          <w:lang w:val="en-US" w:eastAsia="zh-CN" w:bidi="ar-SA"/>
        </w:rPr>
      </w:pPr>
    </w:p>
    <w:p>
      <w:pPr>
        <w:pStyle w:val="25"/>
        <w:keepNext w:val="0"/>
        <w:keepLines w:val="0"/>
        <w:pageBreakBefore w:val="0"/>
        <w:kinsoku/>
        <w:overflowPunct/>
        <w:topLinePunct w:val="0"/>
        <w:autoSpaceDE/>
        <w:autoSpaceDN/>
        <w:bidi w:val="0"/>
        <w:snapToGrid w:val="0"/>
        <w:spacing w:before="156" w:beforeLines="50" w:after="312" w:afterLines="100" w:line="44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keepNext w:val="0"/>
        <w:keepLines w:val="0"/>
        <w:pageBreakBefore w:val="0"/>
        <w:kinsoku/>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9"/>
        <w:keepNext w:val="0"/>
        <w:keepLines w:val="0"/>
        <w:pageBreakBefore w:val="0"/>
        <w:kinsoku/>
        <w:overflowPunct/>
        <w:topLinePunct w:val="0"/>
        <w:autoSpaceDE/>
        <w:autoSpaceDN/>
        <w:bidi w:val="0"/>
        <w:spacing w:line="440" w:lineRule="exact"/>
        <w:textAlignment w:val="auto"/>
        <w:rPr>
          <w:rFonts w:hint="eastAsia" w:ascii="宋体" w:hAnsi="宋体" w:eastAsia="宋体" w:cs="宋体"/>
          <w:sz w:val="24"/>
          <w:szCs w:val="24"/>
        </w:rPr>
      </w:pPr>
    </w:p>
    <w:p>
      <w:pPr>
        <w:pStyle w:val="7"/>
        <w:keepNext w:val="0"/>
        <w:keepLines w:val="0"/>
        <w:pageBreakBefore w:val="0"/>
        <w:kinsoku/>
        <w:bidi w:val="0"/>
        <w:spacing w:line="440" w:lineRule="exact"/>
        <w:rPr>
          <w:rFonts w:hint="default"/>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pStyle w:val="7"/>
        <w:keepNext w:val="0"/>
        <w:keepLines w:val="0"/>
        <w:pageBreakBefore w:val="0"/>
        <w:kinsoku/>
        <w:bidi w:val="0"/>
        <w:spacing w:line="440" w:lineRule="exact"/>
        <w:rPr>
          <w:rFonts w:hint="eastAsia"/>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pStyle w:val="7"/>
        <w:keepNext w:val="0"/>
        <w:keepLines w:val="0"/>
        <w:pageBreakBefore w:val="0"/>
        <w:kinsoku/>
        <w:bidi w:val="0"/>
        <w:spacing w:line="440" w:lineRule="exact"/>
        <w:rPr>
          <w:rFonts w:hint="eastAsia" w:ascii="宋体" w:hAnsi="宋体" w:eastAsia="宋体" w:cs="宋体"/>
          <w:b/>
          <w:bCs/>
          <w:color w:val="auto"/>
          <w:sz w:val="24"/>
          <w:szCs w:val="24"/>
          <w:highlight w:val="none"/>
          <w:u w:val="single"/>
          <w:lang w:val="en-US" w:eastAsia="zh-CN"/>
        </w:rPr>
      </w:pPr>
    </w:p>
    <w:p>
      <w:pPr>
        <w:pStyle w:val="7"/>
        <w:keepNext w:val="0"/>
        <w:keepLines w:val="0"/>
        <w:pageBreakBefore w:val="0"/>
        <w:kinsoku/>
        <w:bidi w:val="0"/>
        <w:spacing w:line="440" w:lineRule="exact"/>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2-5</w:t>
      </w:r>
    </w:p>
    <w:p>
      <w:pPr>
        <w:pStyle w:val="15"/>
        <w:keepNext w:val="0"/>
        <w:keepLines w:val="0"/>
        <w:pageBreakBefore w:val="0"/>
        <w:widowControl/>
        <w:suppressLineNumbers w:val="0"/>
        <w:kinsoku/>
        <w:wordWrap/>
        <w:overflowPunct/>
        <w:topLinePunct w:val="0"/>
        <w:autoSpaceDE/>
        <w:autoSpaceDN/>
        <w:bidi w:val="0"/>
        <w:adjustRightInd/>
        <w:spacing w:line="44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pPr>
        <w:pStyle w:val="15"/>
        <w:keepNext w:val="0"/>
        <w:keepLines w:val="0"/>
        <w:pageBreakBefore w:val="0"/>
        <w:widowControl/>
        <w:suppressLineNumbers w:val="0"/>
        <w:kinsoku/>
        <w:wordWrap/>
        <w:overflowPunct/>
        <w:topLinePunct w:val="0"/>
        <w:autoSpaceDE/>
        <w:autoSpaceDN/>
        <w:bidi w:val="0"/>
        <w:adjustRightInd/>
        <w:spacing w:after="120" w:afterAutospacing="0" w:line="440" w:lineRule="exact"/>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pPr>
        <w:pStyle w:val="15"/>
        <w:keepNext w:val="0"/>
        <w:keepLines w:val="0"/>
        <w:pageBreakBefore w:val="0"/>
        <w:widowControl/>
        <w:suppressLineNumbers w:val="0"/>
        <w:kinsoku/>
        <w:wordWrap/>
        <w:overflowPunct/>
        <w:topLinePunct w:val="0"/>
        <w:autoSpaceDE/>
        <w:autoSpaceDN/>
        <w:bidi w:val="0"/>
        <w:adjustRightInd/>
        <w:spacing w:after="120" w:afterAutospacing="0" w:line="440" w:lineRule="exact"/>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8"/>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p>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p>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p>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pPr>
        <w:keepNext w:val="0"/>
        <w:keepLines w:val="0"/>
        <w:pageBreakBefore w:val="0"/>
        <w:kinsoku/>
        <w:bidi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keepNext w:val="0"/>
        <w:keepLines w:val="0"/>
        <w:pageBreakBefore w:val="0"/>
        <w:kinsoku/>
        <w:bidi w:val="0"/>
        <w:spacing w:line="44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资格证明</w:t>
      </w:r>
      <w:r>
        <w:rPr>
          <w:rFonts w:hint="eastAsia" w:ascii="宋体" w:hAnsi="宋体" w:eastAsia="宋体" w:cs="宋体"/>
          <w:b/>
          <w:bCs/>
          <w:color w:val="auto"/>
          <w:sz w:val="24"/>
          <w:szCs w:val="24"/>
          <w:highlight w:val="none"/>
        </w:rPr>
        <w:t>文件装订顺序</w:t>
      </w:r>
    </w:p>
    <w:p>
      <w:pPr>
        <w:pStyle w:val="7"/>
        <w:keepNext w:val="0"/>
        <w:keepLines w:val="0"/>
        <w:pageBreakBefore w:val="0"/>
        <w:kinsoku/>
        <w:bidi w:val="0"/>
        <w:spacing w:line="440" w:lineRule="exact"/>
        <w:rPr>
          <w:rFonts w:hint="eastAsia"/>
          <w:lang w:val="en-US" w:eastAsia="zh-CN"/>
        </w:rPr>
      </w:pPr>
    </w:p>
    <w:p>
      <w:pPr>
        <w:keepNext w:val="0"/>
        <w:keepLines w:val="0"/>
        <w:pageBreakBefore w:val="0"/>
        <w:kinsoku/>
        <w:bidi w:val="0"/>
        <w:spacing w:line="440" w:lineRule="exact"/>
        <w:jc w:val="center"/>
        <w:rPr>
          <w:rFonts w:hint="eastAsia" w:ascii="方正小标宋简体" w:hAnsi="宋体" w:eastAsia="方正小标宋简体" w:cs="宋体"/>
          <w:bCs/>
          <w:kern w:val="0"/>
          <w:sz w:val="32"/>
          <w:szCs w:val="32"/>
          <w:shd w:val="clear" w:color="auto" w:fill="FFFFFF"/>
        </w:rPr>
      </w:pPr>
      <w:r>
        <w:rPr>
          <w:rFonts w:hint="eastAsia" w:ascii="方正小标宋简体" w:hAnsi="宋体" w:eastAsia="方正小标宋简体" w:cs="宋体"/>
          <w:bCs/>
          <w:kern w:val="0"/>
          <w:sz w:val="32"/>
          <w:szCs w:val="32"/>
          <w:shd w:val="clear" w:color="auto" w:fill="FFFFFF"/>
          <w:lang w:val="en-US" w:eastAsia="zh-CN"/>
        </w:rPr>
        <w:t>资格证明</w:t>
      </w:r>
      <w:r>
        <w:rPr>
          <w:rFonts w:hint="eastAsia" w:ascii="方正小标宋简体" w:hAnsi="宋体" w:eastAsia="方正小标宋简体" w:cs="宋体"/>
          <w:bCs/>
          <w:kern w:val="0"/>
          <w:sz w:val="32"/>
          <w:szCs w:val="32"/>
          <w:shd w:val="clear" w:color="auto" w:fill="FFFFFF"/>
        </w:rPr>
        <w:t>文件装订顺序</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kern w:val="0"/>
          <w:sz w:val="24"/>
          <w:szCs w:val="24"/>
          <w:lang w:val="en-US" w:eastAsia="zh-CN" w:bidi="ar-SA"/>
        </w:rPr>
        <w:t>封面（注明包号、项目名称、公司名称、联系人、联系电话、加盖公章）</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6"/>
        </w:numPr>
        <w:kinsoku/>
        <w:wordWrap/>
        <w:overflowPunct/>
        <w:topLinePunct w:val="0"/>
        <w:autoSpaceDE/>
        <w:autoSpaceDN/>
        <w:bidi w:val="0"/>
        <w:adjustRightInd w:val="0"/>
        <w:spacing w:beforeAutospacing="0" w:afterAutospacing="0" w:line="440" w:lineRule="exact"/>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kern w:val="0"/>
          <w:sz w:val="24"/>
          <w:szCs w:val="24"/>
          <w:lang w:val="en-US" w:eastAsia="zh-CN" w:bidi="ar-SA"/>
        </w:rPr>
        <w:t>资格证明文件</w:t>
      </w:r>
    </w:p>
    <w:p>
      <w:pPr>
        <w:keepNext w:val="0"/>
        <w:keepLines w:val="0"/>
        <w:pageBreakBefore w:val="0"/>
        <w:numPr>
          <w:ilvl w:val="0"/>
          <w:numId w:val="6"/>
        </w:numPr>
        <w:kinsoku/>
        <w:wordWrap/>
        <w:overflowPunct/>
        <w:topLinePunct w:val="0"/>
        <w:autoSpaceDE/>
        <w:autoSpaceDN/>
        <w:bidi w:val="0"/>
        <w:adjustRightInd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lang w:val="en-US" w:eastAsia="zh-CN" w:bidi="ar-SA"/>
        </w:rPr>
        <w:t>授权参加本次采购活动的供应商代表证明</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SA"/>
        </w:rPr>
        <w:t>4.1供应商代表为“授权代表”时，提供授权委托书</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rPr>
      </w:pPr>
      <w:r>
        <w:rPr>
          <w:rFonts w:hint="eastAsia" w:ascii="宋体" w:hAnsi="宋体" w:eastAsia="宋体" w:cs="宋体"/>
          <w:color w:val="auto"/>
          <w:kern w:val="0"/>
          <w:sz w:val="24"/>
          <w:szCs w:val="24"/>
          <w:lang w:val="en-US" w:eastAsia="zh-CN" w:bidi="ar-SA"/>
        </w:rPr>
        <w:t>4.2供应商代表为“法定代表人（单位负责人）”时，提供法定代表人（单位负责人）身份证明</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SA"/>
        </w:rPr>
        <w:t>5.具有良好的商业信誉和健全的财务会计制度承诺函。(格式自拟)</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0"/>
          <w:sz w:val="24"/>
          <w:szCs w:val="24"/>
          <w:lang w:val="en-US" w:eastAsia="zh-CN" w:bidi="ar-SA"/>
        </w:rPr>
        <w:t>具有履行合同所必须的设备和专业技术能力承诺函。(格式自拟)</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7.具有依法缴纳税收和社会保障资金的良好记录承诺函。(格式自拟)</w:t>
      </w:r>
    </w:p>
    <w:p>
      <w:pPr>
        <w:keepNext w:val="0"/>
        <w:keepLines w:val="0"/>
        <w:pageBreakBefore w:val="0"/>
        <w:numPr>
          <w:ilvl w:val="0"/>
          <w:numId w:val="6"/>
        </w:numPr>
        <w:tabs>
          <w:tab w:val="left" w:pos="0"/>
        </w:tabs>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val="en-US" w:eastAsia="zh-CN" w:bidi="ar-SA"/>
        </w:rPr>
        <w:t>8.参加本次采购活动前三年内，在经营活动中没有重大违法记录；没有因安全事故、质量事故、违规等被政府有关部门记录承诺函。(格式自拟)</w:t>
      </w:r>
    </w:p>
    <w:p>
      <w:pPr>
        <w:pStyle w:val="7"/>
        <w:keepNext w:val="0"/>
        <w:keepLines w:val="0"/>
        <w:pageBreakBefore w:val="0"/>
        <w:kinsoku/>
        <w:bidi w:val="0"/>
        <w:spacing w:line="440" w:lineRule="exact"/>
        <w:rPr>
          <w:rFonts w:hint="eastAsia"/>
        </w:rPr>
      </w:pP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0"/>
          <w:sz w:val="24"/>
          <w:szCs w:val="24"/>
          <w:lang w:val="en-US" w:eastAsia="zh-CN" w:bidi="ar-SA"/>
        </w:rPr>
      </w:pPr>
    </w:p>
    <w:p>
      <w:pPr>
        <w:pStyle w:val="7"/>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440" w:lineRule="exact"/>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pPr>
        <w:pStyle w:val="7"/>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color w:val="auto"/>
          <w:sz w:val="24"/>
          <w:szCs w:val="24"/>
          <w:highlight w:val="none"/>
          <w:lang w:val="en-US" w:eastAsia="zh-CN"/>
        </w:rPr>
      </w:pP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6"/>
        </w:numPr>
        <w:kinsoku/>
        <w:wordWrap/>
        <w:overflowPunct/>
        <w:topLinePunct w:val="0"/>
        <w:autoSpaceDE/>
        <w:autoSpaceDN/>
        <w:bidi w:val="0"/>
        <w:adjustRightInd w:val="0"/>
        <w:spacing w:beforeAutospacing="0" w:afterAutospacing="0" w:line="440" w:lineRule="exact"/>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6"/>
        </w:numPr>
        <w:kinsoku/>
        <w:wordWrap/>
        <w:overflowPunct/>
        <w:topLinePunct w:val="0"/>
        <w:autoSpaceDE/>
        <w:autoSpaceDN/>
        <w:bidi w:val="0"/>
        <w:adjustRightInd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营业执照（复印件）</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pPr>
        <w:keepNext w:val="0"/>
        <w:keepLines w:val="0"/>
        <w:pageBreakBefore w:val="0"/>
        <w:numPr>
          <w:ilvl w:val="0"/>
          <w:numId w:val="6"/>
        </w:numPr>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pPr>
        <w:keepNext w:val="0"/>
        <w:keepLines w:val="0"/>
        <w:pageBreakBefore w:val="0"/>
        <w:numPr>
          <w:ilvl w:val="0"/>
          <w:numId w:val="6"/>
        </w:numPr>
        <w:tabs>
          <w:tab w:val="left" w:pos="0"/>
        </w:tabs>
        <w:kinsoku/>
        <w:wordWrap/>
        <w:overflowPunct/>
        <w:topLinePunct w:val="0"/>
        <w:autoSpaceDE/>
        <w:autoSpaceDN/>
        <w:bidi w:val="0"/>
        <w:spacing w:beforeAutospacing="0" w:afterAutospacing="0" w:line="440" w:lineRule="exact"/>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pPr>
        <w:pStyle w:val="16"/>
        <w:keepNext w:val="0"/>
        <w:keepLines w:val="0"/>
        <w:pageBreakBefore w:val="0"/>
        <w:kinsoku/>
        <w:bidi w:val="0"/>
        <w:spacing w:line="440" w:lineRule="exact"/>
        <w:rPr>
          <w:rFonts w:hint="default"/>
          <w:lang w:val="en-US" w:eastAsia="zh-CN"/>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b/>
          <w:bCs/>
          <w:color w:val="auto"/>
          <w:sz w:val="24"/>
          <w:szCs w:val="24"/>
          <w:highlight w:val="none"/>
          <w:lang w:val="en-US" w:eastAsia="zh-CN"/>
        </w:rPr>
      </w:pPr>
    </w:p>
    <w:p>
      <w:pPr>
        <w:pStyle w:val="16"/>
        <w:keepNext w:val="0"/>
        <w:keepLines w:val="0"/>
        <w:pageBreakBefore w:val="0"/>
        <w:kinsoku/>
        <w:bidi w:val="0"/>
        <w:spacing w:line="440" w:lineRule="exact"/>
        <w:rPr>
          <w:rFonts w:hint="default" w:ascii="宋体" w:hAnsi="宋体" w:eastAsia="宋体" w:cs="宋体"/>
          <w:b/>
          <w:bCs/>
          <w:kern w:val="2"/>
          <w:sz w:val="24"/>
          <w:szCs w:val="24"/>
          <w:highlight w:val="none"/>
          <w:u w:val="singl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kinsoku/>
        <w:bidi w:val="0"/>
        <w:adjustRightInd w:val="0"/>
        <w:snapToGrid w:val="0"/>
        <w:spacing w:line="440" w:lineRule="exact"/>
        <w:rPr>
          <w:rFonts w:hint="eastAsia" w:ascii="宋体" w:hAnsi="宋体" w:eastAsia="宋体" w:cs="宋体"/>
          <w:b/>
          <w:bCs/>
          <w:kern w:val="2"/>
          <w:sz w:val="24"/>
          <w:szCs w:val="24"/>
          <w:highlight w:val="none"/>
          <w:lang w:val="en-US" w:eastAsia="zh-CN" w:bidi="ar-SA"/>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440" w:lineRule="exact"/>
        <w:jc w:val="both"/>
        <w:textAlignment w:val="baseline"/>
        <w:outlineLvl w:val="1"/>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5</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440" w:lineRule="exact"/>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1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val="0"/>
          <w:i w:val="0"/>
          <w:caps w:val="0"/>
          <w:color w:val="auto"/>
          <w:spacing w:val="0"/>
          <w:w w:val="100"/>
          <w:sz w:val="24"/>
          <w:szCs w:val="24"/>
          <w:highlight w:val="none"/>
        </w:rPr>
      </w:pPr>
    </w:p>
    <w:p>
      <w:pPr>
        <w:pStyle w:val="1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val="0"/>
          <w:i w:val="0"/>
          <w:caps w:val="0"/>
          <w:color w:val="auto"/>
          <w:spacing w:val="0"/>
          <w:w w:val="100"/>
          <w:sz w:val="24"/>
          <w:szCs w:val="24"/>
          <w:highlight w:val="none"/>
        </w:rPr>
      </w:pPr>
    </w:p>
    <w:p>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rPr>
          <w:rFonts w:hint="eastAsia" w:ascii="宋体" w:hAnsi="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outlineLvl w:val="1"/>
        <w:rPr>
          <w:rFonts w:hint="eastAsia" w:ascii="宋体" w:hAnsi="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outlineLvl w:val="1"/>
        <w:rPr>
          <w:rFonts w:hint="eastAsia" w:ascii="宋体" w:hAnsi="宋体" w:cs="宋体"/>
          <w:b/>
          <w:bCs/>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line="440" w:lineRule="exact"/>
        <w:outlineLvl w:val="1"/>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附件6</w:t>
      </w:r>
    </w:p>
    <w:p>
      <w:pPr>
        <w:pStyle w:val="7"/>
        <w:keepNext w:val="0"/>
        <w:keepLines w:val="0"/>
        <w:pageBreakBefore w:val="0"/>
        <w:kinsoku/>
        <w:wordWrap/>
        <w:overflowPunct/>
        <w:topLinePunct w:val="0"/>
        <w:autoSpaceDE/>
        <w:autoSpaceDN/>
        <w:bidi w:val="0"/>
        <w:spacing w:beforeAutospacing="0" w:afterAutospacing="0"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440" w:lineRule="exact"/>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7"/>
        <w:keepNext w:val="0"/>
        <w:keepLines w:val="0"/>
        <w:pageBreakBefore w:val="0"/>
        <w:numPr>
          <w:ilvl w:val="0"/>
          <w:numId w:val="0"/>
        </w:numPr>
        <w:kinsoku/>
        <w:wordWrap/>
        <w:overflowPunct/>
        <w:topLinePunct w:val="0"/>
        <w:autoSpaceDE/>
        <w:autoSpaceDN/>
        <w:bidi w:val="0"/>
        <w:spacing w:beforeAutospacing="0" w:afterAutospacing="0" w:line="44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numPr>
          <w:ilvl w:val="0"/>
          <w:numId w:val="0"/>
        </w:numPr>
        <w:kinsoku/>
        <w:wordWrap/>
        <w:overflowPunct/>
        <w:topLinePunct w:val="0"/>
        <w:autoSpaceDE/>
        <w:autoSpaceDN/>
        <w:bidi w:val="0"/>
        <w:spacing w:beforeAutospacing="0" w:afterAutospacing="0" w:line="44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keepNext w:val="0"/>
        <w:keepLines w:val="0"/>
        <w:pageBreakBefore w:val="0"/>
        <w:numPr>
          <w:ilvl w:val="0"/>
          <w:numId w:val="0"/>
        </w:numPr>
        <w:kinsoku/>
        <w:wordWrap/>
        <w:overflowPunct/>
        <w:topLinePunct w:val="0"/>
        <w:autoSpaceDE/>
        <w:autoSpaceDN/>
        <w:bidi w:val="0"/>
        <w:spacing w:beforeAutospacing="0" w:afterAutospacing="0" w:line="44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44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7"/>
        <w:keepNext w:val="0"/>
        <w:keepLines w:val="0"/>
        <w:pageBreakBefore w:val="0"/>
        <w:kinsoku/>
        <w:wordWrap/>
        <w:overflowPunct/>
        <w:topLinePunct w:val="0"/>
        <w:autoSpaceDE/>
        <w:autoSpaceDN/>
        <w:bidi w:val="0"/>
        <w:spacing w:beforeAutospacing="0" w:afterAutospacing="0" w:line="440" w:lineRule="exact"/>
        <w:rPr>
          <w:rFonts w:hint="eastAsia" w:ascii="宋体" w:hAnsi="宋体" w:eastAsia="宋体" w:cs="宋体"/>
          <w:color w:val="auto"/>
          <w:sz w:val="24"/>
          <w:szCs w:val="24"/>
          <w:highlight w:val="none"/>
          <w:lang w:val="en-US" w:eastAsia="zh-CN"/>
        </w:rPr>
      </w:pPr>
    </w:p>
    <w:p>
      <w:pPr>
        <w:pStyle w:val="7"/>
        <w:keepNext w:val="0"/>
        <w:keepLines w:val="0"/>
        <w:pageBreakBefore w:val="0"/>
        <w:kinsoku/>
        <w:wordWrap/>
        <w:overflowPunct/>
        <w:topLinePunct w:val="0"/>
        <w:autoSpaceDE/>
        <w:autoSpaceDN/>
        <w:bidi w:val="0"/>
        <w:spacing w:beforeAutospacing="0" w:afterAutospacing="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pPr>
        <w:pStyle w:val="7"/>
        <w:keepNext w:val="0"/>
        <w:keepLines w:val="0"/>
        <w:pageBreakBefore w:val="0"/>
        <w:kinsoku/>
        <w:wordWrap/>
        <w:overflowPunct/>
        <w:topLinePunct w:val="0"/>
        <w:autoSpaceDE/>
        <w:autoSpaceDN/>
        <w:bidi w:val="0"/>
        <w:spacing w:beforeAutospacing="0" w:afterAutospacing="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pPr>
        <w:pStyle w:val="7"/>
        <w:keepNext w:val="0"/>
        <w:keepLines w:val="0"/>
        <w:pageBreakBefore w:val="0"/>
        <w:kinsoku/>
        <w:wordWrap/>
        <w:overflowPunct/>
        <w:topLinePunct w:val="0"/>
        <w:autoSpaceDE/>
        <w:autoSpaceDN/>
        <w:bidi w:val="0"/>
        <w:spacing w:beforeAutospacing="0" w:afterAutospacing="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pStyle w:val="10"/>
        <w:keepNext w:val="0"/>
        <w:keepLines w:val="0"/>
        <w:pageBreakBefore w:val="0"/>
        <w:numPr>
          <w:ilvl w:val="0"/>
          <w:numId w:val="0"/>
        </w:numPr>
        <w:kinsoku/>
        <w:bidi w:val="0"/>
        <w:spacing w:line="440" w:lineRule="exact"/>
        <w:ind w:left="1680" w:leftChars="0"/>
        <w:rPr>
          <w:rFonts w:hint="default"/>
          <w:lang w:val="en-US" w:eastAsia="zh-CN"/>
        </w:rPr>
      </w:pPr>
    </w:p>
    <w:p>
      <w:pPr>
        <w:pStyle w:val="7"/>
        <w:keepNext w:val="0"/>
        <w:keepLines w:val="0"/>
        <w:pageBreakBefore w:val="0"/>
        <w:kinsoku/>
        <w:wordWrap/>
        <w:overflowPunct/>
        <w:topLinePunct w:val="0"/>
        <w:autoSpaceDE/>
        <w:autoSpaceDN/>
        <w:bidi w:val="0"/>
        <w:spacing w:beforeAutospacing="0" w:line="440" w:lineRule="exact"/>
        <w:rPr>
          <w:rFonts w:hint="eastAsia" w:ascii="宋体" w:hAnsi="宋体" w:eastAsia="宋体" w:cs="宋体"/>
          <w:b/>
          <w:bCs/>
          <w:color w:val="auto"/>
          <w:sz w:val="24"/>
          <w:szCs w:val="24"/>
          <w:highlight w:val="none"/>
          <w:lang w:val="en-US" w:eastAsia="zh-CN"/>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lang w:val="en-US" w:eastAsia="zh-CN"/>
        </w:rPr>
      </w:pPr>
    </w:p>
    <w:p>
      <w:pPr>
        <w:pStyle w:val="16"/>
        <w:keepNext w:val="0"/>
        <w:keepLines w:val="0"/>
        <w:pageBreakBefore w:val="0"/>
        <w:kinsoku/>
        <w:bidi w:val="0"/>
        <w:spacing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bidi w:val="0"/>
        <w:spacing w:line="440" w:lineRule="exact"/>
        <w:rPr>
          <w:rFonts w:hint="eastAsia" w:ascii="宋体" w:hAnsi="宋体" w:eastAsia="宋体" w:cs="宋体"/>
          <w:b/>
          <w:bCs/>
          <w:color w:val="auto"/>
          <w:sz w:val="24"/>
          <w:szCs w:val="24"/>
          <w:highlight w:val="none"/>
          <w:lang w:val="en-US" w:eastAsia="zh-CN"/>
        </w:rPr>
      </w:pPr>
    </w:p>
    <w:p>
      <w:pPr>
        <w:keepNext w:val="0"/>
        <w:keepLines w:val="0"/>
        <w:pageBreakBefore w:val="0"/>
        <w:kinsoku/>
        <w:bidi w:val="0"/>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kinsoku/>
        <w:wordWrap/>
        <w:overflowPunct/>
        <w:topLinePunct w:val="0"/>
        <w:autoSpaceDE/>
        <w:autoSpaceDN/>
        <w:bidi w:val="0"/>
        <w:spacing w:beforeAutospacing="0" w:line="440" w:lineRule="exact"/>
        <w:jc w:val="left"/>
        <w:rPr>
          <w:rFonts w:hint="eastAsia" w:ascii="宋体" w:hAnsi="宋体" w:eastAsia="宋体" w:cs="宋体"/>
          <w:color w:val="auto"/>
          <w:sz w:val="24"/>
          <w:szCs w:val="24"/>
          <w:highlight w:val="none"/>
        </w:rPr>
      </w:pPr>
    </w:p>
    <w:p>
      <w:pPr>
        <w:keepNext w:val="0"/>
        <w:keepLines w:val="0"/>
        <w:pageBreakBefore w:val="0"/>
        <w:kinsoku/>
        <w:bidi w:val="0"/>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附件8</w:t>
      </w:r>
    </w:p>
    <w:p>
      <w:pPr>
        <w:spacing w:line="360" w:lineRule="auto"/>
        <w:ind w:left="-424" w:leftChars="-202" w:right="-483" w:rightChars="-230"/>
        <w:jc w:val="center"/>
        <w:rPr>
          <w:rFonts w:hint="eastAsia"/>
          <w:lang w:eastAsia="zh-CN"/>
        </w:rPr>
      </w:pPr>
      <w:r>
        <w:rPr>
          <w:rFonts w:hint="eastAsia" w:ascii="宋体" w:hAnsi="宋体" w:eastAsia="宋体" w:cs="宋体"/>
          <w:b/>
          <w:bCs w:val="0"/>
          <w:sz w:val="30"/>
          <w:szCs w:val="30"/>
          <w:lang w:eastAsia="zh-CN"/>
        </w:rPr>
        <w:t>考核表</w:t>
      </w:r>
    </w:p>
    <w:tbl>
      <w:tblPr>
        <w:tblStyle w:val="18"/>
        <w:tblW w:w="8549"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7"/>
        <w:gridCol w:w="638"/>
        <w:gridCol w:w="1885"/>
        <w:gridCol w:w="1824"/>
        <w:gridCol w:w="1749"/>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tc>
        <w:tc>
          <w:tcPr>
            <w:tcW w:w="6712"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黑体" w:hAnsi="黑体" w:eastAsia="黑体"/>
                <w:color w:val="000000"/>
                <w:sz w:val="21"/>
                <w:szCs w:val="21"/>
                <w:vertAlign w:val="baseline"/>
                <w:lang w:val="en-US" w:eastAsia="zh-CN"/>
              </w:rPr>
              <w:t>ADHD数字疗法服务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项目起止时间</w:t>
            </w:r>
          </w:p>
        </w:tc>
        <w:tc>
          <w:tcPr>
            <w:tcW w:w="6712"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项目执行公司</w:t>
            </w:r>
          </w:p>
        </w:tc>
        <w:tc>
          <w:tcPr>
            <w:tcW w:w="6712"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考核项目</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分值</w:t>
            </w:r>
          </w:p>
        </w:tc>
        <w:tc>
          <w:tcPr>
            <w:tcW w:w="545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评分细则</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1837" w:type="dxa"/>
            <w:tcBorders>
              <w:top w:val="single" w:color="auto" w:sz="4" w:space="0"/>
              <w:left w:val="single" w:color="auto" w:sz="4" w:space="0"/>
              <w:right w:val="single" w:color="auto" w:sz="4" w:space="0"/>
              <w:tl2br w:val="nil"/>
              <w:tr2bl w:val="nil"/>
            </w:tcBorders>
            <w:noWrap w:val="0"/>
            <w:vAlign w:val="center"/>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巡查及档案管理</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5458" w:type="dxa"/>
            <w:gridSpan w:val="3"/>
            <w:tcBorders>
              <w:top w:val="single" w:color="auto" w:sz="4" w:space="0"/>
              <w:left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A、按时巡查、记录完整（得满分）</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B、未按时巡查或记录缺失（一次扣 3 分）</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C、无人巡查或无巡查记录（本项不得分）</w:t>
            </w:r>
          </w:p>
        </w:tc>
        <w:tc>
          <w:tcPr>
            <w:tcW w:w="616" w:type="dxa"/>
            <w:tcBorders>
              <w:top w:val="single" w:color="auto" w:sz="4" w:space="0"/>
              <w:left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1837" w:type="dxa"/>
            <w:tcBorders>
              <w:top w:val="single" w:color="auto" w:sz="4" w:space="0"/>
              <w:left w:val="single" w:color="auto" w:sz="4" w:space="0"/>
              <w:right w:val="single" w:color="auto" w:sz="4" w:space="0"/>
              <w:tl2br w:val="nil"/>
              <w:tr2bl w:val="nil"/>
            </w:tcBorders>
            <w:noWrap w:val="0"/>
            <w:vAlign w:val="center"/>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治疗方案及操作</w:t>
            </w:r>
          </w:p>
          <w:p>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需求</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5458" w:type="dxa"/>
            <w:gridSpan w:val="3"/>
            <w:tcBorders>
              <w:top w:val="single" w:color="auto" w:sz="4" w:space="0"/>
              <w:left w:val="single" w:color="auto" w:sz="4" w:space="0"/>
              <w:right w:val="single" w:color="auto" w:sz="4" w:space="0"/>
              <w:tl2br w:val="nil"/>
              <w:tr2bl w:val="nil"/>
            </w:tcBorders>
            <w:noWrap w:val="0"/>
            <w:vAlign w:val="top"/>
          </w:tcPr>
          <w:p>
            <w:pPr>
              <w:widowControl/>
              <w:spacing w:line="36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A、治疗训练方案配置完善、系统操作简单快捷（得满分）</w:t>
            </w:r>
          </w:p>
          <w:p>
            <w:pPr>
              <w:widowControl/>
              <w:spacing w:line="36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B、治疗训练方案可用、系统操作不够简便。（得10分）</w:t>
            </w:r>
          </w:p>
          <w:p>
            <w:pPr>
              <w:widowControl/>
              <w:spacing w:line="36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C、治疗训练方案可用、系统操作复杂。（得6分）</w:t>
            </w:r>
          </w:p>
        </w:tc>
        <w:tc>
          <w:tcPr>
            <w:tcW w:w="616" w:type="dxa"/>
            <w:tcBorders>
              <w:top w:val="single" w:color="auto" w:sz="4" w:space="0"/>
              <w:left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维护内容</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545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A.按维护计划完成全部保养内容（得满分）</w:t>
            </w:r>
          </w:p>
          <w:p>
            <w:pPr>
              <w:widowControl/>
              <w:spacing w:line="360" w:lineRule="exact"/>
              <w:jc w:val="center"/>
              <w:rPr>
                <w:rFonts w:hint="default"/>
                <w:sz w:val="21"/>
                <w:szCs w:val="21"/>
                <w:lang w:val="en-US" w:eastAsia="zh-CN"/>
              </w:rPr>
            </w:pPr>
            <w:r>
              <w:rPr>
                <w:rFonts w:hint="eastAsia" w:ascii="宋体" w:hAnsi="宋体" w:eastAsia="宋体" w:cs="宋体"/>
                <w:sz w:val="21"/>
                <w:szCs w:val="21"/>
                <w:lang w:val="en-US" w:eastAsia="zh-CN"/>
              </w:rPr>
              <w:t>B.未按维护计划完成保养内容（少一条扣三分）</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1837" w:type="dxa"/>
            <w:tcBorders>
              <w:top w:val="single" w:color="auto" w:sz="4" w:space="0"/>
              <w:left w:val="single" w:color="auto" w:sz="4" w:space="0"/>
              <w:right w:val="single" w:color="auto" w:sz="4" w:space="0"/>
              <w:tl2br w:val="nil"/>
              <w:tr2bl w:val="nil"/>
            </w:tcBorders>
            <w:noWrap w:val="0"/>
            <w:vAlign w:val="center"/>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故障响应</w:t>
            </w:r>
          </w:p>
        </w:tc>
        <w:tc>
          <w:tcPr>
            <w:tcW w:w="638" w:type="dxa"/>
            <w:tcBorders>
              <w:top w:val="single" w:color="auto" w:sz="4" w:space="0"/>
              <w:left w:val="single" w:color="auto" w:sz="4" w:space="0"/>
              <w:right w:val="single" w:color="auto" w:sz="4" w:space="0"/>
              <w:tl2br w:val="nil"/>
              <w:tr2bl w:val="nil"/>
            </w:tcBorders>
            <w:noWrap w:val="0"/>
            <w:vAlign w:val="center"/>
          </w:tcPr>
          <w:p>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5458" w:type="dxa"/>
            <w:gridSpan w:val="3"/>
            <w:tcBorders>
              <w:top w:val="single" w:color="auto" w:sz="4" w:space="0"/>
              <w:left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A、按要求时间到达并及时处理完成（得满分）</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B、按要求时间到达但因中标公司人为因素不能按要求时间内处理完成（一次扣 3 分）</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C、超过要求时间到达现场（一次扣 6 分）</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D、未到达现场（本项不得分）</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1837" w:type="dxa"/>
            <w:tcBorders>
              <w:top w:val="single" w:color="auto" w:sz="4" w:space="0"/>
              <w:left w:val="single" w:color="auto" w:sz="4" w:space="0"/>
              <w:right w:val="single" w:color="auto" w:sz="4" w:space="0"/>
              <w:tl2br w:val="nil"/>
              <w:tr2bl w:val="nil"/>
            </w:tcBorders>
            <w:noWrap w:val="0"/>
            <w:vAlign w:val="center"/>
          </w:tcPr>
          <w:p>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驻点人员</w:t>
            </w:r>
          </w:p>
        </w:tc>
        <w:tc>
          <w:tcPr>
            <w:tcW w:w="638" w:type="dxa"/>
            <w:tcBorders>
              <w:top w:val="single" w:color="auto" w:sz="4" w:space="0"/>
              <w:left w:val="single" w:color="auto" w:sz="4" w:space="0"/>
              <w:right w:val="single" w:color="auto" w:sz="4" w:space="0"/>
              <w:tl2br w:val="nil"/>
              <w:tr2bl w:val="nil"/>
            </w:tcBorders>
            <w:noWrap w:val="0"/>
            <w:vAlign w:val="center"/>
          </w:tcPr>
          <w:p>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5458" w:type="dxa"/>
            <w:gridSpan w:val="3"/>
            <w:tcBorders>
              <w:top w:val="single" w:color="auto" w:sz="4" w:space="0"/>
              <w:left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A、驻点人员配置满足工作量需求，且符合专业需求（得满分）</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B、因驻点人员因素导致患者未按要求执行测评或训练（扣 3分）</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C、因驻点人员因素导致测评结果不可靠的（扣 5 分）</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D、因驻点人员因素导致有效投诉的（本项不得分）</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服务质量</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545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numPr>
                <w:ilvl w:val="0"/>
                <w:numId w:val="7"/>
              </w:num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服务质量（优秀 14-21分/良好 4-13分/差 低于7分）</w:t>
            </w:r>
          </w:p>
          <w:p>
            <w:pPr>
              <w:pStyle w:val="7"/>
              <w:numPr>
                <w:ilvl w:val="0"/>
                <w:numId w:val="0"/>
              </w:numPr>
              <w:rPr>
                <w:rFonts w:hint="eastAsia"/>
                <w:sz w:val="21"/>
                <w:szCs w:val="21"/>
                <w:lang w:val="en-US" w:eastAsia="zh-CN"/>
              </w:rPr>
            </w:pPr>
            <w:r>
              <w:rPr>
                <w:rFonts w:hint="eastAsia" w:ascii="宋体" w:hAnsi="宋体" w:eastAsia="宋体" w:cs="宋体"/>
                <w:kern w:val="2"/>
                <w:sz w:val="21"/>
                <w:szCs w:val="21"/>
                <w:lang w:val="en-US" w:eastAsia="zh-CN" w:bidi="ar-SA"/>
              </w:rPr>
              <w:t>B、患者信息泄漏（不得分）</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最高分 100 分</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w:t>
            </w:r>
          </w:p>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w:t>
            </w:r>
          </w:p>
        </w:tc>
        <w:tc>
          <w:tcPr>
            <w:tcW w:w="5458"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69 分（含69分）以下为“不合格”，</w:t>
            </w:r>
            <w:r>
              <w:rPr>
                <w:color w:val="auto"/>
                <w:sz w:val="21"/>
                <w:szCs w:val="21"/>
              </w:rPr>
              <w:t xml:space="preserve">70-84 分为 </w:t>
            </w:r>
            <w:r>
              <w:rPr>
                <w:rFonts w:hint="eastAsia"/>
                <w:color w:val="auto"/>
                <w:sz w:val="21"/>
                <w:szCs w:val="21"/>
                <w:lang w:eastAsia="zh-CN"/>
              </w:rPr>
              <w:t>“</w:t>
            </w:r>
            <w:r>
              <w:rPr>
                <w:color w:val="auto"/>
                <w:sz w:val="21"/>
                <w:szCs w:val="21"/>
              </w:rPr>
              <w:t>合格</w:t>
            </w:r>
            <w:r>
              <w:rPr>
                <w:rFonts w:hint="eastAsia"/>
                <w:color w:val="auto"/>
                <w:sz w:val="21"/>
                <w:szCs w:val="21"/>
                <w:lang w:eastAsia="zh-CN"/>
              </w:rPr>
              <w:t>”，</w:t>
            </w:r>
            <w:r>
              <w:rPr>
                <w:color w:val="auto"/>
                <w:sz w:val="21"/>
                <w:szCs w:val="21"/>
              </w:rPr>
              <w:t>85 分及以上为 “优秀”</w:t>
            </w:r>
            <w:r>
              <w:rPr>
                <w:rFonts w:hint="eastAsia" w:ascii="宋体" w:hAnsi="宋体" w:eastAsia="宋体" w:cs="宋体"/>
                <w:sz w:val="21"/>
                <w:szCs w:val="21"/>
                <w:lang w:val="en-US" w:eastAsia="zh-CN"/>
              </w:rPr>
              <w:t>。</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837"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需求科室签字：</w:t>
            </w:r>
          </w:p>
        </w:tc>
        <w:tc>
          <w:tcPr>
            <w:tcW w:w="252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c>
          <w:tcPr>
            <w:tcW w:w="18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管理部门签字：</w:t>
            </w:r>
          </w:p>
        </w:tc>
        <w:tc>
          <w:tcPr>
            <w:tcW w:w="23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360" w:lineRule="exact"/>
              <w:jc w:val="center"/>
              <w:rPr>
                <w:rFonts w:hint="eastAsia" w:ascii="宋体" w:hAnsi="宋体" w:eastAsia="宋体" w:cs="宋体"/>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exact"/>
        <w:ind w:left="-424" w:leftChars="-202" w:right="-483" w:rightChars="-230"/>
        <w:jc w:val="center"/>
        <w:textAlignment w:val="auto"/>
        <w:outlineLvl w:val="9"/>
        <w:rPr>
          <w:rFonts w:hint="eastAsia" w:ascii="宋体" w:hAnsi="宋体" w:eastAsia="宋体" w:cs="宋体"/>
          <w:b/>
          <w:bCs w:val="0"/>
          <w:sz w:val="24"/>
          <w:szCs w:val="24"/>
          <w:lang w:eastAsia="zh-CN"/>
        </w:rPr>
      </w:pPr>
    </w:p>
    <w:p>
      <w:pPr>
        <w:pStyle w:val="4"/>
        <w:rPr>
          <w:rFonts w:hint="eastAsia"/>
          <w:lang w:eastAsia="zh-CN"/>
        </w:rPr>
      </w:pPr>
    </w:p>
    <w:p>
      <w:pPr>
        <w:pStyle w:val="32"/>
      </w:pPr>
      <w:r>
        <w:rPr>
          <w:b/>
          <w:bCs/>
        </w:rPr>
        <w:t>考核总分</w:t>
      </w:r>
      <w:r>
        <w:t>：100 分</w:t>
      </w:r>
    </w:p>
    <w:p>
      <w:pPr>
        <w:keepNext w:val="0"/>
        <w:keepLines w:val="0"/>
        <w:pageBreakBefore w:val="0"/>
        <w:kinsoku/>
        <w:bidi w:val="0"/>
        <w:spacing w:line="440" w:lineRule="exact"/>
        <w:rPr>
          <w:rFonts w:hint="default" w:ascii="宋体" w:hAnsi="宋体" w:eastAsia="宋体" w:cs="宋体"/>
          <w:b/>
          <w:bCs/>
          <w:color w:val="auto"/>
          <w:sz w:val="24"/>
          <w:szCs w:val="24"/>
          <w:highlight w:val="none"/>
          <w:lang w:val="en-US" w:eastAsia="zh-CN"/>
        </w:rPr>
      </w:pPr>
      <w:r>
        <w:rPr>
          <w:b/>
          <w:bCs/>
          <w:color w:val="auto"/>
        </w:rPr>
        <w:t>考核说明</w:t>
      </w:r>
      <w:r>
        <w:rPr>
          <w:color w:val="auto"/>
        </w:rPr>
        <w:t>：考核结果作为次年合作续约、合作条款调整的核心依据，85 分及以上为 “优秀”，70-84 分为 “合格”，69 分及以下为 “不合格”</w:t>
      </w:r>
      <w:r>
        <w:rPr>
          <w:rFonts w:hint="eastAsia"/>
          <w:color w:val="auto"/>
          <w:lang w:eastAsia="zh-CN"/>
        </w:rPr>
        <w:t>，甲方有权单方面终止合作</w:t>
      </w:r>
      <w:r>
        <w:rPr>
          <w:color w:val="auto"/>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ACDB76-B01F-4447-A88E-848B6E30A6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EEF19F-1041-4FD2-832F-11F6C912D604}"/>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14C2908-1E63-4116-BF2B-4A0E4C7E3C15}"/>
  </w:font>
  <w:font w:name="Arial Unicode MS">
    <w:altName w:val="Malgun Gothic Semilight"/>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embedRegular r:id="rId4" w:fontKey="{B3F434BD-D88B-4C08-888C-EE12C935FC41}"/>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D1A39"/>
    <w:multiLevelType w:val="multilevel"/>
    <w:tmpl w:val="8F9D1A39"/>
    <w:lvl w:ilvl="0" w:tentative="0">
      <w:start w:val="1"/>
      <w:numFmt w:val="decimal"/>
      <w:lvlText w:val="%1."/>
      <w:lvlJc w:val="left"/>
      <w:pPr>
        <w:tabs>
          <w:tab w:val="left" w:pos="-108"/>
        </w:tabs>
        <w:ind w:left="-420"/>
      </w:pPr>
      <w:rPr>
        <w:rFonts w:hint="default"/>
        <w:b/>
        <w:bCs/>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9F0B44E"/>
    <w:multiLevelType w:val="singleLevel"/>
    <w:tmpl w:val="99F0B44E"/>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2">
    <w:nsid w:val="9B4BE70B"/>
    <w:multiLevelType w:val="singleLevel"/>
    <w:tmpl w:val="9B4BE70B"/>
    <w:lvl w:ilvl="0" w:tentative="0">
      <w:start w:val="1"/>
      <w:numFmt w:val="decimal"/>
      <w:lvlText w:val="%1."/>
      <w:lvlJc w:val="left"/>
      <w:pPr>
        <w:ind w:left="425" w:hanging="425"/>
      </w:pPr>
      <w:rPr>
        <w:rFonts w:hint="default"/>
      </w:rPr>
    </w:lvl>
  </w:abstractNum>
  <w:abstractNum w:abstractNumId="3">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4">
    <w:nsid w:val="B3D555ED"/>
    <w:multiLevelType w:val="singleLevel"/>
    <w:tmpl w:val="B3D555ED"/>
    <w:lvl w:ilvl="0" w:tentative="0">
      <w:start w:val="1"/>
      <w:numFmt w:val="decimal"/>
      <w:lvlText w:val="%1."/>
      <w:lvlJc w:val="left"/>
      <w:pPr>
        <w:tabs>
          <w:tab w:val="left" w:pos="312"/>
        </w:tabs>
      </w:pPr>
    </w:lvl>
  </w:abstractNum>
  <w:abstractNum w:abstractNumId="5">
    <w:nsid w:val="3091DE8F"/>
    <w:multiLevelType w:val="singleLevel"/>
    <w:tmpl w:val="3091DE8F"/>
    <w:lvl w:ilvl="0" w:tentative="0">
      <w:start w:val="1"/>
      <w:numFmt w:val="upperLetter"/>
      <w:suff w:val="nothing"/>
      <w:lvlText w:val="%1、"/>
      <w:lvlJc w:val="left"/>
    </w:lvl>
  </w:abstractNum>
  <w:abstractNum w:abstractNumId="6">
    <w:nsid w:val="346C5CA9"/>
    <w:multiLevelType w:val="multilevel"/>
    <w:tmpl w:val="346C5CA9"/>
    <w:lvl w:ilvl="0" w:tentative="0">
      <w:start w:val="1"/>
      <w:numFmt w:val="bullet"/>
      <w:pStyle w:val="23"/>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29F6E8A"/>
    <w:rsid w:val="03443858"/>
    <w:rsid w:val="05B9677F"/>
    <w:rsid w:val="0E3177FA"/>
    <w:rsid w:val="0F8825C6"/>
    <w:rsid w:val="121D12FC"/>
    <w:rsid w:val="14FC0436"/>
    <w:rsid w:val="1759391E"/>
    <w:rsid w:val="18147845"/>
    <w:rsid w:val="185420A0"/>
    <w:rsid w:val="18FE139B"/>
    <w:rsid w:val="19D4524B"/>
    <w:rsid w:val="213A06E6"/>
    <w:rsid w:val="23A14683"/>
    <w:rsid w:val="26995227"/>
    <w:rsid w:val="27941805"/>
    <w:rsid w:val="28777889"/>
    <w:rsid w:val="29090661"/>
    <w:rsid w:val="29E17581"/>
    <w:rsid w:val="2BE85474"/>
    <w:rsid w:val="2C1520B2"/>
    <w:rsid w:val="2C5878F6"/>
    <w:rsid w:val="2CBE44F7"/>
    <w:rsid w:val="2EB20570"/>
    <w:rsid w:val="2ECD27D0"/>
    <w:rsid w:val="2F3A381B"/>
    <w:rsid w:val="30C42E38"/>
    <w:rsid w:val="32D94CDA"/>
    <w:rsid w:val="336B21C4"/>
    <w:rsid w:val="342C61EA"/>
    <w:rsid w:val="36211653"/>
    <w:rsid w:val="36913B20"/>
    <w:rsid w:val="379950AD"/>
    <w:rsid w:val="3BE63153"/>
    <w:rsid w:val="3D3D3216"/>
    <w:rsid w:val="3D4F5502"/>
    <w:rsid w:val="3D6C58AA"/>
    <w:rsid w:val="4037219F"/>
    <w:rsid w:val="40540CF6"/>
    <w:rsid w:val="43D67F5B"/>
    <w:rsid w:val="44666861"/>
    <w:rsid w:val="45240330"/>
    <w:rsid w:val="46E110B6"/>
    <w:rsid w:val="48C24FF6"/>
    <w:rsid w:val="4B1355B6"/>
    <w:rsid w:val="4DB6131A"/>
    <w:rsid w:val="4F021BCA"/>
    <w:rsid w:val="552E5968"/>
    <w:rsid w:val="558A46C7"/>
    <w:rsid w:val="56867584"/>
    <w:rsid w:val="57212E09"/>
    <w:rsid w:val="5EAE6EA2"/>
    <w:rsid w:val="5F4A19DE"/>
    <w:rsid w:val="5FED4DAE"/>
    <w:rsid w:val="62060167"/>
    <w:rsid w:val="632329D3"/>
    <w:rsid w:val="694035C3"/>
    <w:rsid w:val="69F031AD"/>
    <w:rsid w:val="6CBC7404"/>
    <w:rsid w:val="6CD8343A"/>
    <w:rsid w:val="6D6B47C4"/>
    <w:rsid w:val="6E834A83"/>
    <w:rsid w:val="6F3E229A"/>
    <w:rsid w:val="703E7304"/>
    <w:rsid w:val="7089502D"/>
    <w:rsid w:val="71070572"/>
    <w:rsid w:val="718208B7"/>
    <w:rsid w:val="72634067"/>
    <w:rsid w:val="73345415"/>
    <w:rsid w:val="734D097C"/>
    <w:rsid w:val="77D9244B"/>
    <w:rsid w:val="7908111E"/>
    <w:rsid w:val="792A1B99"/>
    <w:rsid w:val="7CEF209F"/>
    <w:rsid w:val="7F296FC8"/>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3">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toc 7"/>
    <w:basedOn w:val="1"/>
    <w:next w:val="1"/>
    <w:qFormat/>
    <w:uiPriority w:val="0"/>
    <w:pPr>
      <w:ind w:left="1200"/>
    </w:pPr>
    <w:rPr>
      <w:rFonts w:ascii="Calibri"/>
    </w:rPr>
  </w:style>
  <w:style w:type="paragraph" w:styleId="5">
    <w:name w:val="Normal Indent"/>
    <w:basedOn w:val="1"/>
    <w:qFormat/>
    <w:uiPriority w:val="0"/>
    <w:pPr>
      <w:ind w:firstLine="420" w:firstLineChars="200"/>
    </w:pPr>
    <w:rPr>
      <w:rFonts w:ascii="Times New Roman"/>
    </w:r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spacing w:line="460" w:lineRule="exact"/>
      <w:ind w:firstLine="567"/>
    </w:pPr>
    <w:rPr>
      <w:rFonts w:ascii="宋体" w:hAnsi="Courier New" w:eastAsia="仿宋_GB2312"/>
      <w:sz w:val="28"/>
      <w:szCs w:val="20"/>
    </w:rPr>
  </w:style>
  <w:style w:type="paragraph" w:styleId="10">
    <w:name w:val="List Bullet 5"/>
    <w:basedOn w:val="1"/>
    <w:qFormat/>
    <w:uiPriority w:val="0"/>
    <w:pPr>
      <w:numPr>
        <w:ilvl w:val="0"/>
        <w:numId w:val="1"/>
      </w:numPr>
    </w:p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180" w:lineRule="auto"/>
      <w:jc w:val="center"/>
    </w:pPr>
    <w:rPr>
      <w:sz w:val="3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7"/>
    <w:semiHidden/>
    <w:unhideWhenUsed/>
    <w:qFormat/>
    <w:uiPriority w:val="99"/>
    <w:pPr>
      <w:ind w:firstLine="420" w:firstLineChars="100"/>
    </w:pPr>
  </w:style>
  <w:style w:type="paragraph" w:styleId="17">
    <w:name w:val="Body Text First Indent 2"/>
    <w:basedOn w:val="8"/>
    <w:qFormat/>
    <w:uiPriority w:val="0"/>
    <w:pPr>
      <w:ind w:firstLine="42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qFormat/>
    <w:uiPriority w:val="99"/>
    <w:pPr>
      <w:ind w:firstLine="420" w:firstLineChars="200"/>
    </w:pPr>
  </w:style>
  <w:style w:type="paragraph" w:customStyle="1" w:styleId="22">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3">
    <w:name w:val="U_编号2"/>
    <w:basedOn w:val="1"/>
    <w:qFormat/>
    <w:uiPriority w:val="0"/>
    <w:pPr>
      <w:numPr>
        <w:ilvl w:val="0"/>
        <w:numId w:val="2"/>
      </w:numPr>
      <w:spacing w:beforeLines="10" w:line="300" w:lineRule="auto"/>
      <w:ind w:left="1124"/>
    </w:pPr>
    <w:rPr>
      <w:sz w:val="24"/>
      <w:szCs w:val="20"/>
    </w:rPr>
  </w:style>
  <w:style w:type="paragraph" w:customStyle="1" w:styleId="2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5">
    <w:name w:val="GW-正文"/>
    <w:basedOn w:val="1"/>
    <w:qFormat/>
    <w:uiPriority w:val="0"/>
    <w:pPr>
      <w:spacing w:line="360" w:lineRule="auto"/>
      <w:ind w:firstLine="200" w:firstLineChars="200"/>
    </w:pPr>
    <w:rPr>
      <w:rFonts w:eastAsia="仿宋_GB2312"/>
      <w:sz w:val="24"/>
      <w:szCs w:val="24"/>
    </w:rPr>
  </w:style>
  <w:style w:type="paragraph" w:customStyle="1" w:styleId="26">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7">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8">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9">
    <w:name w:val="Table Text"/>
    <w:basedOn w:val="1"/>
    <w:semiHidden/>
    <w:qFormat/>
    <w:uiPriority w:val="0"/>
    <w:rPr>
      <w:rFonts w:ascii="宋体" w:hAnsi="宋体" w:eastAsia="宋体" w:cs="宋体"/>
      <w:sz w:val="16"/>
      <w:szCs w:val="16"/>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7524</Words>
  <Characters>7763</Characters>
  <Lines>0</Lines>
  <Paragraphs>0</Paragraphs>
  <TotalTime>0</TotalTime>
  <ScaleCrop>false</ScaleCrop>
  <LinksUpToDate>false</LinksUpToDate>
  <CharactersWithSpaces>8122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鱼</cp:lastModifiedBy>
  <dcterms:modified xsi:type="dcterms:W3CDTF">2025-11-11T06:13:11Z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C52039EAF5E84716B0AF220C2BE0B2C0_13</vt:lpwstr>
  </property>
</Properties>
</file>