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C8AB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附件1：</w:t>
      </w:r>
    </w:p>
    <w:p w14:paraId="6E2B4FC1">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r>
        <w:rPr>
          <w:rFonts w:hint="eastAsia" w:ascii="宋体" w:hAnsi="宋体" w:cs="宋体"/>
          <w:b/>
          <w:bCs/>
          <w:i w:val="0"/>
          <w:caps w:val="0"/>
          <w:color w:val="auto"/>
          <w:spacing w:val="0"/>
          <w:sz w:val="24"/>
          <w:szCs w:val="24"/>
          <w:shd w:val="clear" w:color="auto" w:fill="FFFFFF"/>
          <w:lang w:val="en-US" w:eastAsia="zh-CN"/>
        </w:rPr>
        <w:t>（一）</w:t>
      </w:r>
      <w:r>
        <w:rPr>
          <w:rFonts w:hint="eastAsia" w:ascii="宋体" w:hAnsi="宋体" w:eastAsia="宋体" w:cs="宋体"/>
          <w:b/>
          <w:bCs/>
          <w:i w:val="0"/>
          <w:caps w:val="0"/>
          <w:color w:val="auto"/>
          <w:spacing w:val="0"/>
          <w:sz w:val="24"/>
          <w:szCs w:val="24"/>
          <w:shd w:val="clear" w:color="auto" w:fill="FFFFFF"/>
          <w:lang w:val="en-US" w:eastAsia="zh-CN"/>
        </w:rPr>
        <w:t>采购</w:t>
      </w:r>
      <w:r>
        <w:rPr>
          <w:rFonts w:hint="eastAsia" w:ascii="宋体" w:hAnsi="宋体" w:eastAsia="宋体" w:cs="宋体"/>
          <w:b/>
          <w:bCs/>
          <w:i w:val="0"/>
          <w:caps w:val="0"/>
          <w:color w:val="auto"/>
          <w:spacing w:val="0"/>
          <w:sz w:val="24"/>
          <w:szCs w:val="24"/>
          <w:shd w:val="clear" w:color="auto" w:fill="FFFFFF"/>
        </w:rPr>
        <w:t>需求</w:t>
      </w:r>
    </w:p>
    <w:p w14:paraId="5E0DA7E4">
      <w:pPr>
        <w:bidi w:val="0"/>
        <w:spacing w:line="360" w:lineRule="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一、项目概况</w:t>
      </w:r>
    </w:p>
    <w:p w14:paraId="45FDBFE2">
      <w:pPr>
        <w:bidi w:val="0"/>
        <w:spacing w:line="360" w:lineRule="auto"/>
        <w:ind w:firstLine="480" w:firstLineChars="2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1.项目名称：非计划内零星维修改造总承包服务</w:t>
      </w:r>
      <w:r>
        <w:rPr>
          <w:rFonts w:hint="eastAsia" w:ascii="宋体" w:hAnsi="宋体" w:cs="宋体"/>
          <w:b w:val="0"/>
          <w:bCs w:val="0"/>
          <w:sz w:val="24"/>
          <w:szCs w:val="24"/>
          <w:lang w:val="en-US" w:eastAsia="zh-CN"/>
        </w:rPr>
        <w:t>（二次）</w:t>
      </w:r>
      <w:bookmarkStart w:id="0" w:name="_GoBack"/>
      <w:bookmarkEnd w:id="0"/>
    </w:p>
    <w:p w14:paraId="4B9021AA">
      <w:pPr>
        <w:bidi w:val="0"/>
        <w:spacing w:line="360" w:lineRule="auto"/>
        <w:ind w:firstLine="480" w:firstLineChars="200"/>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2.项目地址：</w:t>
      </w:r>
      <w:r>
        <w:rPr>
          <w:rFonts w:hint="eastAsia" w:ascii="宋体" w:hAnsi="宋体" w:cs="宋体"/>
          <w:b w:val="0"/>
          <w:bCs w:val="0"/>
          <w:sz w:val="24"/>
          <w:szCs w:val="24"/>
          <w:lang w:val="en-US" w:eastAsia="zh-CN"/>
        </w:rPr>
        <w:t>采购人指定地点</w:t>
      </w:r>
    </w:p>
    <w:p w14:paraId="0F5CCF8F">
      <w:pPr>
        <w:bidi w:val="0"/>
        <w:spacing w:line="360" w:lineRule="auto"/>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3.项目</w:t>
      </w:r>
      <w:r>
        <w:rPr>
          <w:rFonts w:hint="eastAsia" w:ascii="宋体" w:hAnsi="宋体" w:eastAsia="宋体" w:cs="宋体"/>
          <w:b w:val="0"/>
          <w:bCs w:val="0"/>
          <w:sz w:val="24"/>
          <w:szCs w:val="24"/>
          <w:lang w:val="en-US" w:eastAsia="zh-CN"/>
        </w:rPr>
        <w:t>预算</w:t>
      </w:r>
      <w:r>
        <w:rPr>
          <w:rFonts w:hint="eastAsia" w:ascii="宋体" w:hAnsi="宋体" w:cs="宋体"/>
          <w:b w:val="0"/>
          <w:bCs w:val="0"/>
          <w:sz w:val="24"/>
          <w:szCs w:val="24"/>
          <w:lang w:val="en-US" w:eastAsia="zh-CN"/>
        </w:rPr>
        <w:t>47</w:t>
      </w:r>
      <w:r>
        <w:rPr>
          <w:rFonts w:hint="eastAsia" w:ascii="宋体" w:hAnsi="宋体" w:eastAsia="宋体" w:cs="宋体"/>
          <w:b w:val="0"/>
          <w:bCs w:val="0"/>
          <w:sz w:val="24"/>
          <w:szCs w:val="24"/>
          <w:lang w:val="en-US" w:eastAsia="zh-CN"/>
        </w:rPr>
        <w:t>万元</w:t>
      </w:r>
      <w:r>
        <w:rPr>
          <w:rFonts w:hint="eastAsia" w:ascii="宋体" w:hAnsi="宋体" w:cs="宋体"/>
          <w:b w:val="0"/>
          <w:bCs w:val="0"/>
          <w:sz w:val="24"/>
          <w:szCs w:val="24"/>
          <w:lang w:val="en-US" w:eastAsia="zh-CN"/>
        </w:rPr>
        <w:t>，最高限价47万元。</w:t>
      </w:r>
    </w:p>
    <w:p w14:paraId="6A4B1670">
      <w:pPr>
        <w:bidi w:val="0"/>
        <w:spacing w:line="360" w:lineRule="auto"/>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4.服务期限：一年</w:t>
      </w:r>
    </w:p>
    <w:p w14:paraId="350EF376">
      <w:pPr>
        <w:bidi w:val="0"/>
        <w:spacing w:line="360" w:lineRule="auto"/>
        <w:outlineLvl w:val="1"/>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二、</w:t>
      </w:r>
      <w:r>
        <w:rPr>
          <w:rFonts w:hint="eastAsia" w:ascii="宋体" w:hAnsi="宋体" w:eastAsia="宋体" w:cs="宋体"/>
          <w:color w:val="auto"/>
          <w:sz w:val="24"/>
          <w:szCs w:val="24"/>
        </w:rPr>
        <w:t>★</w:t>
      </w:r>
      <w:r>
        <w:rPr>
          <w:rFonts w:hint="eastAsia" w:ascii="宋体" w:hAnsi="宋体" w:eastAsia="宋体" w:cs="宋体"/>
          <w:b/>
          <w:bCs/>
          <w:sz w:val="24"/>
          <w:szCs w:val="24"/>
          <w:lang w:val="en-US" w:eastAsia="zh-CN"/>
        </w:rPr>
        <w:t>技术要求</w:t>
      </w:r>
    </w:p>
    <w:p w14:paraId="3C065FC5">
      <w:pPr>
        <w:widowControl/>
        <w:numPr>
          <w:ilvl w:val="0"/>
          <w:numId w:val="3"/>
        </w:numPr>
        <w:tabs>
          <w:tab w:val="left" w:pos="3573"/>
        </w:tabs>
        <w:spacing w:line="360" w:lineRule="auto"/>
        <w:ind w:left="-62" w:leftChars="0" w:firstLine="482" w:firstLineChars="0"/>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四川省妇幼保健院晋阳、抚琴、天府院区，建筑及附属物、构筑物、基础设施、总坪零星改造总承包服务，服务内容包括但不限于零星改造项目的勘察、测量、探测、检测、设计、施工等。</w:t>
      </w:r>
    </w:p>
    <w:p w14:paraId="161874FF">
      <w:pPr>
        <w:widowControl/>
        <w:numPr>
          <w:ilvl w:val="0"/>
          <w:numId w:val="3"/>
        </w:numPr>
        <w:tabs>
          <w:tab w:val="left" w:pos="3573"/>
        </w:tabs>
        <w:spacing w:line="360" w:lineRule="auto"/>
        <w:ind w:left="-62" w:leftChars="0" w:firstLine="482" w:firstLineChars="0"/>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零星维修、改造按照采购人需求完成规划设计（规划设计含方案设计及施工图设计、效果图、三维可视化模型），制定维</w:t>
      </w:r>
      <w:r>
        <w:rPr>
          <w:rFonts w:hint="eastAsia" w:ascii="宋体" w:hAnsi="宋体" w:eastAsia="宋体" w:cs="宋体"/>
          <w:b w:val="0"/>
          <w:bCs w:val="0"/>
          <w:color w:val="000000"/>
          <w:kern w:val="2"/>
          <w:sz w:val="24"/>
          <w:szCs w:val="24"/>
          <w:highlight w:val="none"/>
          <w:lang w:val="en-US" w:eastAsia="zh-CN" w:bidi="ar-SA"/>
        </w:rPr>
        <w:t>修改造方案并实施；放射、辐射房间改造按相关规范要求完成并出具建设项目职业病危害放射防护预评价报告、建设项目职业病危害控制效果放射防护评价报告（出具报告的公司须具有行业主管部门颁发的且在有效期内的放射卫生技术服务机构资质证书且技术服务范围包含以下内容:放射诊疗建设项目职业病危害放射防护评价甲级</w:t>
      </w:r>
      <w:r>
        <w:rPr>
          <w:rFonts w:hint="eastAsia" w:ascii="宋体" w:hAnsi="宋体" w:cs="宋体"/>
          <w:b w:val="0"/>
          <w:bCs w:val="0"/>
          <w:color w:val="000000"/>
          <w:kern w:val="2"/>
          <w:sz w:val="24"/>
          <w:szCs w:val="24"/>
          <w:highlight w:val="none"/>
          <w:lang w:val="en-US" w:eastAsia="zh-CN" w:bidi="ar-SA"/>
        </w:rPr>
        <w:t>）</w:t>
      </w:r>
      <w:r>
        <w:rPr>
          <w:rFonts w:hint="eastAsia" w:ascii="宋体" w:hAnsi="宋体" w:eastAsia="宋体" w:cs="宋体"/>
          <w:b w:val="0"/>
          <w:bCs w:val="0"/>
          <w:color w:val="000000"/>
          <w:kern w:val="2"/>
          <w:sz w:val="24"/>
          <w:szCs w:val="24"/>
          <w:highlight w:val="none"/>
          <w:lang w:val="en-US" w:eastAsia="zh-CN" w:bidi="ar-SA"/>
        </w:rPr>
        <w:t>并通过四川省卫生健康委员会审批；竣工后按相关验收规范要求完成并出具相关质量检测合格报告、环境检测报告（出具报告的公司须具有行业主管部门颁发的且在有效期内的检验检测机构资质认定证书）。以上</w:t>
      </w:r>
      <w:r>
        <w:rPr>
          <w:rFonts w:hint="eastAsia" w:ascii="宋体" w:hAnsi="宋体" w:eastAsia="宋体" w:cs="宋体"/>
          <w:b w:val="0"/>
          <w:bCs w:val="0"/>
          <w:color w:val="000000"/>
          <w:kern w:val="2"/>
          <w:sz w:val="24"/>
          <w:szCs w:val="24"/>
          <w:lang w:val="en-US" w:eastAsia="zh-CN" w:bidi="ar-SA"/>
        </w:rPr>
        <w:t>报告可委托第三方出具。</w:t>
      </w:r>
    </w:p>
    <w:p w14:paraId="7A8B681D">
      <w:pPr>
        <w:widowControl/>
        <w:numPr>
          <w:ilvl w:val="0"/>
          <w:numId w:val="3"/>
        </w:numPr>
        <w:tabs>
          <w:tab w:val="left" w:pos="3573"/>
        </w:tabs>
        <w:spacing w:line="360" w:lineRule="auto"/>
        <w:ind w:left="-62" w:leftChars="0" w:firstLine="482" w:firstLineChars="0"/>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三个院区零星维修改造主要内容：包括但不限于建筑、结构、电气、给排水、暖通、医气、智能化电气、防水、燃气、园林景观等相关专业的零星维修改造。建筑装修装饰、建筑机电安装、建筑幕墙、建筑智能化、防水防腐保温、钢结构、特种等零星维修改造。院内房屋及室内的防水补漏、翻修、重做，止水针头注浆止漏处理，结构层注浆止漏。院内雨污给水管网漏点探测。院内雨污给水管网及配件的维修、更换。院内强弱电线路、照明、接口、电气配件检测、维修更新及改造。建筑装饰装修、室内装饰装修零星维修改造。室内墙面粉刷修复;各类门（电动门）窗及五金配件（电机）等安装更换。院内各类洁具维修更换。地板、地胶、地面铺设及修补。钢筋混凝土板、梁、柱构件局部修补。总坪、房屋外立面、绿化、非机动车棚、临时建筑等零星翻新改造。医疗设备带安装零星改造。卫生间给排水零星改造。墙体拆除及吊顶地面修复。房间内增设隔断。墙体开门洞、窗户。辐射控制房间的零星改造。房屋暖通系统改造等医疗建筑工程相关零星维修改造。医学洁净实验室、手术室等区域零星维修改造。医院建筑外立面零星改造修缮、屋顶零星改造、室内软装零星维修改造、生殖科涉及的实验室零星维修改造、产前诊断涉及的实验室零星维修改造、病理科涉及的实验室零星维修改造、检验科涉及的实验室零星维修改造等。管道疏通。建渣、废料处理。</w:t>
      </w:r>
    </w:p>
    <w:p w14:paraId="256B4D04">
      <w:pPr>
        <w:widowControl/>
        <w:numPr>
          <w:ilvl w:val="0"/>
          <w:numId w:val="3"/>
        </w:numPr>
        <w:tabs>
          <w:tab w:val="left" w:pos="3573"/>
        </w:tabs>
        <w:spacing w:line="360" w:lineRule="auto"/>
        <w:ind w:left="-62" w:leftChars="0" w:firstLine="482" w:firstLineChars="0"/>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拆除类服务：门窗墙体拆除、隔断拆除、开关插座灯具拆除、吊顶及墙面装饰层拆除、护栏扶手拆除、地面拆除、绿化拆除等涉及的维修改造服务内容。</w:t>
      </w:r>
    </w:p>
    <w:p w14:paraId="6585BE93">
      <w:pPr>
        <w:widowControl/>
        <w:numPr>
          <w:ilvl w:val="0"/>
          <w:numId w:val="3"/>
        </w:numPr>
        <w:tabs>
          <w:tab w:val="left" w:pos="3573"/>
        </w:tabs>
        <w:spacing w:line="360" w:lineRule="auto"/>
        <w:ind w:left="-62" w:leftChars="0" w:firstLine="482" w:firstLineChars="0"/>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砌筑类维修改造服务：墙体砌筑、轻质隔断、墙地砖、防水、管道包管等。</w:t>
      </w:r>
    </w:p>
    <w:p w14:paraId="5B4ED657">
      <w:pPr>
        <w:widowControl/>
        <w:numPr>
          <w:ilvl w:val="0"/>
          <w:numId w:val="3"/>
        </w:numPr>
        <w:tabs>
          <w:tab w:val="left" w:pos="3573"/>
        </w:tabs>
        <w:spacing w:line="360" w:lineRule="auto"/>
        <w:ind w:left="-62" w:leftChars="0" w:firstLine="482" w:firstLineChars="0"/>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装饰装修类维修改造服务：门窗、PVC地胶、木地板、墙顶面乳胶漆、墙顶面无机涂料、墙纸、纸面石膏板吊顶、矿棉板吊顶等。</w:t>
      </w:r>
    </w:p>
    <w:p w14:paraId="781F7DAF">
      <w:pPr>
        <w:widowControl/>
        <w:tabs>
          <w:tab w:val="left" w:pos="3573"/>
        </w:tabs>
        <w:spacing w:line="360" w:lineRule="auto"/>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水电类维修改造服务：室内外管道、给（冷热）排（雨污）水管道、管件、洁具、强弱电、开 关插座灯具、家具家电等。</w:t>
      </w:r>
    </w:p>
    <w:p w14:paraId="383D7BA5">
      <w:pPr>
        <w:widowControl/>
        <w:numPr>
          <w:ilvl w:val="0"/>
          <w:numId w:val="3"/>
        </w:numPr>
        <w:tabs>
          <w:tab w:val="left" w:pos="3573"/>
        </w:tabs>
        <w:spacing w:line="360" w:lineRule="auto"/>
        <w:ind w:left="-62" w:leftChars="0" w:firstLine="400" w:firstLineChars="0"/>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室外道路维修相关服务：路基处理服务、排水维修、修补路面基层、清理旧路面、修整防护工程、重新路面铺设，道路绿化等。</w:t>
      </w:r>
    </w:p>
    <w:p w14:paraId="1DCC6595">
      <w:pPr>
        <w:widowControl/>
        <w:numPr>
          <w:ilvl w:val="0"/>
          <w:numId w:val="3"/>
        </w:numPr>
        <w:tabs>
          <w:tab w:val="left" w:pos="3573"/>
        </w:tabs>
        <w:spacing w:line="360" w:lineRule="auto"/>
        <w:ind w:left="-62" w:leftChars="0" w:firstLine="400" w:firstLineChars="0"/>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其他维修改造服务：为实施服务所搭设的措施项目及建筑垃圾的清理外运等。</w:t>
      </w:r>
    </w:p>
    <w:p w14:paraId="260EF392">
      <w:pPr>
        <w:widowControl/>
        <w:numPr>
          <w:ilvl w:val="0"/>
          <w:numId w:val="3"/>
        </w:numPr>
        <w:tabs>
          <w:tab w:val="left" w:pos="3573"/>
        </w:tabs>
        <w:spacing w:line="360" w:lineRule="auto"/>
        <w:ind w:left="-62" w:leftChars="0" w:firstLine="400" w:firstLineChars="0"/>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房屋建筑与装饰[天棚（石膏板、矿棉板、仿瓷、乳胶漆、集成吊顶等）、砌筑（墙体、门洞、柜台等）、饰面层（乳胶漆、仿瓷、竹木墙板、墙纸、墙砖、扶手、栏杆等）、地面（地面砖、PVC地胶等）、锁具、门窗（套装门、钛合金门、塑钢窗、铝合金窗、防火门、门禁等）、防水（防水卷材、刚性防水、涂料等）等建筑与装饰施工]、除锈、防腐、刷油、洁具等安装施工、总平[道路(开挖、回填沥青路面、混凝土路面、划线等)、地下管道:污水井、围墙、管道疏通等总平施工]及服务区域内采购人指定的其他需维修、改造的内容。</w:t>
      </w:r>
    </w:p>
    <w:p w14:paraId="30C0879D">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缺陷责任期：2年。自工程验收合格并签署质量验收报告之日起算。</w:t>
      </w:r>
    </w:p>
    <w:p w14:paraId="1648B6C7">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供应商按照现场要求组织施工方案（包括材料运输、建渣外运、夜间施工等），保证本次改造不影响采购人医疗业务的正常运行。</w:t>
      </w:r>
    </w:p>
    <w:p w14:paraId="062E3527">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本项目实施完成后由供应商完成相应的竣工图纸与竣工资料（包括相关隐藏资料）装订成册1份，工程完成后10日内交由采购人存档。</w:t>
      </w:r>
    </w:p>
    <w:p w14:paraId="4CEDB5B2">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材料质量出现问题的，供应商应负责三包（包修、包换、包退），费用由供应商负担，采购人有权检查质量和工程进度。</w:t>
      </w:r>
    </w:p>
    <w:p w14:paraId="114CDAC5">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验收由采购人组织，供应商配合进行：工程在供应商改造完毕后3日内通知采购人验收。</w:t>
      </w:r>
    </w:p>
    <w:p w14:paraId="6B5AC1E2">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验收时如发现改造工程不合格或其它不符合标准及采购合同规定之情形者，应做出详细的现场记录由供应商、采购人签字确认，或由供应商、采购人双方签署备忘录，此现场记录或备忘录可用作重新改造、补充、缺失和更换损坏部件的有效证据，由此产生的时间延误与有关费用由供应商承担，验收期限相应顺延。</w:t>
      </w:r>
    </w:p>
    <w:p w14:paraId="3062BD3F">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如质量验收合格，双方签署质量验收报告。</w:t>
      </w:r>
    </w:p>
    <w:p w14:paraId="7954B9EC">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所有改建项目视觉范围内的设置均需要经过采购人选样，满足可靠、院感、净化、美观及采购人使用要求。</w:t>
      </w:r>
    </w:p>
    <w:p w14:paraId="2E6BABE6">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供应商进场材料按照采购人指定位置堆放并由供应商自行保管，如发生损坏及被盗事件，损失由供应商自行承担。</w:t>
      </w:r>
    </w:p>
    <w:p w14:paraId="45DCC81F">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服从采购人直接管理，保证工地秩序和施工形象，做到安全文明施工。</w:t>
      </w:r>
    </w:p>
    <w:p w14:paraId="2F862F6F">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供应商竣工时必须做好成品保护，不得对第三方施工单位产品或半成品、现场设施、绿化等进行损坏。</w:t>
      </w:r>
    </w:p>
    <w:p w14:paraId="7DA678C1">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未经采购人同意，供应商擅自拆改原建筑物结构或设备管线，由此发生的损失或事故(包括罚款)，由供应商负责并承担损失。</w:t>
      </w:r>
    </w:p>
    <w:p w14:paraId="1004C965">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向采购人提供全套施工方案和施工进度计划，并确保方案的可行性，并承担由此带来的一切损失。</w:t>
      </w:r>
    </w:p>
    <w:p w14:paraId="4D7E2EFA">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供应商对施工现场应进行有效管理,每次施工完毕后对施工现场进行全面清理，做到工完、料清、场地净、消除一切安全隐患。</w:t>
      </w:r>
    </w:p>
    <w:p w14:paraId="4FA1802F">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在施工中，如涉及到与其他施工方的交叉作业，供应商应主动协调并给予配合。供应商在施工中应从有利于施工安全角度安排施工计划，施工计划涉及与其他方相衔接的内容，应及时通知各方，并汇报至采购人。如未进行协调，供应商擅自组织施工，影响整体安全，供应商将承担由此造成的相应后果及赔偿责任。</w:t>
      </w:r>
    </w:p>
    <w:p w14:paraId="44D7517E">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供应商施工期间造成的供应商、采购人以及第三人的人身、财产安全受到损害，由供应商负责。</w:t>
      </w:r>
    </w:p>
    <w:p w14:paraId="6527A1DB">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供应商中标后提供的施工图纸或施工工艺说明，应符合国家现行相关的法规、规范，因采购人为非专业单位，其出具的施工图纸、施工工艺说明不符合规范的，供应商应在施工前明确告知采购人，并提出合理修改意见。否则，由此导致的有关主管部门不批准、不验收或造成安全事故的责任由供应商承担。</w:t>
      </w:r>
    </w:p>
    <w:p w14:paraId="491364ED">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供应商在施工期间应严格遵守国家现行相关的法律法规之规定。由于供应商在施工生产过程中违反有关安全操作规程、消防条例，导致发生安全或火灾事故，供应商应承担相应的经济损失和法律后果。</w:t>
      </w:r>
    </w:p>
    <w:p w14:paraId="56CC420C">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施工进场至施工竣工且验收合格期间施工影响范围内的人员安全、消防安全由供应商负责。</w:t>
      </w:r>
    </w:p>
    <w:p w14:paraId="455D435B">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供应商有固定的各类施工人员班组，供应商施工人员不与采购人建立任何形式的劳动关系，如发生工伤事故，均由供应商自行负责处理。</w:t>
      </w:r>
    </w:p>
    <w:p w14:paraId="3E6F8D71">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每个子项目工期以采购人需求为主，具体可根据施工环境协商（如根据维修改造面积大小、难易程度以及维修改造施工面的阻碍程度等确定），必要时须安排人员加班及夜班，增加人员施工保证进度，确保不影响采购人运营，因供应商原因导致工程延期将按合同进行处罚。如供应商无法及时组织施工，则采购人可以另行安排，费用由供应商承担。</w:t>
      </w:r>
    </w:p>
    <w:p w14:paraId="2A2382F6">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供应商须遵守《建设工程安全生产管理条例》《建筑施工安全技术统一规范》等国家相关安全文明施工规定，合同期内违反次数超过3次（含3次），采购人有权单方面解除合同。</w:t>
      </w:r>
    </w:p>
    <w:p w14:paraId="2107C047">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供应商进场施工须按照国家相关作业要求做好各种安全防护工作，供应商人员进场施工前须进行安全技术交底培训，施工部位做好标志，高空作业等危险作业须做好现场防护。供应商自行做好现场工具材料管理工作，确保施工现场通畅。在施工完毕后做好工作面的清场工作，建渣及未用完材料应清理完毕后方可撤场。</w:t>
      </w:r>
    </w:p>
    <w:p w14:paraId="4CE0DFC6">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材料要求：本项目改造包工包料，供应商按要求供应施工材料，所有材料均为符合国家质检部门及生产厂商的质量要求的全新货物。</w:t>
      </w:r>
    </w:p>
    <w:p w14:paraId="1C35BFCE">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安全责任：本项目实施过程中，供应商负责对安装人员的安全和治安教育，严格按照国家相关安全操作规程安装，做好安全防范，做到安全文明施工。所有安全责任均由供应商自行负责。</w:t>
      </w:r>
    </w:p>
    <w:p w14:paraId="24B58252">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本项目所有实施范围内工作内容质量保修期：按照《建设工程质量管理条例》执行，若设备、工程另有质保期规定的，按其规定执行。自工程验收合格并签署质量验收报告之日起算。</w:t>
      </w:r>
    </w:p>
    <w:p w14:paraId="37284C4F">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质保期内出现质量问题的，供应商应在接到通知后12小时内到场，24小时内完成维修或更换，并承担修理更换零配件的费用。</w:t>
      </w:r>
    </w:p>
    <w:p w14:paraId="7FD0A2C0">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供应商须指派专人负责与采购人联系质保服务事宜。</w:t>
      </w:r>
    </w:p>
    <w:p w14:paraId="4238D8AB">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供应商提供零星维修改造服务时不影响采购人业务开展和运营。</w:t>
      </w:r>
    </w:p>
    <w:p w14:paraId="0BAF5FA4">
      <w:pPr>
        <w:bidi w:val="0"/>
        <w:spacing w:line="360" w:lineRule="auto"/>
        <w:outlineLvl w:val="1"/>
        <w:rPr>
          <w:rFonts w:hint="default" w:ascii="宋体" w:hAnsi="宋体" w:eastAsia="宋体" w:cs="宋体"/>
          <w:b/>
          <w:bCs/>
          <w:sz w:val="24"/>
          <w:szCs w:val="24"/>
          <w:lang w:val="en-US" w:eastAsia="zh-CN"/>
        </w:rPr>
      </w:pPr>
      <w:r>
        <w:rPr>
          <w:rFonts w:hint="eastAsia" w:ascii="宋体" w:hAnsi="宋体" w:cs="宋体"/>
          <w:b w:val="0"/>
          <w:bCs w:val="0"/>
          <w:sz w:val="24"/>
          <w:szCs w:val="24"/>
          <w:lang w:val="en-US" w:eastAsia="zh-CN"/>
        </w:rPr>
        <w:t>三</w:t>
      </w:r>
      <w:r>
        <w:rPr>
          <w:rFonts w:hint="eastAsia" w:ascii="宋体" w:hAnsi="宋体" w:eastAsia="宋体" w:cs="宋体"/>
          <w:b/>
          <w:bCs/>
          <w:sz w:val="24"/>
          <w:szCs w:val="24"/>
          <w:lang w:val="en-US" w:eastAsia="zh-CN"/>
        </w:rPr>
        <w:t>、</w:t>
      </w:r>
      <w:r>
        <w:rPr>
          <w:rFonts w:hint="eastAsia" w:ascii="宋体" w:hAnsi="宋体" w:eastAsia="宋体" w:cs="宋体"/>
          <w:color w:val="auto"/>
          <w:sz w:val="24"/>
          <w:szCs w:val="24"/>
        </w:rPr>
        <w:t>★</w:t>
      </w:r>
      <w:r>
        <w:rPr>
          <w:rFonts w:hint="eastAsia" w:ascii="宋体" w:hAnsi="宋体" w:eastAsia="宋体" w:cs="宋体"/>
          <w:b/>
          <w:bCs/>
          <w:sz w:val="24"/>
          <w:szCs w:val="24"/>
          <w:lang w:val="en-US" w:eastAsia="zh-CN"/>
        </w:rPr>
        <w:t>商务要求</w:t>
      </w:r>
    </w:p>
    <w:p w14:paraId="201ED216">
      <w:pPr>
        <w:widowControl/>
        <w:numPr>
          <w:ilvl w:val="0"/>
          <w:numId w:val="4"/>
        </w:numPr>
        <w:tabs>
          <w:tab w:val="left" w:pos="3573"/>
        </w:tabs>
        <w:spacing w:line="360" w:lineRule="auto"/>
        <w:ind w:left="0" w:leftChars="0" w:firstLine="480" w:firstLineChars="200"/>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实际发生的工程量按照招标同期相应的中华人民共和国国家标准《建设工程量清单计价规范》(GB50500-2013)、《四川省建筑工程工程量清单计价定额》(2020)及相关配套文件规定计价标准计价。材料价格根据当期成都市建设工程造价和招投标监督服务站发布的《工程造价信息》确定，《工程造价信息》上没有的材料价格，由采购人、供应商、监理单位、造价咨询单位进行市场询价。</w:t>
      </w:r>
    </w:p>
    <w:p w14:paraId="374E6A33">
      <w:pPr>
        <w:widowControl/>
        <w:numPr>
          <w:ilvl w:val="0"/>
          <w:numId w:val="4"/>
        </w:numPr>
        <w:tabs>
          <w:tab w:val="left" w:pos="3573"/>
        </w:tabs>
        <w:spacing w:line="360" w:lineRule="auto"/>
        <w:ind w:left="0" w:leftChars="0" w:firstLine="480" w:firstLineChars="200"/>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每季度施工完成的内容，达到验收标准且经采购人验收合格后，供应商提供已完成的工程量报告，并附具已完成工程量核定单和有关资料，采购人对工程量有异议的，有权要求供应商进行共同复核或抽样复测。供应商应协助采购人进行复核或抽样复测，并按采购人要求提供补充计量资料。供应商未按采购人要求参加复核或抽样复测的，采购人复核或修正的工程量视为供应商实际完成的工程量。《工程量报告》按季度汇总后由与采购人签订合同的工程造价审核单位按照《建设工程量清单计价规范》(GB50500-2013)《四川省建筑工程工程量清单计价定额》(2020)及相关配套文件对改造费用进行核定,在结算总价基础上下浮，出具《工程造价审核报告》，按《工程造价审核报告》审定金额结算。</w:t>
      </w:r>
    </w:p>
    <w:p w14:paraId="5B11E5EC">
      <w:pPr>
        <w:widowControl/>
        <w:numPr>
          <w:ilvl w:val="0"/>
          <w:numId w:val="4"/>
        </w:numPr>
        <w:tabs>
          <w:tab w:val="left" w:pos="3573"/>
        </w:tabs>
        <w:spacing w:line="360" w:lineRule="auto"/>
        <w:ind w:left="0" w:leftChars="0" w:firstLine="480" w:firstLineChars="200"/>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合同期限：合同期限一年，合同期限内如采购人改造金额达到中标金额则合同终止。</w:t>
      </w:r>
    </w:p>
    <w:p w14:paraId="1DD93F42">
      <w:pPr>
        <w:widowControl/>
        <w:numPr>
          <w:ilvl w:val="0"/>
          <w:numId w:val="4"/>
        </w:numPr>
        <w:tabs>
          <w:tab w:val="left" w:pos="3573"/>
        </w:tabs>
        <w:spacing w:line="360" w:lineRule="auto"/>
        <w:ind w:left="0" w:leftChars="0" w:firstLine="480" w:firstLineChars="200"/>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施工工期：本工程每个子项以采购人发出的开工令或开工通知中载明起始日期后的双方约定的日历天完成。</w:t>
      </w:r>
    </w:p>
    <w:p w14:paraId="75466433">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（注：“★”要求为实质性要求，投标人应在投标文件中进行实质性响应，否则作无效响应处理。）</w:t>
      </w:r>
    </w:p>
    <w:p w14:paraId="1C447D5A">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outlineLvl w:val="1"/>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lang w:val="en-US" w:eastAsia="zh-CN"/>
        </w:rPr>
        <w:t>《响应文件》的评审</w:t>
      </w:r>
    </w:p>
    <w:p w14:paraId="3191AB7D">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1.由</w:t>
      </w:r>
      <w:r>
        <w:rPr>
          <w:rFonts w:hint="eastAsia" w:ascii="宋体" w:hAnsi="宋体" w:cs="宋体"/>
          <w:color w:val="auto"/>
          <w:kern w:val="0"/>
          <w:sz w:val="24"/>
          <w:szCs w:val="24"/>
          <w:highlight w:val="none"/>
          <w:lang w:val="en-US" w:eastAsia="zh-CN"/>
        </w:rPr>
        <w:t>招标采购部</w:t>
      </w:r>
      <w:r>
        <w:rPr>
          <w:rFonts w:hint="eastAsia" w:ascii="宋体" w:hAnsi="宋体" w:eastAsia="宋体" w:cs="宋体"/>
          <w:color w:val="auto"/>
          <w:kern w:val="0"/>
          <w:sz w:val="24"/>
          <w:szCs w:val="24"/>
          <w:highlight w:val="none"/>
          <w:lang w:val="en-US" w:eastAsia="zh-CN"/>
        </w:rPr>
        <w:t>组织</w:t>
      </w:r>
      <w:r>
        <w:rPr>
          <w:rFonts w:hint="eastAsia" w:ascii="宋体" w:hAnsi="宋体" w:eastAsia="宋体" w:cs="宋体"/>
          <w:color w:val="auto"/>
          <w:kern w:val="0"/>
          <w:sz w:val="24"/>
          <w:szCs w:val="24"/>
          <w:highlight w:val="none"/>
        </w:rPr>
        <w:t>成立评审</w:t>
      </w:r>
      <w:r>
        <w:rPr>
          <w:rFonts w:hint="eastAsia" w:ascii="宋体" w:hAnsi="宋体" w:eastAsia="宋体" w:cs="宋体"/>
          <w:color w:val="auto"/>
          <w:kern w:val="0"/>
          <w:sz w:val="24"/>
          <w:szCs w:val="24"/>
          <w:highlight w:val="none"/>
          <w:lang w:val="en-US" w:eastAsia="zh-CN"/>
        </w:rPr>
        <w:t>小组</w:t>
      </w:r>
      <w:r>
        <w:rPr>
          <w:rFonts w:hint="eastAsia" w:ascii="宋体" w:hAnsi="宋体" w:eastAsia="宋体" w:cs="宋体"/>
          <w:color w:val="auto"/>
          <w:kern w:val="0"/>
          <w:sz w:val="24"/>
          <w:szCs w:val="24"/>
          <w:highlight w:val="none"/>
        </w:rPr>
        <w:t>，对《</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》进行</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kern w:val="0"/>
          <w:sz w:val="24"/>
          <w:szCs w:val="24"/>
          <w:highlight w:val="none"/>
        </w:rPr>
        <w:t>。</w:t>
      </w:r>
    </w:p>
    <w:p w14:paraId="1D6AB925">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2.评审方法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本项采用</w:t>
      </w:r>
      <w:r>
        <w:rPr>
          <w:rFonts w:hint="eastAsia" w:ascii="宋体" w:hAnsi="宋体" w:cs="宋体"/>
          <w:color w:val="auto"/>
          <w:kern w:val="0"/>
          <w:sz w:val="24"/>
          <w:szCs w:val="24"/>
          <w:highlight w:val="none"/>
          <w:lang w:val="en-US" w:eastAsia="zh-CN"/>
        </w:rPr>
        <w:t>综合评分法</w:t>
      </w:r>
      <w:r>
        <w:rPr>
          <w:rFonts w:hint="eastAsia" w:ascii="宋体" w:hAnsi="宋体" w:eastAsia="宋体" w:cs="宋体"/>
          <w:color w:val="auto"/>
          <w:kern w:val="0"/>
          <w:sz w:val="24"/>
          <w:szCs w:val="24"/>
          <w:highlight w:val="none"/>
          <w:lang w:eastAsia="zh-CN"/>
        </w:rPr>
        <w:t>。</w:t>
      </w:r>
    </w:p>
    <w:p w14:paraId="1EA2FF90">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综合评分明细表</w:t>
      </w:r>
    </w:p>
    <w:tbl>
      <w:tblPr>
        <w:tblStyle w:val="15"/>
        <w:tblpPr w:leftFromText="180" w:rightFromText="180" w:vertAnchor="text" w:horzAnchor="page" w:tblpX="1802" w:tblpY="463"/>
        <w:tblOverlap w:val="never"/>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405"/>
        <w:gridCol w:w="863"/>
        <w:gridCol w:w="4217"/>
        <w:gridCol w:w="1341"/>
      </w:tblGrid>
      <w:tr w14:paraId="7FCD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32" w:type="dxa"/>
            <w:noWrap w:val="0"/>
            <w:vAlign w:val="center"/>
          </w:tcPr>
          <w:p w14:paraId="0B4A2453">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b/>
                <w:bCs w:val="0"/>
                <w:color w:val="000000"/>
                <w:sz w:val="22"/>
                <w:szCs w:val="22"/>
                <w:vertAlign w:val="baseline"/>
                <w:lang w:val="en-US" w:eastAsia="zh-CN"/>
              </w:rPr>
            </w:pPr>
            <w:r>
              <w:rPr>
                <w:rFonts w:hint="eastAsia" w:ascii="宋体" w:hAnsi="宋体" w:eastAsia="宋体" w:cs="宋体"/>
                <w:b/>
                <w:bCs w:val="0"/>
                <w:color w:val="auto"/>
                <w:sz w:val="22"/>
                <w:szCs w:val="22"/>
                <w:highlight w:val="none"/>
              </w:rPr>
              <w:t>序号</w:t>
            </w:r>
          </w:p>
        </w:tc>
        <w:tc>
          <w:tcPr>
            <w:tcW w:w="1405" w:type="dxa"/>
            <w:noWrap w:val="0"/>
            <w:vAlign w:val="center"/>
          </w:tcPr>
          <w:p w14:paraId="7567042F">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b/>
                <w:bCs w:val="0"/>
                <w:color w:val="000000"/>
                <w:sz w:val="22"/>
                <w:szCs w:val="22"/>
                <w:vertAlign w:val="baseline"/>
                <w:lang w:val="en-US" w:eastAsia="zh-CN"/>
              </w:rPr>
            </w:pPr>
            <w:r>
              <w:rPr>
                <w:rFonts w:hint="eastAsia" w:ascii="宋体" w:hAnsi="宋体" w:eastAsia="宋体" w:cs="宋体"/>
                <w:b/>
                <w:bCs w:val="0"/>
                <w:color w:val="auto"/>
                <w:sz w:val="22"/>
                <w:szCs w:val="22"/>
                <w:highlight w:val="none"/>
              </w:rPr>
              <w:t>评分因素</w:t>
            </w:r>
          </w:p>
        </w:tc>
        <w:tc>
          <w:tcPr>
            <w:tcW w:w="863" w:type="dxa"/>
            <w:noWrap w:val="0"/>
            <w:vAlign w:val="center"/>
          </w:tcPr>
          <w:p w14:paraId="1CDE6F7C">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b/>
                <w:bCs w:val="0"/>
                <w:color w:val="000000"/>
                <w:sz w:val="22"/>
                <w:szCs w:val="22"/>
                <w:vertAlign w:val="baseline"/>
                <w:lang w:val="en-US" w:eastAsia="zh-CN"/>
              </w:rPr>
            </w:pPr>
            <w:r>
              <w:rPr>
                <w:rFonts w:hint="eastAsia" w:ascii="宋体" w:hAnsi="宋体" w:eastAsia="宋体" w:cs="宋体"/>
                <w:b/>
                <w:bCs w:val="0"/>
                <w:color w:val="auto"/>
                <w:sz w:val="22"/>
                <w:szCs w:val="22"/>
                <w:highlight w:val="none"/>
              </w:rPr>
              <w:t>分值</w:t>
            </w:r>
          </w:p>
        </w:tc>
        <w:tc>
          <w:tcPr>
            <w:tcW w:w="4217" w:type="dxa"/>
            <w:noWrap w:val="0"/>
            <w:vAlign w:val="center"/>
          </w:tcPr>
          <w:p w14:paraId="7B2010D4">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rPr>
              <w:t>评分标准</w:t>
            </w:r>
          </w:p>
        </w:tc>
        <w:tc>
          <w:tcPr>
            <w:tcW w:w="1341" w:type="dxa"/>
            <w:noWrap w:val="0"/>
            <w:vAlign w:val="center"/>
          </w:tcPr>
          <w:p w14:paraId="75539DCC">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主/客观分</w:t>
            </w:r>
          </w:p>
        </w:tc>
      </w:tr>
      <w:tr w14:paraId="5297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832" w:type="dxa"/>
            <w:noWrap w:val="0"/>
            <w:vAlign w:val="center"/>
          </w:tcPr>
          <w:p w14:paraId="11FF2A7C">
            <w:pPr>
              <w:spacing w:line="360" w:lineRule="auto"/>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rPr>
              <w:t>1</w:t>
            </w:r>
          </w:p>
        </w:tc>
        <w:tc>
          <w:tcPr>
            <w:tcW w:w="1405" w:type="dxa"/>
            <w:noWrap w:val="0"/>
            <w:vAlign w:val="center"/>
          </w:tcPr>
          <w:p w14:paraId="776FB5ED">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rPr>
              <w:t>报价</w:t>
            </w:r>
            <w:r>
              <w:rPr>
                <w:rFonts w:hint="eastAsia" w:ascii="宋体" w:hAnsi="宋体" w:cs="宋体"/>
                <w:color w:val="auto"/>
                <w:sz w:val="21"/>
                <w:szCs w:val="21"/>
                <w:lang w:val="en-US" w:eastAsia="zh-CN"/>
              </w:rPr>
              <w:t xml:space="preserve">     </w:t>
            </w:r>
          </w:p>
        </w:tc>
        <w:tc>
          <w:tcPr>
            <w:tcW w:w="863" w:type="dxa"/>
            <w:noWrap w:val="0"/>
            <w:vAlign w:val="center"/>
          </w:tcPr>
          <w:p w14:paraId="206EAAAE">
            <w:pPr>
              <w:spacing w:line="36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rPr>
              <w:t>30</w:t>
            </w:r>
            <w:r>
              <w:rPr>
                <w:rFonts w:hint="eastAsia" w:ascii="宋体" w:hAnsi="宋体" w:eastAsia="宋体" w:cs="宋体"/>
                <w:color w:val="auto"/>
                <w:sz w:val="21"/>
                <w:szCs w:val="21"/>
                <w:lang w:val="en-US" w:eastAsia="zh-CN"/>
              </w:rPr>
              <w:t>分</w:t>
            </w:r>
          </w:p>
        </w:tc>
        <w:tc>
          <w:tcPr>
            <w:tcW w:w="4217" w:type="dxa"/>
            <w:noWrap w:val="0"/>
            <w:vAlign w:val="center"/>
          </w:tcPr>
          <w:p w14:paraId="4A37721D">
            <w:pPr>
              <w:spacing w:line="360" w:lineRule="auto"/>
              <w:ind w:firstLine="210" w:firstLineChars="1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经评审委员会评审，通过资格性和符合性审查的</w:t>
            </w:r>
            <w:r>
              <w:rPr>
                <w:rFonts w:hint="eastAsia" w:ascii="宋体" w:hAnsi="宋体" w:cs="宋体"/>
                <w:b w:val="0"/>
                <w:bCs/>
                <w:color w:val="auto"/>
                <w:sz w:val="21"/>
                <w:szCs w:val="21"/>
                <w:highlight w:val="none"/>
                <w:lang w:val="en-US" w:eastAsia="zh-CN"/>
              </w:rPr>
              <w:t>供应商磋商</w:t>
            </w:r>
            <w:r>
              <w:rPr>
                <w:rFonts w:hint="eastAsia" w:ascii="宋体" w:hAnsi="宋体" w:eastAsia="宋体" w:cs="宋体"/>
                <w:b w:val="0"/>
                <w:bCs/>
                <w:color w:val="auto"/>
                <w:sz w:val="21"/>
                <w:szCs w:val="21"/>
                <w:highlight w:val="none"/>
              </w:rPr>
              <w:t>报下浮率</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竣工</w:t>
            </w:r>
            <w:r>
              <w:rPr>
                <w:rFonts w:hint="eastAsia" w:ascii="宋体" w:hAnsi="宋体" w:eastAsia="宋体" w:cs="宋体"/>
                <w:b w:val="0"/>
                <w:bCs/>
                <w:color w:val="auto"/>
                <w:sz w:val="21"/>
                <w:szCs w:val="21"/>
                <w:highlight w:val="none"/>
                <w:lang w:eastAsia="zh-CN"/>
              </w:rPr>
              <w:t>结算《工程造价审核报告》审定金额）</w:t>
            </w:r>
            <w:r>
              <w:rPr>
                <w:rFonts w:hint="eastAsia" w:ascii="宋体" w:hAnsi="宋体" w:eastAsia="宋体" w:cs="宋体"/>
                <w:b w:val="0"/>
                <w:bCs/>
                <w:color w:val="auto"/>
                <w:sz w:val="21"/>
                <w:szCs w:val="21"/>
                <w:highlight w:val="none"/>
              </w:rPr>
              <w:t>。按下浮后比例计算得分，以本次有效的最低报价(1-最大下浮率)为基准价，其价格分为满分</w:t>
            </w:r>
            <w:r>
              <w:rPr>
                <w:rFonts w:hint="eastAsia" w:ascii="宋体" w:hAnsi="宋体" w:eastAsia="宋体" w:cs="宋体"/>
                <w:b w:val="0"/>
                <w:bCs/>
                <w:color w:val="auto"/>
                <w:sz w:val="21"/>
                <w:szCs w:val="21"/>
                <w:highlight w:val="none"/>
                <w:lang w:val="en-US" w:eastAsia="zh-CN"/>
              </w:rPr>
              <w:t>30</w:t>
            </w:r>
            <w:r>
              <w:rPr>
                <w:rFonts w:hint="eastAsia" w:ascii="宋体" w:hAnsi="宋体" w:eastAsia="宋体" w:cs="宋体"/>
                <w:b w:val="0"/>
                <w:bCs/>
                <w:color w:val="auto"/>
                <w:sz w:val="21"/>
                <w:szCs w:val="21"/>
                <w:highlight w:val="none"/>
              </w:rPr>
              <w:t>分。其他供应商的报价得分=[基准价/(1-下浮率)]x</w:t>
            </w:r>
            <w:r>
              <w:rPr>
                <w:rFonts w:hint="eastAsia" w:ascii="宋体" w:hAnsi="宋体" w:eastAsia="宋体" w:cs="宋体"/>
                <w:b w:val="0"/>
                <w:bCs/>
                <w:color w:val="auto"/>
                <w:sz w:val="21"/>
                <w:szCs w:val="21"/>
                <w:highlight w:val="none"/>
                <w:lang w:val="en-US" w:eastAsia="zh-CN"/>
              </w:rPr>
              <w:t>30</w:t>
            </w:r>
            <w:r>
              <w:rPr>
                <w:rFonts w:hint="eastAsia" w:ascii="宋体" w:hAnsi="宋体" w:eastAsia="宋体" w:cs="宋体"/>
                <w:b w:val="0"/>
                <w:bCs/>
                <w:color w:val="auto"/>
                <w:sz w:val="21"/>
                <w:szCs w:val="21"/>
                <w:highlight w:val="none"/>
              </w:rPr>
              <w:t>分。</w:t>
            </w:r>
          </w:p>
        </w:tc>
        <w:tc>
          <w:tcPr>
            <w:tcW w:w="1341" w:type="dxa"/>
            <w:noWrap w:val="0"/>
            <w:vAlign w:val="center"/>
          </w:tcPr>
          <w:p w14:paraId="2254850A">
            <w:pPr>
              <w:spacing w:line="360" w:lineRule="auto"/>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color w:val="auto"/>
                <w:sz w:val="21"/>
                <w:szCs w:val="21"/>
                <w:lang w:val="en-US" w:eastAsia="zh-CN"/>
              </w:rPr>
              <w:t>客观</w:t>
            </w:r>
          </w:p>
        </w:tc>
      </w:tr>
      <w:tr w14:paraId="0040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32" w:type="dxa"/>
            <w:noWrap w:val="0"/>
            <w:vAlign w:val="center"/>
          </w:tcPr>
          <w:p w14:paraId="239FD43D">
            <w:pPr>
              <w:spacing w:line="360" w:lineRule="auto"/>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rPr>
              <w:t>2</w:t>
            </w:r>
          </w:p>
        </w:tc>
        <w:tc>
          <w:tcPr>
            <w:tcW w:w="1405" w:type="dxa"/>
            <w:noWrap w:val="0"/>
            <w:vAlign w:val="center"/>
          </w:tcPr>
          <w:p w14:paraId="72F63CCE">
            <w:pPr>
              <w:spacing w:line="36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业绩</w:t>
            </w:r>
          </w:p>
        </w:tc>
        <w:tc>
          <w:tcPr>
            <w:tcW w:w="863" w:type="dxa"/>
            <w:noWrap w:val="0"/>
            <w:vAlign w:val="center"/>
          </w:tcPr>
          <w:p w14:paraId="7A0699E9">
            <w:pPr>
              <w:spacing w:line="36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20分</w:t>
            </w:r>
          </w:p>
        </w:tc>
        <w:tc>
          <w:tcPr>
            <w:tcW w:w="4217" w:type="dxa"/>
            <w:noWrap w:val="0"/>
            <w:vAlign w:val="center"/>
          </w:tcPr>
          <w:p w14:paraId="098BBDE8">
            <w:pPr>
              <w:spacing w:line="360" w:lineRule="auto"/>
              <w:ind w:firstLine="210" w:firstLineChars="100"/>
              <w:rPr>
                <w:rFonts w:hint="eastAsia" w:ascii="宋体" w:hAnsi="宋体" w:eastAsia="宋体" w:cs="宋体"/>
                <w:color w:val="auto"/>
                <w:sz w:val="21"/>
                <w:szCs w:val="21"/>
              </w:rPr>
            </w:pP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人提供自2022年1月1日起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含</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至响应文件递交截止日的已完成类似项目业绩的，每提供一个得4分，最高16分，类似项目业绩中包含实验室、洁净区域等特殊空间</w:t>
            </w:r>
            <w:r>
              <w:rPr>
                <w:rFonts w:hint="eastAsia" w:ascii="宋体" w:hAnsi="宋体" w:eastAsia="宋体" w:cs="宋体"/>
                <w:color w:val="auto"/>
                <w:sz w:val="21"/>
                <w:szCs w:val="21"/>
                <w:lang w:val="en-US" w:eastAsia="zh-CN"/>
              </w:rPr>
              <w:t>设计施工</w:t>
            </w:r>
            <w:r>
              <w:rPr>
                <w:rFonts w:hint="eastAsia" w:ascii="宋体" w:hAnsi="宋体" w:eastAsia="宋体" w:cs="宋体"/>
                <w:color w:val="auto"/>
                <w:sz w:val="21"/>
                <w:szCs w:val="21"/>
              </w:rPr>
              <w:t>的，院感防控、应急改造等特殊场景的，每个加1分（上限4分）。</w:t>
            </w:r>
          </w:p>
          <w:p w14:paraId="3EDACF6D">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说明：①类似业绩是指：类似医疗机构建筑工程或医疗机构房屋维修改造</w:t>
            </w:r>
            <w:r>
              <w:rPr>
                <w:rFonts w:hint="eastAsia" w:ascii="宋体" w:hAnsi="宋体" w:eastAsia="宋体" w:cs="宋体"/>
                <w:color w:val="auto"/>
                <w:sz w:val="21"/>
                <w:szCs w:val="21"/>
                <w:lang w:val="en-US" w:eastAsia="zh-CN"/>
              </w:rPr>
              <w:t>设计施工</w:t>
            </w:r>
            <w:r>
              <w:rPr>
                <w:rFonts w:hint="eastAsia" w:ascii="宋体" w:hAnsi="宋体" w:eastAsia="宋体" w:cs="宋体"/>
                <w:color w:val="auto"/>
                <w:sz w:val="21"/>
                <w:szCs w:val="21"/>
              </w:rPr>
              <w:t>项目；</w:t>
            </w:r>
          </w:p>
          <w:p w14:paraId="792D0A53">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②类似业绩须提供中标（成交）通知书或合同（协议），不提供的不得分。</w:t>
            </w:r>
          </w:p>
          <w:p w14:paraId="5C2384AF">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③类似业绩须提供合同资金收款的银行票据复印件、发票复印件、发票查验单（合同资金为分期付款的，至少应提供一次合同期限内资金支付的银行票据复印件、发票复印件、发票查验单）并加盖公章，不提供的不得分。</w:t>
            </w:r>
          </w:p>
        </w:tc>
        <w:tc>
          <w:tcPr>
            <w:tcW w:w="1341" w:type="dxa"/>
            <w:noWrap w:val="0"/>
            <w:vAlign w:val="center"/>
          </w:tcPr>
          <w:p w14:paraId="325BCF52">
            <w:pPr>
              <w:spacing w:line="360" w:lineRule="auto"/>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color w:val="auto"/>
                <w:sz w:val="21"/>
                <w:szCs w:val="21"/>
                <w:lang w:val="en-US" w:eastAsia="zh-CN"/>
              </w:rPr>
              <w:t>客观</w:t>
            </w:r>
          </w:p>
        </w:tc>
      </w:tr>
      <w:tr w14:paraId="2D4C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832" w:type="dxa"/>
            <w:noWrap w:val="0"/>
            <w:vAlign w:val="center"/>
          </w:tcPr>
          <w:p w14:paraId="5091255E">
            <w:pPr>
              <w:spacing w:line="360" w:lineRule="auto"/>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rPr>
              <w:t>3</w:t>
            </w:r>
          </w:p>
        </w:tc>
        <w:tc>
          <w:tcPr>
            <w:tcW w:w="1405" w:type="dxa"/>
            <w:noWrap w:val="0"/>
            <w:vAlign w:val="center"/>
          </w:tcPr>
          <w:p w14:paraId="1A377103">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零星工程设计施工流程方案</w:t>
            </w:r>
          </w:p>
        </w:tc>
        <w:tc>
          <w:tcPr>
            <w:tcW w:w="863" w:type="dxa"/>
            <w:noWrap w:val="0"/>
            <w:vAlign w:val="center"/>
          </w:tcPr>
          <w:p w14:paraId="0695CDE9">
            <w:pPr>
              <w:spacing w:line="36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34分</w:t>
            </w:r>
          </w:p>
        </w:tc>
        <w:tc>
          <w:tcPr>
            <w:tcW w:w="4217" w:type="dxa"/>
            <w:noWrap w:val="0"/>
            <w:vAlign w:val="center"/>
          </w:tcPr>
          <w:p w14:paraId="5B7B4FCD">
            <w:pPr>
              <w:pStyle w:val="2"/>
              <w:spacing w:line="360" w:lineRule="auto"/>
              <w:ind w:firstLine="210" w:firstLineChars="100"/>
              <w:rPr>
                <w:rFonts w:hint="eastAsia" w:ascii="宋体" w:hAnsi="宋体" w:eastAsia="宋体" w:cs="宋体"/>
                <w:color w:val="auto"/>
                <w:sz w:val="21"/>
                <w:szCs w:val="21"/>
              </w:rPr>
            </w:pPr>
            <w:r>
              <w:rPr>
                <w:rFonts w:hint="eastAsia" w:ascii="黑体" w:hAnsi="黑体" w:cs="黑体"/>
                <w:szCs w:val="21"/>
              </w:rPr>
              <w:t>提供针对医院零星工程的‌标准化</w:t>
            </w:r>
            <w:r>
              <w:rPr>
                <w:rFonts w:hint="eastAsia" w:ascii="黑体" w:hAnsi="黑体" w:cs="黑体"/>
                <w:szCs w:val="21"/>
                <w:lang w:val="en-US" w:eastAsia="zh-CN"/>
              </w:rPr>
              <w:t>设计施工</w:t>
            </w:r>
            <w:r>
              <w:rPr>
                <w:rFonts w:hint="eastAsia" w:ascii="黑体" w:hAnsi="黑体" w:cs="黑体"/>
                <w:szCs w:val="21"/>
              </w:rPr>
              <w:t>流程</w:t>
            </w:r>
            <w:r>
              <w:rPr>
                <w:rFonts w:hint="eastAsia" w:ascii="黑体" w:hAnsi="黑体" w:cs="黑体"/>
                <w:szCs w:val="21"/>
                <w:lang w:val="en-US" w:eastAsia="zh-CN"/>
              </w:rPr>
              <w:t>方案</w:t>
            </w:r>
            <w:r>
              <w:rPr>
                <w:rFonts w:hint="eastAsia" w:ascii="黑体" w:hAnsi="黑体" w:cs="黑体"/>
                <w:szCs w:val="21"/>
              </w:rPr>
              <w:t>‌（至少包含快速现场勘查</w:t>
            </w:r>
            <w:r>
              <w:rPr>
                <w:rFonts w:hint="eastAsia" w:ascii="黑体" w:hAnsi="黑体" w:cs="黑体"/>
                <w:szCs w:val="21"/>
                <w:lang w:eastAsia="zh-CN"/>
              </w:rPr>
              <w:t>；</w:t>
            </w:r>
            <w:r>
              <w:rPr>
                <w:rFonts w:hint="eastAsia" w:ascii="黑体" w:hAnsi="黑体" w:cs="黑体"/>
                <w:szCs w:val="21"/>
              </w:rPr>
              <w:t>需求预判</w:t>
            </w:r>
            <w:r>
              <w:rPr>
                <w:rFonts w:hint="eastAsia" w:ascii="黑体" w:hAnsi="黑体" w:cs="黑体"/>
                <w:szCs w:val="21"/>
                <w:lang w:eastAsia="zh-CN"/>
              </w:rPr>
              <w:t>；</w:t>
            </w:r>
            <w:r>
              <w:rPr>
                <w:rFonts w:hint="eastAsia" w:ascii="黑体" w:hAnsi="黑体" w:cs="黑体"/>
                <w:szCs w:val="21"/>
              </w:rPr>
              <w:t>多专业协同机制</w:t>
            </w:r>
            <w:r>
              <w:rPr>
                <w:rFonts w:hint="eastAsia" w:ascii="黑体" w:hAnsi="黑体" w:cs="黑体"/>
                <w:szCs w:val="21"/>
                <w:lang w:eastAsia="zh-CN"/>
              </w:rPr>
              <w:t>；</w:t>
            </w:r>
            <w:r>
              <w:rPr>
                <w:rFonts w:hint="eastAsia" w:ascii="黑体" w:hAnsi="黑体" w:cs="黑体"/>
                <w:szCs w:val="21"/>
                <w:highlight w:val="none"/>
              </w:rPr>
              <w:t>服务定位和提高服务水平措施；针对项目认识和特点分析；总体管理服务；项目管理重点和管理目标；应急预案</w:t>
            </w:r>
            <w:r>
              <w:rPr>
                <w:rFonts w:hint="eastAsia" w:ascii="黑体" w:hAnsi="黑体" w:cs="黑体"/>
                <w:szCs w:val="21"/>
                <w:highlight w:val="none"/>
                <w:lang w:eastAsia="zh-CN"/>
              </w:rPr>
              <w:t>；</w:t>
            </w:r>
            <w:r>
              <w:rPr>
                <w:rFonts w:hint="eastAsia" w:ascii="黑体" w:hAnsi="黑体" w:cs="黑体"/>
                <w:szCs w:val="21"/>
                <w:highlight w:val="none"/>
              </w:rPr>
              <w:t>在此基础上对本项目各项服务内容有具体目标及实现目标的具体措施或思路，所提供的方案符合妇女儿童的特点，并提出保障院区运营可行性措施。内容完全响应磋商文件的得34分，每缺少一项内容扣</w:t>
            </w:r>
            <w:r>
              <w:rPr>
                <w:rFonts w:hint="eastAsia" w:ascii="黑体" w:hAnsi="黑体" w:cs="黑体"/>
                <w:szCs w:val="21"/>
                <w:highlight w:val="none"/>
                <w:lang w:val="en-US" w:eastAsia="zh-CN"/>
              </w:rPr>
              <w:t>4</w:t>
            </w:r>
            <w:r>
              <w:rPr>
                <w:rFonts w:hint="eastAsia" w:ascii="黑体" w:hAnsi="黑体" w:cs="黑体"/>
                <w:szCs w:val="21"/>
                <w:highlight w:val="none"/>
              </w:rPr>
              <w:t>分，每有一处内容错误</w:t>
            </w:r>
            <w:r>
              <w:rPr>
                <w:rFonts w:hint="eastAsia" w:ascii="黑体" w:hAnsi="黑体" w:cs="黑体"/>
                <w:szCs w:val="21"/>
                <w:highlight w:val="none"/>
                <w:lang w:eastAsia="zh-CN"/>
              </w:rPr>
              <w:t>，扣1分，扣完为止。内容错误指</w:t>
            </w:r>
            <w:r>
              <w:rPr>
                <w:rFonts w:hint="eastAsia" w:ascii="黑体" w:hAnsi="黑体" w:cs="黑体"/>
                <w:szCs w:val="21"/>
                <w:highlight w:val="none"/>
              </w:rPr>
              <w:t>:全部内容应当针对本项目，若服务方案内容中出现①项目名称、项目地址、项目类型、采购人单位名称等与招标文件采购需求不一致或无关的情况;②服务方案中相关作业服务标准低于招标文件要求的情况;③服务方案内容完全复制招标文件采购需求内容，未做进一步说明或阐述的情况，④服务方案内容仅有方案标题，无说明或阐述的情况;⑤服务方案有漏缺项或描述错误或与采购需求前后矛盾的情况;⑥套用其他项目服务方案或服务方案内容与本项目无关的情况;⑦服务方案中引用的法律法规、规范、标准、部门规章、政府部门通知、地方政策文件等已失效或已废止或不适用于本项目的情况等，以及不满足招标文件要求的</w:t>
            </w:r>
            <w:r>
              <w:rPr>
                <w:rFonts w:hint="eastAsia" w:ascii="黑体" w:hAnsi="黑体" w:cs="黑体"/>
                <w:szCs w:val="21"/>
                <w:highlight w:val="none"/>
                <w:lang w:eastAsia="zh-CN"/>
              </w:rPr>
              <w:t>；内容只有单纯的文字描述，前后内容无法连贯；仅有框架或标题；明显复制其他项目内容；内容脱离了实际情况不具备实施的可能性或套用其他项目方案或引用科学原理错误或存在与本项目无关的内容。)</w:t>
            </w:r>
          </w:p>
        </w:tc>
        <w:tc>
          <w:tcPr>
            <w:tcW w:w="1341" w:type="dxa"/>
            <w:noWrap w:val="0"/>
            <w:vAlign w:val="center"/>
          </w:tcPr>
          <w:p w14:paraId="1816FCDB">
            <w:pPr>
              <w:spacing w:line="360" w:lineRule="auto"/>
              <w:jc w:val="center"/>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lang w:val="en-US" w:eastAsia="zh-CN"/>
              </w:rPr>
              <w:t>主</w:t>
            </w:r>
            <w:r>
              <w:rPr>
                <w:rFonts w:hint="eastAsia" w:ascii="宋体" w:hAnsi="宋体" w:eastAsia="宋体" w:cs="宋体"/>
                <w:b w:val="0"/>
                <w:bCs/>
                <w:color w:val="auto"/>
                <w:sz w:val="21"/>
                <w:szCs w:val="21"/>
                <w:highlight w:val="none"/>
                <w:lang w:val="en-US" w:eastAsia="zh-CN"/>
              </w:rPr>
              <w:t>观</w:t>
            </w:r>
          </w:p>
        </w:tc>
      </w:tr>
      <w:tr w14:paraId="4C29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832" w:type="dxa"/>
            <w:noWrap w:val="0"/>
            <w:vAlign w:val="center"/>
          </w:tcPr>
          <w:p w14:paraId="6FAC1F4C">
            <w:pPr>
              <w:spacing w:line="360" w:lineRule="auto"/>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lang w:val="en-US" w:eastAsia="zh-CN"/>
              </w:rPr>
              <w:t>4</w:t>
            </w:r>
          </w:p>
        </w:tc>
        <w:tc>
          <w:tcPr>
            <w:tcW w:w="1405" w:type="dxa"/>
            <w:shd w:val="clear" w:color="auto" w:fill="auto"/>
            <w:noWrap w:val="0"/>
            <w:vAlign w:val="center"/>
          </w:tcPr>
          <w:p w14:paraId="71BC342C">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‌医疗场景适配性</w:t>
            </w:r>
          </w:p>
        </w:tc>
        <w:tc>
          <w:tcPr>
            <w:tcW w:w="863" w:type="dxa"/>
            <w:shd w:val="clear" w:color="auto" w:fill="auto"/>
            <w:noWrap w:val="0"/>
            <w:vAlign w:val="center"/>
          </w:tcPr>
          <w:p w14:paraId="1F3F92AA">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10</w:t>
            </w:r>
          </w:p>
        </w:tc>
        <w:tc>
          <w:tcPr>
            <w:tcW w:w="4217" w:type="dxa"/>
            <w:noWrap w:val="0"/>
            <w:vAlign w:val="center"/>
          </w:tcPr>
          <w:p w14:paraId="1B49A698">
            <w:pPr>
              <w:spacing w:line="360" w:lineRule="auto"/>
              <w:rPr>
                <w:rFonts w:hint="eastAsia" w:ascii="宋体" w:hAnsi="宋体" w:eastAsia="宋体" w:cs="宋体"/>
                <w:sz w:val="21"/>
                <w:szCs w:val="21"/>
                <w:lang w:val="en-US" w:eastAsia="zh-CN"/>
              </w:rPr>
            </w:pPr>
            <w:r>
              <w:rPr>
                <w:rFonts w:hint="eastAsia" w:ascii="宋体" w:hAnsi="宋体" w:eastAsia="宋体" w:cs="宋体"/>
                <w:szCs w:val="21"/>
              </w:rPr>
              <w:t>提供过往类似医院改造项目业绩中‌特殊场景解决方案‌（如</w:t>
            </w:r>
            <w:r>
              <w:rPr>
                <w:rFonts w:hint="eastAsia" w:ascii="宋体" w:hAnsi="宋体" w:eastAsia="宋体" w:cs="宋体"/>
                <w:szCs w:val="21"/>
                <w:lang w:val="en-US" w:eastAsia="zh-CN"/>
              </w:rPr>
              <w:t>门诊、住院区域</w:t>
            </w:r>
            <w:r>
              <w:rPr>
                <w:rFonts w:hint="eastAsia" w:ascii="宋体" w:hAnsi="宋体" w:eastAsia="宋体" w:cs="宋体"/>
                <w:szCs w:val="21"/>
              </w:rPr>
              <w:t>不停业改造等），每个得</w:t>
            </w:r>
            <w:r>
              <w:rPr>
                <w:rFonts w:hint="eastAsia" w:ascii="宋体" w:hAnsi="宋体" w:eastAsia="宋体" w:cs="宋体"/>
                <w:szCs w:val="21"/>
                <w:lang w:val="en-US" w:eastAsia="zh-CN"/>
              </w:rPr>
              <w:t>5</w:t>
            </w:r>
            <w:r>
              <w:rPr>
                <w:rFonts w:hint="eastAsia" w:ascii="宋体" w:hAnsi="宋体" w:eastAsia="宋体" w:cs="宋体"/>
                <w:szCs w:val="21"/>
              </w:rPr>
              <w:t>分，须提供该项目</w:t>
            </w:r>
            <w:r>
              <w:rPr>
                <w:rFonts w:hint="eastAsia" w:ascii="宋体" w:hAnsi="宋体" w:eastAsia="宋体" w:cs="宋体"/>
                <w:szCs w:val="21"/>
                <w:lang w:val="en-US" w:eastAsia="zh-CN"/>
              </w:rPr>
              <w:t>施工组织方案</w:t>
            </w:r>
            <w:r>
              <w:rPr>
                <w:rFonts w:hint="eastAsia" w:ascii="宋体" w:hAnsi="宋体" w:eastAsia="宋体" w:cs="宋体"/>
                <w:szCs w:val="21"/>
              </w:rPr>
              <w:t>（提供封面</w:t>
            </w:r>
            <w:r>
              <w:rPr>
                <w:rFonts w:hint="eastAsia" w:ascii="宋体" w:hAnsi="宋体" w:eastAsia="宋体" w:cs="宋体"/>
                <w:szCs w:val="21"/>
                <w:lang w:eastAsia="zh-CN"/>
              </w:rPr>
              <w:t>、</w:t>
            </w:r>
            <w:r>
              <w:rPr>
                <w:rFonts w:hint="eastAsia" w:ascii="宋体" w:hAnsi="宋体" w:eastAsia="宋体" w:cs="宋体"/>
                <w:szCs w:val="21"/>
                <w:lang w:val="en-US" w:eastAsia="zh-CN"/>
              </w:rPr>
              <w:t>方案具体内容页</w:t>
            </w:r>
            <w:r>
              <w:rPr>
                <w:rFonts w:hint="eastAsia" w:ascii="宋体" w:hAnsi="宋体" w:eastAsia="宋体" w:cs="宋体"/>
                <w:szCs w:val="21"/>
              </w:rPr>
              <w:t>、有签字），不提供的不得分。</w:t>
            </w:r>
          </w:p>
        </w:tc>
        <w:tc>
          <w:tcPr>
            <w:tcW w:w="1341" w:type="dxa"/>
            <w:noWrap w:val="0"/>
            <w:vAlign w:val="center"/>
          </w:tcPr>
          <w:p w14:paraId="7634E913">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Cs/>
                <w:sz w:val="24"/>
                <w:szCs w:val="24"/>
              </w:rPr>
              <w:t>客观</w:t>
            </w:r>
          </w:p>
        </w:tc>
      </w:tr>
      <w:tr w14:paraId="31DB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832" w:type="dxa"/>
            <w:noWrap w:val="0"/>
            <w:vAlign w:val="center"/>
          </w:tcPr>
          <w:p w14:paraId="2B38BE4E">
            <w:pPr>
              <w:spacing w:line="360" w:lineRule="auto"/>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lang w:val="en-US" w:eastAsia="zh-CN"/>
              </w:rPr>
              <w:t>5</w:t>
            </w:r>
          </w:p>
        </w:tc>
        <w:tc>
          <w:tcPr>
            <w:tcW w:w="1405" w:type="dxa"/>
            <w:noWrap w:val="0"/>
            <w:vAlign w:val="center"/>
          </w:tcPr>
          <w:p w14:paraId="76F9B9E6">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szCs w:val="21"/>
              </w:rPr>
              <w:t>多专业协同能力</w:t>
            </w:r>
          </w:p>
        </w:tc>
        <w:tc>
          <w:tcPr>
            <w:tcW w:w="863" w:type="dxa"/>
            <w:noWrap w:val="0"/>
            <w:vAlign w:val="center"/>
          </w:tcPr>
          <w:p w14:paraId="445C003D">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szCs w:val="21"/>
                <w:lang w:val="en-US" w:eastAsia="zh-CN"/>
              </w:rPr>
              <w:t>6</w:t>
            </w:r>
          </w:p>
        </w:tc>
        <w:tc>
          <w:tcPr>
            <w:tcW w:w="4217" w:type="dxa"/>
            <w:noWrap w:val="0"/>
            <w:vAlign w:val="center"/>
          </w:tcPr>
          <w:p w14:paraId="2F238FDB">
            <w:pPr>
              <w:spacing w:line="360" w:lineRule="auto"/>
              <w:rPr>
                <w:rFonts w:hint="eastAsia" w:ascii="宋体" w:hAnsi="宋体" w:eastAsia="宋体" w:cs="宋体"/>
                <w:color w:val="auto"/>
                <w:sz w:val="21"/>
                <w:szCs w:val="21"/>
              </w:rPr>
            </w:pPr>
            <w:r>
              <w:rPr>
                <w:rFonts w:hint="eastAsia" w:ascii="宋体" w:hAnsi="宋体" w:eastAsia="宋体" w:cs="宋体"/>
                <w:szCs w:val="21"/>
              </w:rPr>
              <w:t>提供类似与医疗设备供应商‌协同</w:t>
            </w:r>
            <w:r>
              <w:rPr>
                <w:rFonts w:hint="eastAsia" w:ascii="宋体" w:hAnsi="宋体" w:eastAsia="宋体" w:cs="宋体"/>
                <w:szCs w:val="21"/>
                <w:lang w:val="en-US" w:eastAsia="zh-CN"/>
              </w:rPr>
              <w:t>施工</w:t>
            </w:r>
            <w:r>
              <w:rPr>
                <w:rFonts w:hint="eastAsia" w:ascii="宋体" w:hAnsi="宋体" w:eastAsia="宋体" w:cs="宋体"/>
                <w:szCs w:val="21"/>
              </w:rPr>
              <w:t>的项目业绩‌（如手术室、生殖胚胎实验室、产前诊断PCR实验室等），每个得</w:t>
            </w:r>
            <w:r>
              <w:rPr>
                <w:rFonts w:hint="eastAsia" w:ascii="宋体" w:hAnsi="宋体" w:eastAsia="宋体" w:cs="宋体"/>
                <w:szCs w:val="21"/>
                <w:lang w:val="en-US" w:eastAsia="zh-CN"/>
              </w:rPr>
              <w:t>3</w:t>
            </w:r>
            <w:r>
              <w:rPr>
                <w:rFonts w:hint="eastAsia" w:ascii="宋体" w:hAnsi="宋体" w:eastAsia="宋体" w:cs="宋体"/>
                <w:szCs w:val="21"/>
              </w:rPr>
              <w:t>分，须提供该项目施工组织方案（提供封面、方案具体内容页、有签字），不提供的不得分。</w:t>
            </w:r>
          </w:p>
        </w:tc>
        <w:tc>
          <w:tcPr>
            <w:tcW w:w="1341" w:type="dxa"/>
            <w:noWrap w:val="0"/>
            <w:vAlign w:val="center"/>
          </w:tcPr>
          <w:p w14:paraId="77FEDDC4">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Cs/>
                <w:sz w:val="24"/>
                <w:szCs w:val="24"/>
              </w:rPr>
              <w:t>客观</w:t>
            </w:r>
          </w:p>
        </w:tc>
      </w:tr>
    </w:tbl>
    <w:p w14:paraId="6A5BC28B">
      <w:pPr>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br w:type="page"/>
      </w:r>
    </w:p>
    <w:p w14:paraId="31FE6D57">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outlineLvl w:val="1"/>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t>附件2 主要表格格式</w:t>
      </w:r>
    </w:p>
    <w:p w14:paraId="484BA29E">
      <w:pPr>
        <w:pStyle w:val="11"/>
        <w:jc w:val="left"/>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t>2-1</w:t>
      </w:r>
    </w:p>
    <w:p w14:paraId="460AA6EB">
      <w:pPr>
        <w:rPr>
          <w:rFonts w:hint="eastAsia" w:ascii="宋体" w:hAnsi="宋体" w:cs="宋体"/>
          <w:b/>
          <w:bCs/>
          <w:color w:val="auto"/>
          <w:kern w:val="0"/>
          <w:sz w:val="24"/>
          <w:szCs w:val="24"/>
          <w:highlight w:val="none"/>
          <w:u w:val="single"/>
          <w:lang w:val="en-US" w:eastAsia="zh-CN"/>
        </w:rPr>
      </w:pPr>
    </w:p>
    <w:p w14:paraId="13552E91">
      <w:pPr>
        <w:pStyle w:val="11"/>
        <w:rPr>
          <w:rFonts w:hint="default"/>
          <w:lang w:val="en-US" w:eastAsia="zh-CN"/>
        </w:rPr>
      </w:pPr>
    </w:p>
    <w:p w14:paraId="0458095D">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14:paraId="13728087">
      <w:pPr>
        <w:pStyle w:val="2"/>
        <w:keepNext w:val="0"/>
        <w:keepLines w:val="0"/>
        <w:pageBreakBefore w:val="0"/>
        <w:kinsoku/>
        <w:wordWrap/>
        <w:overflowPunct/>
        <w:topLinePunct w:val="0"/>
        <w:autoSpaceDE/>
        <w:autoSpaceDN/>
        <w:bidi w:val="0"/>
        <w:spacing w:line="360" w:lineRule="auto"/>
        <w:jc w:val="center"/>
        <w:rPr>
          <w:rFonts w:hint="default" w:ascii="宋体" w:hAnsi="宋体" w:eastAsia="宋体" w:cs="宋体"/>
          <w:color w:val="auto"/>
          <w:sz w:val="24"/>
          <w:szCs w:val="24"/>
          <w:lang w:val="en-US"/>
        </w:rPr>
      </w:pPr>
      <w:r>
        <w:rPr>
          <w:rFonts w:hint="eastAsia" w:ascii="宋体" w:hAnsi="宋体" w:eastAsia="宋体" w:cs="宋体"/>
          <w:color w:val="auto"/>
          <w:kern w:val="0"/>
          <w:sz w:val="24"/>
          <w:szCs w:val="24"/>
          <w:highlight w:val="none"/>
          <w:lang w:val="en-US" w:eastAsia="zh-CN"/>
        </w:rPr>
        <w:t>报价一览表</w:t>
      </w:r>
      <w:r>
        <w:rPr>
          <w:rFonts w:hint="eastAsia" w:ascii="宋体" w:hAnsi="宋体" w:cs="宋体"/>
          <w:color w:val="auto"/>
          <w:kern w:val="0"/>
          <w:sz w:val="24"/>
          <w:szCs w:val="24"/>
          <w:highlight w:val="none"/>
          <w:lang w:val="en-US" w:eastAsia="zh-CN"/>
        </w:rPr>
        <w:t>（一次）</w:t>
      </w:r>
    </w:p>
    <w:tbl>
      <w:tblPr>
        <w:tblStyle w:val="21"/>
        <w:tblW w:w="82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6"/>
        <w:gridCol w:w="3679"/>
        <w:gridCol w:w="3818"/>
      </w:tblGrid>
      <w:tr w14:paraId="04E7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796" w:type="dxa"/>
            <w:vAlign w:val="top"/>
          </w:tcPr>
          <w:p w14:paraId="3466F747">
            <w:pPr>
              <w:pStyle w:val="20"/>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3679" w:type="dxa"/>
            <w:vAlign w:val="top"/>
          </w:tcPr>
          <w:p w14:paraId="23692452">
            <w:pPr>
              <w:pStyle w:val="20"/>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r>
              <w:rPr>
                <w:rFonts w:hint="eastAsia" w:ascii="宋体" w:hAnsi="宋体" w:eastAsia="宋体" w:cs="宋体"/>
                <w:sz w:val="24"/>
                <w:szCs w:val="24"/>
              </w:rPr>
              <w:t>名称</w:t>
            </w:r>
          </w:p>
        </w:tc>
        <w:tc>
          <w:tcPr>
            <w:tcW w:w="3818" w:type="dxa"/>
            <w:vAlign w:val="top"/>
          </w:tcPr>
          <w:p w14:paraId="23D80D70">
            <w:pPr>
              <w:pStyle w:val="20"/>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报价（</w:t>
            </w:r>
            <w:r>
              <w:rPr>
                <w:rFonts w:hint="eastAsia" w:cs="宋体"/>
                <w:sz w:val="24"/>
                <w:szCs w:val="24"/>
                <w:lang w:val="en-US" w:eastAsia="zh-CN"/>
              </w:rPr>
              <w:t>下浮率</w:t>
            </w:r>
            <w:r>
              <w:rPr>
                <w:rFonts w:hint="eastAsia" w:ascii="宋体" w:hAnsi="宋体" w:eastAsia="宋体" w:cs="宋体"/>
                <w:sz w:val="24"/>
                <w:szCs w:val="24"/>
                <w:lang w:val="en-US" w:eastAsia="zh-CN"/>
              </w:rPr>
              <w:t>）</w:t>
            </w:r>
          </w:p>
        </w:tc>
      </w:tr>
      <w:tr w14:paraId="0AB47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796" w:type="dxa"/>
            <w:vAlign w:val="center"/>
          </w:tcPr>
          <w:p w14:paraId="13FF5E04">
            <w:pPr>
              <w:pStyle w:val="17"/>
              <w:numPr>
                <w:ilvl w:val="0"/>
                <w:numId w:val="0"/>
              </w:numPr>
              <w:ind w:leftChars="0"/>
              <w:jc w:val="center"/>
              <w:rPr>
                <w:rFonts w:hint="eastAsia" w:hAnsi="宋体"/>
                <w:lang w:val="en-US" w:eastAsia="zh-CN"/>
              </w:rPr>
            </w:pPr>
            <w:r>
              <w:rPr>
                <w:rFonts w:hint="eastAsia" w:hAnsi="宋体"/>
                <w:lang w:val="en-US" w:eastAsia="zh-CN"/>
              </w:rPr>
              <w:t>1</w:t>
            </w:r>
          </w:p>
        </w:tc>
        <w:tc>
          <w:tcPr>
            <w:tcW w:w="3679" w:type="dxa"/>
            <w:shd w:val="clear" w:color="auto" w:fill="FFFFFF" w:themeFill="background1"/>
            <w:vAlign w:val="top"/>
          </w:tcPr>
          <w:p w14:paraId="69A1D446">
            <w:pPr>
              <w:pStyle w:val="17"/>
              <w:numPr>
                <w:ilvl w:val="0"/>
                <w:numId w:val="0"/>
              </w:numPr>
              <w:ind w:leftChars="0"/>
              <w:jc w:val="center"/>
              <w:rPr>
                <w:rFonts w:hint="eastAsia" w:hAnsi="宋体"/>
                <w:lang w:val="en-US" w:eastAsia="zh-CN"/>
              </w:rPr>
            </w:pPr>
          </w:p>
        </w:tc>
        <w:tc>
          <w:tcPr>
            <w:tcW w:w="3818" w:type="dxa"/>
            <w:shd w:val="clear" w:color="auto" w:fill="FFFFFF" w:themeFill="background1"/>
            <w:vAlign w:val="center"/>
          </w:tcPr>
          <w:p w14:paraId="4987E0C3">
            <w:pPr>
              <w:pStyle w:val="20"/>
              <w:keepNext w:val="0"/>
              <w:keepLines w:val="0"/>
              <w:pageBreakBefore w:val="0"/>
              <w:widowControl w:val="0"/>
              <w:kinsoku/>
              <w:wordWrap/>
              <w:overflowPunct/>
              <w:topLinePunct w:val="0"/>
              <w:autoSpaceDE/>
              <w:autoSpaceDN/>
              <w:bidi w:val="0"/>
              <w:adjustRightInd/>
              <w:snapToGrid w:val="0"/>
              <w:spacing w:before="33" w:line="240" w:lineRule="auto"/>
              <w:ind w:left="41" w:right="56"/>
              <w:jc w:val="center"/>
              <w:textAlignment w:val="auto"/>
              <w:rPr>
                <w:rFonts w:hint="eastAsia" w:ascii="宋体" w:hAnsi="宋体" w:eastAsia="宋体" w:cs="宋体"/>
                <w:sz w:val="24"/>
                <w:szCs w:val="24"/>
                <w:lang w:val="en-US" w:eastAsia="zh-CN"/>
              </w:rPr>
            </w:pPr>
          </w:p>
        </w:tc>
      </w:tr>
    </w:tbl>
    <w:p w14:paraId="565E5CCA">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14:paraId="25088D96">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p>
    <w:p w14:paraId="1B36826E">
      <w:pPr>
        <w:keepNext w:val="0"/>
        <w:keepLines w:val="0"/>
        <w:pageBreakBefore w:val="0"/>
        <w:widowControl/>
        <w:numPr>
          <w:ilvl w:val="0"/>
          <w:numId w:val="5"/>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“报价一览表”为多页的，每页均需由法定代表人或授权代表签字并盖</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印章。</w:t>
      </w:r>
    </w:p>
    <w:p w14:paraId="29A80BFC">
      <w:pPr>
        <w:keepNext w:val="0"/>
        <w:keepLines w:val="0"/>
        <w:pageBreakBefore w:val="0"/>
        <w:widowControl/>
        <w:numPr>
          <w:ilvl w:val="0"/>
          <w:numId w:val="5"/>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“报价一览表”需</w:t>
      </w:r>
      <w:r>
        <w:rPr>
          <w:rFonts w:hint="eastAsia" w:ascii="宋体" w:hAnsi="宋体" w:cs="宋体"/>
          <w:color w:val="auto"/>
          <w:kern w:val="0"/>
          <w:sz w:val="24"/>
          <w:szCs w:val="24"/>
          <w:highlight w:val="none"/>
          <w:lang w:val="en-US" w:eastAsia="zh-CN"/>
        </w:rPr>
        <w:t>单独密封</w:t>
      </w:r>
      <w:r>
        <w:rPr>
          <w:rFonts w:hint="eastAsia" w:ascii="宋体" w:hAnsi="宋体" w:eastAsia="宋体" w:cs="宋体"/>
          <w:color w:val="auto"/>
          <w:kern w:val="0"/>
          <w:sz w:val="24"/>
          <w:szCs w:val="24"/>
          <w:highlight w:val="none"/>
        </w:rPr>
        <w:t>。</w:t>
      </w:r>
    </w:p>
    <w:p w14:paraId="2BDC2B08">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p>
    <w:p w14:paraId="30923CF7">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14:paraId="285A1527">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14:paraId="094CC581">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14:paraId="260C3AA9">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3EDCA4A4">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outlineLvl w:val="9"/>
        <w:rPr>
          <w:rFonts w:hint="eastAsia" w:ascii="宋体" w:hAnsi="宋体" w:eastAsia="宋体" w:cs="宋体"/>
          <w:color w:val="auto"/>
          <w:kern w:val="0"/>
          <w:sz w:val="24"/>
          <w:szCs w:val="24"/>
          <w:highlight w:val="none"/>
        </w:rPr>
      </w:pPr>
    </w:p>
    <w:p w14:paraId="7DEAA9FB">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outlineLvl w:val="9"/>
        <w:rPr>
          <w:rFonts w:hint="eastAsia" w:ascii="宋体" w:hAnsi="宋体" w:eastAsia="宋体" w:cs="宋体"/>
          <w:b/>
          <w:bCs w:val="0"/>
          <w:color w:val="auto"/>
          <w:sz w:val="24"/>
          <w:szCs w:val="24"/>
          <w:highlight w:val="none"/>
          <w:lang w:val="zh-CN"/>
        </w:rPr>
      </w:pPr>
    </w:p>
    <w:p w14:paraId="4F26218B">
      <w:pPr>
        <w:pStyle w:val="2"/>
        <w:keepNext w:val="0"/>
        <w:keepLines w:val="0"/>
        <w:pageBreakBefore w:val="0"/>
        <w:kinsoku/>
        <w:wordWrap/>
        <w:overflowPunct/>
        <w:topLinePunct w:val="0"/>
        <w:autoSpaceDE/>
        <w:autoSpaceDN/>
        <w:bidi w:val="0"/>
        <w:spacing w:beforeAutospacing="0" w:afterAutospacing="0" w:line="360" w:lineRule="auto"/>
        <w:outlineLvl w:val="9"/>
        <w:rPr>
          <w:rFonts w:hint="eastAsia" w:ascii="宋体" w:hAnsi="宋体" w:eastAsia="宋体" w:cs="宋体"/>
          <w:b/>
          <w:bCs w:val="0"/>
          <w:color w:val="auto"/>
          <w:sz w:val="24"/>
          <w:szCs w:val="24"/>
          <w:highlight w:val="none"/>
          <w:lang w:val="zh-CN"/>
        </w:rPr>
      </w:pPr>
    </w:p>
    <w:p w14:paraId="79600574">
      <w:pPr>
        <w:keepNext w:val="0"/>
        <w:keepLines w:val="0"/>
        <w:pageBreakBefore w:val="0"/>
        <w:kinsoku/>
        <w:wordWrap/>
        <w:overflowPunct/>
        <w:topLinePunct w:val="0"/>
        <w:autoSpaceDE/>
        <w:autoSpaceDN/>
        <w:bidi w:val="0"/>
        <w:spacing w:beforeAutospacing="0" w:afterAutospacing="0" w:line="360" w:lineRule="auto"/>
        <w:outlineLvl w:val="9"/>
        <w:rPr>
          <w:rFonts w:hint="eastAsia" w:ascii="宋体" w:hAnsi="宋体" w:eastAsia="宋体" w:cs="宋体"/>
          <w:b/>
          <w:bCs w:val="0"/>
          <w:color w:val="auto"/>
          <w:sz w:val="24"/>
          <w:szCs w:val="24"/>
          <w:highlight w:val="none"/>
          <w:lang w:val="zh-CN"/>
        </w:rPr>
      </w:pPr>
    </w:p>
    <w:p w14:paraId="6A4B5DB8">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57FD6CEC">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622F09D9">
      <w:pPr>
        <w:pStyle w:val="11"/>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1C8FACC3">
      <w:pPr>
        <w:pStyle w:val="11"/>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6703F358">
      <w:pPr>
        <w:pStyle w:val="11"/>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454EB094">
      <w:pPr>
        <w:pStyle w:val="11"/>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36079A68">
      <w:pPr>
        <w:pStyle w:val="11"/>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color w:val="auto"/>
          <w:sz w:val="24"/>
          <w:szCs w:val="24"/>
          <w:lang w:val="en-US" w:eastAsia="zh-CN"/>
        </w:rPr>
      </w:pPr>
    </w:p>
    <w:p w14:paraId="0E8CC696">
      <w:pPr>
        <w:pStyle w:val="11"/>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2-2</w:t>
      </w:r>
    </w:p>
    <w:p w14:paraId="12140B34">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5BACB4CB">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法定代表人身份授权书</w:t>
      </w:r>
    </w:p>
    <w:p w14:paraId="79B5FFFC">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p>
    <w:p w14:paraId="2B84FD2A">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en-US" w:eastAsia="zh-CN"/>
        </w:rPr>
        <w:t xml:space="preserve">四川省妇幼保健院 </w:t>
      </w:r>
      <w:r>
        <w:rPr>
          <w:rFonts w:hint="eastAsia" w:ascii="宋体" w:hAnsi="宋体" w:eastAsia="宋体" w:cs="宋体"/>
          <w:color w:val="auto"/>
          <w:sz w:val="24"/>
          <w:szCs w:val="24"/>
          <w:highlight w:val="none"/>
          <w:lang w:val="zh-CN"/>
        </w:rPr>
        <w:t>：</w:t>
      </w:r>
    </w:p>
    <w:p w14:paraId="357DA842">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本授权声明：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名称）</w:t>
      </w:r>
      <w:r>
        <w:rPr>
          <w:rFonts w:hint="eastAsia" w:ascii="宋体" w:hAnsi="宋体" w:eastAsia="宋体" w:cs="宋体"/>
          <w:color w:val="auto"/>
          <w:sz w:val="24"/>
          <w:szCs w:val="24"/>
          <w:highlight w:val="none"/>
          <w:u w:val="single"/>
          <w:lang w:val="zh-CN"/>
        </w:rPr>
        <w:t xml:space="preserve">           </w:t>
      </w:r>
    </w:p>
    <w:p w14:paraId="073637B8">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（法定代表人姓名、职务）授权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（被授权人姓名、职务）为我方</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项目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rPr>
        <w:t>活动的合法代表，以我方名义全权处理该项目有关</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zh-CN"/>
        </w:rPr>
        <w:t>、签订合同以及执行合同等一切事宜。</w:t>
      </w:r>
    </w:p>
    <w:p w14:paraId="1AB1C9D8">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057D4A98">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p>
    <w:p w14:paraId="6924D734">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p>
    <w:p w14:paraId="13C63BEB">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7D0514EB">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29E4E804">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（加盖公章）</w:t>
      </w:r>
    </w:p>
    <w:p w14:paraId="7F3B628A">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22BD3FD">
      <w:pPr>
        <w:keepNext w:val="0"/>
        <w:keepLines w:val="0"/>
        <w:pageBreakBefore w:val="0"/>
        <w:numPr>
          <w:ilvl w:val="0"/>
          <w:numId w:val="6"/>
        </w:numPr>
        <w:tabs>
          <w:tab w:val="left" w:pos="6300"/>
        </w:tabs>
        <w:kinsoku/>
        <w:wordWrap/>
        <w:overflowPunct/>
        <w:topLinePunct w:val="0"/>
        <w:autoSpaceDE/>
        <w:autoSpaceDN/>
        <w:bidi w:val="0"/>
        <w:snapToGrid/>
        <w:spacing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说明：上述证明文件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附法定代表人、被授权代表身份证复印件（加盖公章）时才能生效。</w:t>
      </w:r>
    </w:p>
    <w:p w14:paraId="40C09874">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14:paraId="7E42ADD4">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14:paraId="2CC934E3">
      <w:pPr>
        <w:pStyle w:val="7"/>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6831BEB">
      <w:pPr>
        <w:pStyle w:val="7"/>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36237EA">
      <w:pPr>
        <w:pStyle w:val="7"/>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31C6330">
      <w:pPr>
        <w:pStyle w:val="2"/>
        <w:keepNext w:val="0"/>
        <w:keepLines w:val="0"/>
        <w:pageBreakBefore w:val="0"/>
        <w:kinsoku/>
        <w:wordWrap/>
        <w:overflowPunct/>
        <w:topLinePunct w:val="0"/>
        <w:autoSpaceDE/>
        <w:autoSpaceDN/>
        <w:bidi w:val="0"/>
        <w:spacing w:beforeAutospacing="0" w:afterAutospacing="0" w:line="360" w:lineRule="auto"/>
        <w:jc w:val="both"/>
        <w:rPr>
          <w:rFonts w:hint="eastAsia" w:ascii="宋体" w:hAnsi="宋体" w:eastAsia="宋体" w:cs="宋体"/>
          <w:b/>
          <w:bCs/>
          <w:color w:val="auto"/>
          <w:sz w:val="24"/>
          <w:szCs w:val="24"/>
          <w:highlight w:val="none"/>
          <w:lang w:val="en-US" w:eastAsia="zh-CN"/>
        </w:rPr>
      </w:pPr>
    </w:p>
    <w:p w14:paraId="5A746D9B">
      <w:pPr>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EC6EF0F">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66E0A5C1">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19B3C6C9">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033697B3">
      <w:pPr>
        <w:keepNext w:val="0"/>
        <w:keepLines w:val="0"/>
        <w:pageBreakBefore w:val="0"/>
        <w:kinsoku/>
        <w:wordWrap/>
        <w:overflowPunct/>
        <w:topLinePunct w:val="0"/>
        <w:autoSpaceDE/>
        <w:autoSpaceDN/>
        <w:bidi w:val="0"/>
        <w:spacing w:beforeAutospacing="0" w:afterAutospacing="0" w:line="360" w:lineRule="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2-3</w:t>
      </w:r>
    </w:p>
    <w:p w14:paraId="4CB1D8BE">
      <w:pPr>
        <w:pStyle w:val="22"/>
        <w:keepNext w:val="0"/>
        <w:keepLines w:val="0"/>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14:paraId="042814E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14:paraId="7743EA3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评审</w:t>
      </w:r>
      <w:r>
        <w:rPr>
          <w:rFonts w:hint="eastAsia" w:ascii="宋体" w:hAnsi="宋体" w:eastAsia="宋体" w:cs="宋体"/>
          <w:sz w:val="24"/>
          <w:szCs w:val="24"/>
        </w:rPr>
        <w:t>活动，现郑重承诺：</w:t>
      </w:r>
    </w:p>
    <w:p w14:paraId="3FA2EB8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14:paraId="65A1F42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14:paraId="09FFF5D3">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14:paraId="7087C13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14:paraId="7C164FF6">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14:paraId="7938B69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w:t>
      </w:r>
    </w:p>
    <w:p w14:paraId="3BC44A6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14:paraId="390EE1F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14:paraId="07A0C9C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14:paraId="2BCDB39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四、参加本次磋商采购活动，不存在和其他供应商在同一合同项下的采购项目中，同时委托同一个自然人、同一家庭的人员、同一单位的人员作为代理人的行为。</w:t>
      </w:r>
    </w:p>
    <w:p w14:paraId="58BB398F">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14:paraId="695A0BC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14:paraId="24289912">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14:paraId="549B83FE">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14:paraId="1ACA105C">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14:paraId="67B5C1C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14:paraId="658F7F74">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14:paraId="3E34161A">
      <w:pPr>
        <w:pStyle w:val="7"/>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p>
    <w:p w14:paraId="73D8B303">
      <w:pPr>
        <w:pStyle w:val="2"/>
        <w:rPr>
          <w:rFonts w:hint="default"/>
          <w:lang w:val="en-US" w:eastAsia="zh-CN"/>
        </w:rPr>
      </w:pPr>
    </w:p>
    <w:p w14:paraId="3C532056">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D1980B2">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BCFA9B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880B3F2">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C5EC5EA">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4D8BE5B">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44A149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14D647C">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30AACC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5E145F1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A7C5B1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73D8C7C">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6EB983DA">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3DB6AE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1CF99CB">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ACAD7D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63C971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5D88BC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5D1E901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4BAE684">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E5A34B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9B6180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6BA2840">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EFEC370">
      <w:pPr>
        <w:keepNext w:val="0"/>
        <w:keepLines w:val="0"/>
        <w:pageBreakBefore w:val="0"/>
        <w:kinsoku/>
        <w:wordWrap/>
        <w:overflowPunct/>
        <w:topLinePunct w:val="0"/>
        <w:autoSpaceDE/>
        <w:autoSpaceDN/>
        <w:bidi w:val="0"/>
        <w:spacing w:beforeAutospacing="0" w:afterAutospacing="0"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4</w:t>
      </w:r>
    </w:p>
    <w:p w14:paraId="2C99F8BC">
      <w:pPr>
        <w:pStyle w:val="12"/>
        <w:keepNext w:val="0"/>
        <w:keepLines w:val="0"/>
        <w:pageBreakBefore w:val="0"/>
        <w:widowControl/>
        <w:suppressLineNumbers w:val="0"/>
        <w:kinsoku/>
        <w:wordWrap/>
        <w:overflowPunct/>
        <w:topLinePunct w:val="0"/>
        <w:autoSpaceDE/>
        <w:autoSpaceDN/>
        <w:bidi w:val="0"/>
        <w:adjustRightInd/>
        <w:spacing w:line="360"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商务、</w:t>
      </w:r>
      <w:r>
        <w:rPr>
          <w:rFonts w:hint="eastAsia" w:ascii="宋体" w:hAnsi="宋体" w:eastAsia="宋体" w:cs="宋体"/>
          <w:b/>
          <w:color w:val="auto"/>
          <w:sz w:val="24"/>
          <w:szCs w:val="24"/>
        </w:rPr>
        <w:t>技术、服务响应/偏离表</w:t>
      </w:r>
    </w:p>
    <w:p w14:paraId="79E4DBE9">
      <w:pPr>
        <w:pStyle w:val="12"/>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供应商名称：</w:t>
      </w:r>
      <w:r>
        <w:rPr>
          <w:rFonts w:hint="eastAsia" w:ascii="宋体" w:hAnsi="宋体" w:eastAsia="宋体" w:cs="宋体"/>
          <w:b/>
          <w:color w:val="auto"/>
          <w:sz w:val="24"/>
          <w:szCs w:val="24"/>
          <w:u w:val="single"/>
        </w:rPr>
        <w:t>             </w:t>
      </w:r>
    </w:p>
    <w:p w14:paraId="3C675641">
      <w:pPr>
        <w:pStyle w:val="12"/>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采购编号：</w:t>
      </w:r>
      <w:r>
        <w:rPr>
          <w:rFonts w:hint="eastAsia" w:ascii="宋体" w:hAnsi="宋体" w:eastAsia="宋体" w:cs="宋体"/>
          <w:b/>
          <w:color w:val="auto"/>
          <w:sz w:val="24"/>
          <w:szCs w:val="24"/>
          <w:u w:val="single"/>
        </w:rPr>
        <w:t>             </w:t>
      </w:r>
      <w:r>
        <w:rPr>
          <w:rFonts w:hint="eastAsia" w:ascii="宋体" w:hAnsi="宋体" w:eastAsia="宋体" w:cs="宋体"/>
          <w:b/>
          <w:color w:val="auto"/>
          <w:sz w:val="24"/>
          <w:szCs w:val="24"/>
        </w:rPr>
        <w:t> </w:t>
      </w:r>
    </w:p>
    <w:tbl>
      <w:tblPr>
        <w:tblStyle w:val="14"/>
        <w:tblW w:w="85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5"/>
        <w:gridCol w:w="1989"/>
        <w:gridCol w:w="1665"/>
        <w:gridCol w:w="2736"/>
        <w:gridCol w:w="1440"/>
      </w:tblGrid>
      <w:tr w14:paraId="289960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645" w:hRule="atLeast"/>
        </w:trPr>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9AA65B">
            <w:pPr>
              <w:pStyle w:val="12"/>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A378BC">
            <w:pPr>
              <w:pStyle w:val="12"/>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文件条目号</w:t>
            </w:r>
          </w:p>
        </w:tc>
        <w:tc>
          <w:tcPr>
            <w:tcW w:w="16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F9AC5F">
            <w:pPr>
              <w:pStyle w:val="12"/>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文件要求</w:t>
            </w:r>
          </w:p>
        </w:tc>
        <w:tc>
          <w:tcPr>
            <w:tcW w:w="27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A22DE8">
            <w:pPr>
              <w:pStyle w:val="12"/>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响应文件响应说明</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D8240E">
            <w:pPr>
              <w:pStyle w:val="12"/>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响应/偏离</w:t>
            </w:r>
          </w:p>
        </w:tc>
      </w:tr>
      <w:tr w14:paraId="0F3A25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AD24AB3">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FB858A1">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F43915C">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D456D7C">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02A3F34">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2A83B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EBD8D17">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D1A9C7">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D188C58">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5640EDD">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73C65C7">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DC1E4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3997383">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A28868E">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50FA970">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8896B88">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BE2A2">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785C9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5394EBA">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5FBF5CD">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3B883E9">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3261643">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E7144">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1266D6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BE669F4">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0BA28E">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C887C6A">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EEDC7D9">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1171EC8">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CD4E9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AF7FA76">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F91D156">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ED7468B">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CC54E2F">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9336E16">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bl>
    <w:p w14:paraId="12CF31DD">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11A3205D">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5695BF83">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         （盖章）</w:t>
      </w:r>
    </w:p>
    <w:p w14:paraId="2B8BAC31">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法定代表人/单位负责人或授权代表（签字或加盖个人名章）：</w:t>
      </w:r>
    </w:p>
    <w:p w14:paraId="0A7B5407">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027861B2">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62842103">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注：供应商必须据实填写，不得虚假应答，否则将取消其报价或成交资格。如与</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文件所列★相关条款有偏离条款，请将偏离条款逐条应答。未明确偏离的条款，视为默认接受，供应商不得籍未作应答而拒不接受。</w:t>
      </w:r>
      <w:r>
        <w:rPr>
          <w:rFonts w:hint="eastAsia" w:ascii="宋体" w:hAnsi="宋体" w:eastAsia="宋体" w:cs="宋体"/>
          <w:color w:val="auto"/>
          <w:sz w:val="24"/>
          <w:szCs w:val="24"/>
          <w:lang w:val="en-US" w:eastAsia="zh-CN"/>
        </w:rPr>
        <w:t>如无偏离，请填写无偏离或正偏离。</w:t>
      </w:r>
      <w:r>
        <w:rPr>
          <w:rFonts w:hint="eastAsia" w:ascii="宋体" w:hAnsi="宋体" w:eastAsia="宋体" w:cs="宋体"/>
          <w:color w:val="auto"/>
          <w:sz w:val="24"/>
          <w:szCs w:val="24"/>
        </w:rPr>
        <w:t>若</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文件中有要求提供证明材料的★相关条款应当在此表中列出并应答。</w:t>
      </w:r>
    </w:p>
    <w:p w14:paraId="4D7D022F">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FF32246">
      <w:pPr>
        <w:keepNext w:val="0"/>
        <w:keepLines w:val="0"/>
        <w:pageBreakBefore w:val="0"/>
        <w:kinsoku/>
        <w:wordWrap/>
        <w:overflowPunct/>
        <w:topLinePunct w:val="0"/>
        <w:autoSpaceDE/>
        <w:autoSpaceDN/>
        <w:bidi w:val="0"/>
        <w:spacing w:beforeAutospacing="0" w:afterAutospacing="0" w:line="360" w:lineRule="auto"/>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3 《</w:t>
      </w:r>
      <w:r>
        <w:rPr>
          <w:rFonts w:hint="eastAsia" w:ascii="宋体" w:hAnsi="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装订顺序</w:t>
      </w:r>
    </w:p>
    <w:p w14:paraId="5DBF711E">
      <w:pPr>
        <w:pStyle w:val="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5A6AA764">
      <w:pPr>
        <w:keepNext w:val="0"/>
        <w:keepLines w:val="0"/>
        <w:pageBreakBefore w:val="0"/>
        <w:numPr>
          <w:ilvl w:val="0"/>
          <w:numId w:val="7"/>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14:paraId="56B06F3C">
      <w:pPr>
        <w:keepNext w:val="0"/>
        <w:keepLines w:val="0"/>
        <w:pageBreakBefore w:val="0"/>
        <w:numPr>
          <w:ilvl w:val="0"/>
          <w:numId w:val="7"/>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14:paraId="1B1329EC">
      <w:pPr>
        <w:keepNext w:val="0"/>
        <w:keepLines w:val="0"/>
        <w:pageBreakBefore w:val="0"/>
        <w:numPr>
          <w:ilvl w:val="0"/>
          <w:numId w:val="7"/>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14:paraId="47446317">
      <w:pPr>
        <w:keepNext w:val="0"/>
        <w:keepLines w:val="0"/>
        <w:pageBreakBefore w:val="0"/>
        <w:numPr>
          <w:ilvl w:val="0"/>
          <w:numId w:val="7"/>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企业营业执照（复印件）</w:t>
      </w:r>
    </w:p>
    <w:p w14:paraId="7A4585C3">
      <w:pPr>
        <w:keepNext w:val="0"/>
        <w:keepLines w:val="0"/>
        <w:pageBreakBefore w:val="0"/>
        <w:numPr>
          <w:ilvl w:val="0"/>
          <w:numId w:val="7"/>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14:paraId="1684703A">
      <w:pPr>
        <w:keepNext w:val="0"/>
        <w:keepLines w:val="0"/>
        <w:pageBreakBefore w:val="0"/>
        <w:numPr>
          <w:ilvl w:val="0"/>
          <w:numId w:val="7"/>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.禁止围标、串标情况承诺函</w:t>
      </w:r>
    </w:p>
    <w:p w14:paraId="0785B03C">
      <w:pPr>
        <w:keepNext w:val="0"/>
        <w:keepLines w:val="0"/>
        <w:pageBreakBefore w:val="0"/>
        <w:numPr>
          <w:ilvl w:val="0"/>
          <w:numId w:val="7"/>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14:paraId="562CF58A">
      <w:pPr>
        <w:keepNext w:val="0"/>
        <w:keepLines w:val="0"/>
        <w:pageBreakBefore w:val="0"/>
        <w:numPr>
          <w:ilvl w:val="0"/>
          <w:numId w:val="7"/>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8.行业相关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14:paraId="4481F8F3">
      <w:pPr>
        <w:keepNext w:val="0"/>
        <w:keepLines w:val="0"/>
        <w:pageBreakBefore w:val="0"/>
        <w:numPr>
          <w:ilvl w:val="0"/>
          <w:numId w:val="7"/>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bCs/>
          <w:color w:val="auto"/>
          <w:spacing w:val="8"/>
          <w:sz w:val="24"/>
          <w:szCs w:val="24"/>
          <w:highlight w:val="none"/>
        </w:rPr>
        <w:t>售后</w:t>
      </w:r>
      <w:r>
        <w:rPr>
          <w:rFonts w:hint="eastAsia" w:ascii="宋体" w:hAnsi="宋体" w:eastAsia="宋体" w:cs="宋体"/>
          <w:bCs/>
          <w:color w:val="auto"/>
          <w:sz w:val="24"/>
          <w:szCs w:val="24"/>
          <w:highlight w:val="none"/>
        </w:rPr>
        <w:t>服务承诺</w:t>
      </w:r>
    </w:p>
    <w:p w14:paraId="6F8EB23B">
      <w:pPr>
        <w:keepNext w:val="0"/>
        <w:keepLines w:val="0"/>
        <w:pageBreakBefore w:val="0"/>
        <w:numPr>
          <w:ilvl w:val="0"/>
          <w:numId w:val="7"/>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w:t>
      </w: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CN"/>
        </w:rPr>
        <w:t>认为需要提供的其它文件</w:t>
      </w:r>
    </w:p>
    <w:p w14:paraId="3710EF44">
      <w:pPr>
        <w:keepNext w:val="0"/>
        <w:keepLines w:val="0"/>
        <w:pageBreakBefore w:val="0"/>
        <w:numPr>
          <w:ilvl w:val="0"/>
          <w:numId w:val="7"/>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1.</w:t>
      </w:r>
      <w:r>
        <w:rPr>
          <w:rFonts w:hint="eastAsia" w:ascii="宋体" w:hAnsi="宋体" w:eastAsia="宋体" w:cs="宋体"/>
          <w:bCs/>
          <w:color w:val="auto"/>
          <w:spacing w:val="8"/>
          <w:sz w:val="24"/>
          <w:szCs w:val="24"/>
          <w:highlight w:val="none"/>
        </w:rPr>
        <w:t>封底</w:t>
      </w:r>
    </w:p>
    <w:p w14:paraId="27DC5455">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注：请务必按以上顺序装订资料，如有非中文资料，请同时提供中文翻译件。</w:t>
      </w:r>
    </w:p>
    <w:p w14:paraId="563323F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p>
    <w:p w14:paraId="45AACA9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5FCBB3D2">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4E837F1E">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48A1D78D">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735FF47E">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04AE44F1">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3A0F4510">
      <w:pPr>
        <w:pStyle w:val="11"/>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2CA80AA">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46E254FD">
      <w:pPr>
        <w:pStyle w:val="11"/>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70DBC572">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85B803A">
      <w:pPr>
        <w:pStyle w:val="11"/>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01FF752B">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AD4B357">
      <w:pPr>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br w:type="page"/>
      </w:r>
    </w:p>
    <w:p w14:paraId="5FFA147B">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outlineLvl w:val="1"/>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附件4</w:t>
      </w:r>
    </w:p>
    <w:p w14:paraId="7D5966B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14:paraId="079054A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27613D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1A551E1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14:paraId="0AAE7FB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w:t>
      </w:r>
      <w:r>
        <w:rPr>
          <w:rFonts w:hint="eastAsia" w:ascii="宋体" w:hAnsi="宋体" w:cs="宋体"/>
          <w:b w:val="0"/>
          <w:i w:val="0"/>
          <w:caps w:val="0"/>
          <w:color w:val="auto"/>
          <w:spacing w:val="0"/>
          <w:w w:val="100"/>
          <w:sz w:val="24"/>
          <w:szCs w:val="24"/>
          <w:highlight w:val="none"/>
          <w:lang w:eastAsia="zh-CN"/>
        </w:rPr>
        <w:t>供应商</w:t>
      </w:r>
      <w:r>
        <w:rPr>
          <w:rFonts w:hint="eastAsia" w:ascii="宋体" w:hAnsi="宋体" w:eastAsia="宋体" w:cs="宋体"/>
          <w:b w:val="0"/>
          <w:i w:val="0"/>
          <w:caps w:val="0"/>
          <w:color w:val="auto"/>
          <w:spacing w:val="0"/>
          <w:w w:val="100"/>
          <w:sz w:val="24"/>
          <w:szCs w:val="24"/>
          <w:highlight w:val="none"/>
        </w:rPr>
        <w:t>相互串通投标报价，损害贵院的合法权益；</w:t>
      </w:r>
    </w:p>
    <w:p w14:paraId="7B873FB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14:paraId="172A69E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14:paraId="3CC8E94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14:paraId="2E3670E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14:paraId="44EF3C2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14:paraId="38FBF71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14:paraId="6104162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14:paraId="7E474E9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14:paraId="5E2D16E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14:paraId="4018AEF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1FE6E89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14:paraId="3C21052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14:paraId="6B911E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14:paraId="6E881C2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14:paraId="4158DF9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 采购物资名称：                                   </w:t>
      </w:r>
    </w:p>
    <w:p w14:paraId="342FC85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14:paraId="1EFFC39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14:paraId="06D41F5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14:paraId="7A8245F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14:paraId="2732B979">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14:paraId="42CF6ED1">
      <w:pPr>
        <w:pStyle w:val="13"/>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17E0CDC9">
      <w:pPr>
        <w:pStyle w:val="13"/>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28B1175D">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14575F2">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76A76F1">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4AC4F6C">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4A44C93">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36C027B">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BBF4F03">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C88FE14">
      <w:pPr>
        <w:pStyle w:val="2"/>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1ED9E8F6">
      <w:pPr>
        <w:pStyle w:val="2"/>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5F4EE27E">
      <w:pPr>
        <w:pStyle w:val="2"/>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58BA1997">
      <w:pPr>
        <w:pStyle w:val="2"/>
        <w:keepNext w:val="0"/>
        <w:keepLines w:val="0"/>
        <w:pageBreakBefore w:val="0"/>
        <w:kinsoku/>
        <w:wordWrap/>
        <w:overflowPunct/>
        <w:topLinePunct w:val="0"/>
        <w:autoSpaceDE/>
        <w:autoSpaceDN/>
        <w:bidi w:val="0"/>
        <w:spacing w:beforeAutospacing="0" w:line="360" w:lineRule="auto"/>
        <w:outlineLvl w:val="1"/>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附件5</w:t>
      </w:r>
    </w:p>
    <w:p w14:paraId="7F305D90">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14:paraId="1D3DDB54">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14:paraId="482319A9">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14:paraId="5E7984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14:paraId="43DCFD63">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14:paraId="716EE1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14:paraId="1CC9E0FC">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14:paraId="730183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14:paraId="616E34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14:paraId="03D49A5B">
      <w:pPr>
        <w:pStyle w:val="2"/>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14:paraId="47C84903">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14:paraId="007467CE">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14:paraId="4BF5FCE0">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14:paraId="7AAB4689">
      <w:pPr>
        <w:pStyle w:val="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1FF6B15C">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供应商法人代表或委托代理人（承诺人） ：</w:t>
      </w:r>
    </w:p>
    <w:p w14:paraId="0D4A938F">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名称</w:t>
      </w:r>
      <w:r>
        <w:rPr>
          <w:rFonts w:hint="eastAsia" w:ascii="宋体" w:hAnsi="宋体" w:eastAsia="宋体" w:cs="宋体"/>
          <w:color w:val="auto"/>
          <w:sz w:val="24"/>
          <w:szCs w:val="24"/>
          <w:highlight w:val="none"/>
          <w:lang w:val="en-US" w:eastAsia="zh-CN"/>
        </w:rPr>
        <w:t xml:space="preserve">：（公章）  </w:t>
      </w:r>
    </w:p>
    <w:p w14:paraId="7519A418">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14:paraId="470A03BE">
      <w:pPr>
        <w:pStyle w:val="8"/>
        <w:numPr>
          <w:ilvl w:val="0"/>
          <w:numId w:val="0"/>
        </w:numPr>
        <w:ind w:left="1680" w:leftChars="0"/>
        <w:rPr>
          <w:rFonts w:hint="default"/>
          <w:lang w:val="en-US" w:eastAsia="zh-CN"/>
        </w:rPr>
      </w:pPr>
    </w:p>
    <w:p w14:paraId="4CF4AD6A">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9041522">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110F2A72">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5A053891">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AF48A1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5641694F">
      <w:pPr>
        <w:pStyle w:val="2"/>
        <w:keepNext w:val="0"/>
        <w:keepLines w:val="0"/>
        <w:pageBreakBefore w:val="0"/>
        <w:kinsoku/>
        <w:wordWrap/>
        <w:overflowPunct/>
        <w:topLinePunct w:val="0"/>
        <w:autoSpaceDE/>
        <w:autoSpaceDN/>
        <w:bidi w:val="0"/>
        <w:spacing w:beforeAutospacing="0" w:line="360" w:lineRule="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 xml:space="preserve"> </w:t>
      </w:r>
    </w:p>
    <w:p w14:paraId="41044ECA">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14:paraId="5D46DA7B">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四川省妇幼保健院：</w:t>
      </w:r>
    </w:p>
    <w:p w14:paraId="7CAA2A02">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14:paraId="074089D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14:paraId="7363E3E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14:paraId="3CF2C60D">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14:paraId="0DAB908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14:paraId="39362E5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14:paraId="07C3A5B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14:paraId="04F2605F">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14:paraId="483587C6">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14:paraId="73FCD19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14:paraId="1210440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14:paraId="4EEF8BD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6736BB53">
      <w:pPr>
        <w:keepNext w:val="0"/>
        <w:keepLines w:val="0"/>
        <w:pageBreakBefore w:val="0"/>
        <w:widowControl w:val="0"/>
        <w:kinsoku/>
        <w:wordWrap/>
        <w:overflowPunct/>
        <w:topLinePunct w:val="0"/>
        <w:autoSpaceDE/>
        <w:autoSpaceDN/>
        <w:bidi w:val="0"/>
        <w:adjustRightInd/>
        <w:snapToGrid/>
        <w:spacing w:beforeAutospacing="0" w:line="240" w:lineRule="auto"/>
        <w:textAlignment w:val="auto"/>
        <w:rPr>
          <w:rFonts w:hint="eastAsia" w:ascii="宋体" w:hAnsi="宋体" w:eastAsia="宋体" w:cs="宋体"/>
          <w:color w:val="auto"/>
          <w:sz w:val="24"/>
          <w:szCs w:val="24"/>
          <w:highlight w:val="none"/>
        </w:rPr>
      </w:pPr>
    </w:p>
    <w:p w14:paraId="178A4E18">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14:paraId="16422B7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14:paraId="4B03230E">
      <w:pPr>
        <w:keepNext w:val="0"/>
        <w:keepLines w:val="0"/>
        <w:pageBreakBefore w:val="0"/>
        <w:kinsoku/>
        <w:wordWrap/>
        <w:overflowPunct/>
        <w:topLinePunct w:val="0"/>
        <w:autoSpaceDE/>
        <w:autoSpaceDN/>
        <w:bidi w:val="0"/>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BE70B"/>
    <w:multiLevelType w:val="singleLevel"/>
    <w:tmpl w:val="9B4BE70B"/>
    <w:lvl w:ilvl="0" w:tentative="0">
      <w:start w:val="1"/>
      <w:numFmt w:val="decimal"/>
      <w:lvlText w:val="%1."/>
      <w:lvlJc w:val="left"/>
      <w:pPr>
        <w:ind w:left="425" w:hanging="425"/>
      </w:pPr>
      <w:rPr>
        <w:rFonts w:hint="default"/>
      </w:rPr>
    </w:lvl>
  </w:abstractNum>
  <w:abstractNum w:abstractNumId="1">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2">
    <w:nsid w:val="D6C65E94"/>
    <w:multiLevelType w:val="singleLevel"/>
    <w:tmpl w:val="D6C65E94"/>
    <w:lvl w:ilvl="0" w:tentative="0">
      <w:start w:val="1"/>
      <w:numFmt w:val="decimal"/>
      <w:suff w:val="nothing"/>
      <w:lvlText w:val="%1．"/>
      <w:lvlJc w:val="left"/>
      <w:pPr>
        <w:ind w:left="-62" w:firstLine="400"/>
      </w:pPr>
      <w:rPr>
        <w:rFonts w:hint="default" w:ascii="黑体" w:hAnsi="黑体" w:eastAsia="黑体" w:cs="黑体"/>
      </w:rPr>
    </w:lvl>
  </w:abstractNum>
  <w:abstractNum w:abstractNumId="3">
    <w:nsid w:val="10EECAEC"/>
    <w:multiLevelType w:val="singleLevel"/>
    <w:tmpl w:val="10EECAEC"/>
    <w:lvl w:ilvl="0" w:tentative="0">
      <w:start w:val="1"/>
      <w:numFmt w:val="bullet"/>
      <w:pStyle w:val="8"/>
      <w:lvlText w:val=""/>
      <w:lvlJc w:val="left"/>
      <w:pPr>
        <w:tabs>
          <w:tab w:val="left" w:pos="2040"/>
        </w:tabs>
        <w:ind w:left="2040" w:hanging="360"/>
      </w:pPr>
      <w:rPr>
        <w:rFonts w:hint="default" w:ascii="Wingdings" w:hAnsi="Wingdings"/>
      </w:rPr>
    </w:lvl>
  </w:abstractNum>
  <w:abstractNum w:abstractNumId="4">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55C920E2"/>
    <w:multiLevelType w:val="singleLevel"/>
    <w:tmpl w:val="55C920E2"/>
    <w:lvl w:ilvl="0" w:tentative="0">
      <w:start w:val="1"/>
      <w:numFmt w:val="decimal"/>
      <w:suff w:val="nothing"/>
      <w:lvlText w:val="%1．"/>
      <w:lvlJc w:val="left"/>
      <w:pPr>
        <w:ind w:left="0" w:firstLine="400"/>
      </w:pPr>
      <w:rPr>
        <w:rFonts w:hint="default"/>
      </w:rPr>
    </w:lvl>
  </w:abstractNum>
  <w:num w:numId="1">
    <w:abstractNumId w:val="3"/>
  </w:num>
  <w:num w:numId="2">
    <w:abstractNumId w:val="5"/>
  </w:num>
  <w:num w:numId="3">
    <w:abstractNumId w:val="2"/>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D3D1A"/>
    <w:rsid w:val="01B62F5C"/>
    <w:rsid w:val="01FE6BD3"/>
    <w:rsid w:val="02554005"/>
    <w:rsid w:val="02FE6776"/>
    <w:rsid w:val="04865C14"/>
    <w:rsid w:val="04B7134B"/>
    <w:rsid w:val="0A325E03"/>
    <w:rsid w:val="0BF65853"/>
    <w:rsid w:val="0E2A3E4A"/>
    <w:rsid w:val="0FC95E75"/>
    <w:rsid w:val="110F482C"/>
    <w:rsid w:val="121A7943"/>
    <w:rsid w:val="13F910D3"/>
    <w:rsid w:val="14C02123"/>
    <w:rsid w:val="150B2214"/>
    <w:rsid w:val="15C75E4B"/>
    <w:rsid w:val="16B46578"/>
    <w:rsid w:val="19503EFC"/>
    <w:rsid w:val="1C831556"/>
    <w:rsid w:val="1D3A3784"/>
    <w:rsid w:val="1FEA0D76"/>
    <w:rsid w:val="20D451E9"/>
    <w:rsid w:val="22297D19"/>
    <w:rsid w:val="2239241F"/>
    <w:rsid w:val="224805CD"/>
    <w:rsid w:val="22E9628F"/>
    <w:rsid w:val="24470093"/>
    <w:rsid w:val="251B38EF"/>
    <w:rsid w:val="28EF0619"/>
    <w:rsid w:val="29506857"/>
    <w:rsid w:val="2B4E089B"/>
    <w:rsid w:val="2DD66DE3"/>
    <w:rsid w:val="2E462777"/>
    <w:rsid w:val="2EAA00A6"/>
    <w:rsid w:val="343B728A"/>
    <w:rsid w:val="34AD7EA2"/>
    <w:rsid w:val="35926D62"/>
    <w:rsid w:val="36482F72"/>
    <w:rsid w:val="371B2276"/>
    <w:rsid w:val="38964FE5"/>
    <w:rsid w:val="392E14FE"/>
    <w:rsid w:val="39D64F8F"/>
    <w:rsid w:val="3A476F2A"/>
    <w:rsid w:val="3ABC6BD5"/>
    <w:rsid w:val="3B135379"/>
    <w:rsid w:val="3C046D30"/>
    <w:rsid w:val="3DE6611C"/>
    <w:rsid w:val="3DF17D30"/>
    <w:rsid w:val="3E3671A0"/>
    <w:rsid w:val="3F056573"/>
    <w:rsid w:val="3F135889"/>
    <w:rsid w:val="3FEE64F1"/>
    <w:rsid w:val="408908EE"/>
    <w:rsid w:val="426A4E5F"/>
    <w:rsid w:val="428A38B6"/>
    <w:rsid w:val="435747A7"/>
    <w:rsid w:val="43EE6A01"/>
    <w:rsid w:val="441929DC"/>
    <w:rsid w:val="45940E0F"/>
    <w:rsid w:val="45EE3F48"/>
    <w:rsid w:val="46075BC9"/>
    <w:rsid w:val="47563CCA"/>
    <w:rsid w:val="477D3E56"/>
    <w:rsid w:val="47B03B5B"/>
    <w:rsid w:val="47C82CF5"/>
    <w:rsid w:val="4922747B"/>
    <w:rsid w:val="4D951D36"/>
    <w:rsid w:val="4F080938"/>
    <w:rsid w:val="4F9059A1"/>
    <w:rsid w:val="504A47C7"/>
    <w:rsid w:val="50E23A41"/>
    <w:rsid w:val="514946EA"/>
    <w:rsid w:val="52FA4C60"/>
    <w:rsid w:val="54645881"/>
    <w:rsid w:val="55EC5708"/>
    <w:rsid w:val="560D3D1A"/>
    <w:rsid w:val="57BB6C94"/>
    <w:rsid w:val="58C771F8"/>
    <w:rsid w:val="58D64F0E"/>
    <w:rsid w:val="5BD9413E"/>
    <w:rsid w:val="5C414DE8"/>
    <w:rsid w:val="5CE951D8"/>
    <w:rsid w:val="5ED9420B"/>
    <w:rsid w:val="60BA5126"/>
    <w:rsid w:val="633D37C8"/>
    <w:rsid w:val="642C665D"/>
    <w:rsid w:val="65655FC8"/>
    <w:rsid w:val="66D03901"/>
    <w:rsid w:val="68581642"/>
    <w:rsid w:val="68A47FBA"/>
    <w:rsid w:val="69EF3566"/>
    <w:rsid w:val="6A306848"/>
    <w:rsid w:val="6B996D13"/>
    <w:rsid w:val="6BA32EA6"/>
    <w:rsid w:val="6F4F5991"/>
    <w:rsid w:val="6F756ED1"/>
    <w:rsid w:val="70DF0F9F"/>
    <w:rsid w:val="719974E5"/>
    <w:rsid w:val="71C35F39"/>
    <w:rsid w:val="72162E3A"/>
    <w:rsid w:val="727608D5"/>
    <w:rsid w:val="72CA79DF"/>
    <w:rsid w:val="74FD4DFC"/>
    <w:rsid w:val="75F3408F"/>
    <w:rsid w:val="769E4528"/>
    <w:rsid w:val="7794703F"/>
    <w:rsid w:val="7A3A0597"/>
    <w:rsid w:val="7CFC7D9A"/>
    <w:rsid w:val="7D6C7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w:basedOn w:val="2"/>
    <w:qFormat/>
    <w:uiPriority w:val="0"/>
    <w:pPr>
      <w:snapToGrid w:val="0"/>
      <w:spacing w:before="40" w:after="40" w:line="288" w:lineRule="auto"/>
      <w:ind w:firstLine="482"/>
    </w:pPr>
    <w:rPr>
      <w:rFonts w:ascii="仿宋_GB2312" w:hAnsi="仿宋_GB2312" w:eastAsia="仿宋_GB2312"/>
      <w:szCs w:val="20"/>
    </w:rPr>
  </w:style>
  <w:style w:type="paragraph" w:styleId="5">
    <w:name w:val="annotation text"/>
    <w:basedOn w:val="1"/>
    <w:unhideWhenUsed/>
    <w:qFormat/>
    <w:uiPriority w:val="99"/>
    <w:pPr>
      <w:jc w:val="left"/>
    </w:pPr>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spacing w:line="460" w:lineRule="exact"/>
      <w:ind w:firstLine="567"/>
    </w:pPr>
    <w:rPr>
      <w:rFonts w:ascii="宋体" w:hAnsi="Courier New" w:eastAsia="仿宋_GB2312"/>
      <w:sz w:val="28"/>
      <w:szCs w:val="20"/>
    </w:rPr>
  </w:style>
  <w:style w:type="paragraph" w:styleId="8">
    <w:name w:val="List Bullet 5"/>
    <w:basedOn w:val="1"/>
    <w:qFormat/>
    <w:uiPriority w:val="0"/>
    <w:pPr>
      <w:numPr>
        <w:ilvl w:val="0"/>
        <w:numId w:val="1"/>
      </w:numPr>
    </w:pPr>
  </w:style>
  <w:style w:type="paragraph" w:styleId="9">
    <w:name w:val="Body Text Indent 2"/>
    <w:basedOn w:val="1"/>
    <w:qFormat/>
    <w:uiPriority w:val="0"/>
    <w:pPr>
      <w:widowControl w:val="0"/>
      <w:ind w:firstLine="540" w:firstLineChars="257"/>
      <w:jc w:val="both"/>
    </w:pPr>
    <w:rPr>
      <w:kern w:val="2"/>
      <w:sz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toc 1"/>
    <w:basedOn w:val="1"/>
    <w:next w:val="1"/>
    <w:qFormat/>
    <w:uiPriority w:val="0"/>
    <w:pPr>
      <w:spacing w:line="180" w:lineRule="auto"/>
      <w:jc w:val="center"/>
    </w:pPr>
    <w:rPr>
      <w:sz w:val="30"/>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2"/>
    <w:basedOn w:val="6"/>
    <w:qFormat/>
    <w:uiPriority w:val="0"/>
    <w:pPr>
      <w:ind w:firstLine="420"/>
    </w:p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标题 5（有编号）（绿盟科技）"/>
    <w:basedOn w:val="1"/>
    <w:next w:val="19"/>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1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0">
    <w:name w:val="Table Text"/>
    <w:basedOn w:val="1"/>
    <w:semiHidden/>
    <w:qFormat/>
    <w:uiPriority w:val="0"/>
    <w:rPr>
      <w:rFonts w:ascii="宋体" w:hAnsi="宋体" w:eastAsia="宋体" w:cs="宋体"/>
      <w:sz w:val="16"/>
      <w:szCs w:val="16"/>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GW-正文"/>
    <w:basedOn w:val="1"/>
    <w:qFormat/>
    <w:uiPriority w:val="0"/>
    <w:pPr>
      <w:spacing w:line="360" w:lineRule="auto"/>
      <w:ind w:firstLine="200" w:firstLineChars="200"/>
    </w:pPr>
    <w:rPr>
      <w:rFonts w:eastAsia="仿宋_GB2312"/>
      <w:sz w:val="24"/>
      <w:szCs w:val="24"/>
    </w:rPr>
  </w:style>
  <w:style w:type="character" w:customStyle="1" w:styleId="23">
    <w:name w:val="font61"/>
    <w:basedOn w:val="16"/>
    <w:qFormat/>
    <w:uiPriority w:val="0"/>
    <w:rPr>
      <w:rFonts w:hint="eastAsia" w:ascii="宋体" w:hAnsi="宋体" w:eastAsia="宋体" w:cs="宋体"/>
      <w:b/>
      <w:color w:val="000000"/>
      <w:sz w:val="24"/>
      <w:szCs w:val="24"/>
      <w:u w:val="none"/>
    </w:rPr>
  </w:style>
  <w:style w:type="character" w:customStyle="1" w:styleId="24">
    <w:name w:val="font131"/>
    <w:basedOn w:val="16"/>
    <w:qFormat/>
    <w:uiPriority w:val="0"/>
    <w:rPr>
      <w:rFonts w:hint="eastAsia" w:ascii="宋体" w:hAnsi="宋体" w:eastAsia="宋体" w:cs="宋体"/>
      <w:color w:val="000000"/>
      <w:kern w:val="0"/>
      <w:sz w:val="20"/>
      <w:szCs w:val="20"/>
      <w:u w:val="none"/>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9177</Words>
  <Characters>9320</Characters>
  <Lines>0</Lines>
  <Paragraphs>0</Paragraphs>
  <TotalTime>3</TotalTime>
  <ScaleCrop>false</ScaleCrop>
  <LinksUpToDate>false</LinksUpToDate>
  <CharactersWithSpaces>9703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2025-07-30T15:06:00Z</dcterms:created>
  <dc:creator>罗珊珊</dc:creator>
  <cp:lastModifiedBy>罗珊珊</cp:lastModifiedBy>
  <dcterms:modified xsi:type="dcterms:W3CDTF">2025-10-30T07:46:12Z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86222B186747426FACF6EFD13B454850_13</vt:lpwstr>
  </property>
  <property fmtid="{D5CDD505-2E9C-101B-9397-08002B2CF9AE}" pid="4" name="KSOTemplateDocerSaveRecord">
    <vt:lpwstr>eyJoZGlkIjoiODcwZmE0ZmU3Y2M1ZWQ5MWU4OTc0ZDQ0OGMzYzM2NmMiLCJ1c2VySWQiOiIxMzE0MjM0OTg5In0=</vt:lpwstr>
  </property>
</Properties>
</file>