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z w:val="24"/>
          <w:szCs w:val="24"/>
          <w:highlight w:val="none"/>
        </w:rPr>
        <w:t>附件1：</w:t>
      </w:r>
      <w:r>
        <w:rPr>
          <w:rFonts w:hint="eastAsia" w:ascii="宋体" w:hAnsi="宋体" w:eastAsia="宋体" w:cs="宋体"/>
          <w:b w:val="0"/>
          <w:bCs w:val="0"/>
          <w:color w:val="000000" w:themeColor="text1"/>
          <w:sz w:val="24"/>
          <w:szCs w:val="24"/>
          <w14:textFill>
            <w14:solidFill>
              <w14:schemeClr w14:val="tx1"/>
            </w14:solidFill>
          </w14:textFill>
        </w:rPr>
        <w:t>采购</w:t>
      </w:r>
      <w:r>
        <w:rPr>
          <w:rFonts w:hint="eastAsia" w:ascii="宋体" w:hAnsi="宋体" w:eastAsia="宋体" w:cs="宋体"/>
          <w:b w:val="0"/>
          <w:bCs w:val="0"/>
          <w:color w:val="000000" w:themeColor="text1"/>
          <w:sz w:val="24"/>
          <w:szCs w:val="24"/>
          <w:lang w:val="en-US" w:eastAsia="zh-CN"/>
          <w14:textFill>
            <w14:solidFill>
              <w14:schemeClr w14:val="tx1"/>
            </w14:solidFill>
          </w14:textFill>
        </w:rPr>
        <w:t>项目信息</w:t>
      </w:r>
    </w:p>
    <w:p>
      <w:pPr>
        <w:pStyle w:val="12"/>
        <w:numPr>
          <w:ilvl w:val="0"/>
          <w:numId w:val="0"/>
        </w:numPr>
        <w:adjustRightInd w:val="0"/>
        <w:spacing w:before="156" w:beforeLines="50" w:after="156" w:afterLines="50" w:line="360" w:lineRule="auto"/>
        <w:contextualSpacing/>
        <w:jc w:val="left"/>
        <w:outlineLvl w:val="0"/>
        <w:rPr>
          <w:rFonts w:hint="default" w:ascii="黑体" w:hAnsi="黑体" w:eastAsia="黑体" w:cs="Times New Roman"/>
          <w:color w:val="000000"/>
          <w:sz w:val="24"/>
          <w:szCs w:val="24"/>
          <w:lang w:val="en-US"/>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：吞咽治疗仪</w:t>
      </w:r>
    </w:p>
    <w:p>
      <w:pPr>
        <w:pStyle w:val="12"/>
        <w:numPr>
          <w:ilvl w:val="0"/>
          <w:numId w:val="0"/>
        </w:numPr>
        <w:adjustRightInd w:val="0"/>
        <w:spacing w:before="156" w:beforeLines="50" w:after="156" w:afterLines="50" w:line="360" w:lineRule="auto"/>
        <w:contextualSpacing/>
        <w:jc w:val="left"/>
        <w:outlineLvl w:val="0"/>
        <w:rPr>
          <w:rFonts w:hint="default"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Cs/>
          <w:color w:val="000000"/>
          <w:sz w:val="24"/>
          <w:szCs w:val="24"/>
          <w:lang w:val="en-US" w:eastAsia="zh-CN"/>
        </w:rPr>
        <w:t>：2万元/台，预算数量2台</w:t>
      </w:r>
    </w:p>
    <w:p>
      <w:pPr>
        <w:pStyle w:val="12"/>
        <w:numPr>
          <w:ilvl w:val="-1"/>
          <w:numId w:val="0"/>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：2万元/台</w:t>
      </w:r>
      <w:bookmarkStart w:id="0" w:name="_GoBack"/>
      <w:bookmarkEnd w:id="0"/>
    </w:p>
    <w:p>
      <w:pPr>
        <w:pStyle w:val="12"/>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（四）技术要求（标成</w:t>
      </w:r>
      <w:r>
        <w:rPr>
          <w:rFonts w:hint="eastAsia" w:ascii="宋体" w:hAnsi="宋体" w:cs="宋体"/>
          <w:b/>
          <w:bCs w:val="0"/>
          <w:sz w:val="24"/>
          <w:szCs w:val="24"/>
        </w:rPr>
        <w:t>★</w:t>
      </w:r>
      <w:r>
        <w:rPr>
          <w:rFonts w:hint="eastAsia" w:ascii="宋体" w:hAnsi="宋体" w:cs="宋体"/>
          <w:b/>
          <w:bCs w:val="0"/>
          <w:sz w:val="24"/>
          <w:szCs w:val="24"/>
          <w:lang w:val="en-US" w:eastAsia="zh-CN"/>
        </w:rPr>
        <w:t>的参数</w:t>
      </w:r>
      <w:r>
        <w:rPr>
          <w:rFonts w:hint="eastAsia" w:ascii="宋体" w:hAnsi="宋体" w:eastAsia="宋体" w:cs="宋体"/>
          <w:b/>
          <w:bCs w:val="0"/>
          <w:color w:val="000000"/>
          <w:sz w:val="24"/>
          <w:szCs w:val="24"/>
          <w:lang w:val="en-US" w:eastAsia="zh-CN"/>
        </w:rPr>
        <w:t>需要提供证明文件（包含注册证、产品说明书或厂家公开发布的印刷资料或国家认可的检测机构出具的检测报告复印件。））：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000000"/>
          <w:kern w:val="0"/>
          <w:sz w:val="21"/>
          <w:szCs w:val="22"/>
          <w:lang w:val="en-US" w:eastAsia="zh-CN" w:bidi="ar-SA"/>
        </w:rPr>
      </w:pPr>
      <w:r>
        <w:rPr>
          <w:rFonts w:hint="eastAsia" w:ascii="宋体" w:hAnsi="宋体" w:cs="宋体"/>
          <w:b/>
          <w:bCs w:val="0"/>
          <w:sz w:val="24"/>
          <w:szCs w:val="24"/>
        </w:rPr>
        <w:t>★</w:t>
      </w:r>
      <w:r>
        <w:rPr>
          <w:rFonts w:hint="eastAsia" w:ascii="宋体" w:hAnsi="宋体" w:eastAsia="宋体" w:cs="宋体"/>
          <w:color w:val="000000"/>
          <w:kern w:val="0"/>
          <w:sz w:val="21"/>
          <w:szCs w:val="22"/>
          <w:lang w:val="en-US" w:eastAsia="zh-CN" w:bidi="ar-SA"/>
        </w:rPr>
        <w:t>1、适用范围：适用于对咽部非机械原因损伤引起的吞咽及构音障碍进行评估、治疗及训练。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hanging="420" w:hangingChars="200"/>
        <w:textAlignment w:val="auto"/>
        <w:rPr>
          <w:rFonts w:hint="default"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2.结构形式：手持式</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3、具有液晶屏幕显示界面。</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default"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4、具备成人连续脉冲治疗模式和儿童交替脉冲治疗模式，输出路（线）数：2路（4线）</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4.1、连续脉冲治疗模式（成人）：</w:t>
      </w:r>
    </w:p>
    <w:p>
      <w:pPr>
        <w:keepNext w:val="0"/>
        <w:keepLines w:val="0"/>
        <w:pageBreakBefore w:val="0"/>
        <w:widowControl w:val="0"/>
        <w:kinsoku/>
        <w:wordWrap/>
        <w:overflowPunct/>
        <w:topLinePunct w:val="0"/>
        <w:autoSpaceDE/>
        <w:autoSpaceDN/>
        <w:bidi w:val="0"/>
        <w:adjustRightInd/>
        <w:snapToGrid/>
        <w:spacing w:line="240" w:lineRule="auto"/>
        <w:ind w:left="0" w:hanging="482"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cs="宋体"/>
          <w:b/>
          <w:bCs w:val="0"/>
          <w:sz w:val="24"/>
          <w:szCs w:val="24"/>
        </w:rPr>
        <w:t>★</w:t>
      </w:r>
      <w:r>
        <w:rPr>
          <w:rFonts w:hint="eastAsia" w:ascii="宋体" w:hAnsi="宋体" w:eastAsia="宋体" w:cs="宋体"/>
          <w:color w:val="000000"/>
          <w:kern w:val="0"/>
          <w:sz w:val="21"/>
          <w:szCs w:val="22"/>
          <w:lang w:val="en-US" w:eastAsia="zh-CN" w:bidi="ar-SA"/>
        </w:rPr>
        <w:t>4.1.1、脉冲强度：至少在0-30mA 可调，50档可调</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default"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4.1.2、脉冲宽度：至少包含100-300uS，步距增量 20uS档，11档可调</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4.1.3、脉冲间隔：100uS</w:t>
      </w:r>
    </w:p>
    <w:p>
      <w:pPr>
        <w:keepNext w:val="0"/>
        <w:keepLines w:val="0"/>
        <w:pageBreakBefore w:val="0"/>
        <w:widowControl w:val="0"/>
        <w:kinsoku/>
        <w:wordWrap/>
        <w:overflowPunct/>
        <w:topLinePunct w:val="0"/>
        <w:autoSpaceDE/>
        <w:autoSpaceDN/>
        <w:bidi w:val="0"/>
        <w:adjustRightInd/>
        <w:snapToGrid/>
        <w:spacing w:line="240" w:lineRule="auto"/>
        <w:ind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4.1.4、脉冲频率：至少包含20Hz-100Hz</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4.2、交替脉冲治疗模式（儿童）：</w:t>
      </w:r>
    </w:p>
    <w:p>
      <w:pPr>
        <w:keepNext w:val="0"/>
        <w:keepLines w:val="0"/>
        <w:pageBreakBefore w:val="0"/>
        <w:widowControl w:val="0"/>
        <w:kinsoku/>
        <w:wordWrap/>
        <w:overflowPunct/>
        <w:topLinePunct w:val="0"/>
        <w:autoSpaceDE/>
        <w:autoSpaceDN/>
        <w:bidi w:val="0"/>
        <w:adjustRightInd/>
        <w:snapToGrid/>
        <w:spacing w:line="240" w:lineRule="auto"/>
        <w:ind w:left="0" w:hanging="482"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cs="宋体"/>
          <w:b/>
          <w:bCs w:val="0"/>
          <w:sz w:val="24"/>
          <w:szCs w:val="24"/>
        </w:rPr>
        <w:t>★</w:t>
      </w:r>
      <w:r>
        <w:rPr>
          <w:rFonts w:hint="eastAsia" w:ascii="宋体" w:hAnsi="宋体" w:eastAsia="宋体" w:cs="宋体"/>
          <w:color w:val="000000"/>
          <w:kern w:val="0"/>
          <w:sz w:val="21"/>
          <w:szCs w:val="22"/>
          <w:lang w:val="en-US" w:eastAsia="zh-CN" w:bidi="ar-SA"/>
        </w:rPr>
        <w:t>4.2.1、脉冲强度：至少包含0-30mA ，50档可调</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4.2.2、脉冲宽度：至少包含100-300uS ，步距增量 20uS档，11档可调</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4.2.3、脉冲间隔：100uS</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4.2.4、脉冲频率：至少包含20Hz-100Hz，持续时间：≥1s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5、具有定时功能，定时范围：1-99min</w:t>
      </w:r>
    </w:p>
    <w:p>
      <w:pPr>
        <w:keepNext w:val="0"/>
        <w:keepLines w:val="0"/>
        <w:pageBreakBefore w:val="0"/>
        <w:widowControl w:val="0"/>
        <w:kinsoku/>
        <w:wordWrap/>
        <w:overflowPunct/>
        <w:topLinePunct w:val="0"/>
        <w:autoSpaceDE/>
        <w:autoSpaceDN/>
        <w:bidi w:val="0"/>
        <w:adjustRightInd/>
        <w:snapToGrid/>
        <w:spacing w:line="240" w:lineRule="auto"/>
        <w:ind w:left="0" w:hanging="420" w:hangingChars="200"/>
        <w:textAlignment w:val="auto"/>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6、电源配置：可使用充电电池或普通电池。</w:t>
      </w:r>
    </w:p>
    <w:p>
      <w:pPr>
        <w:pStyle w:val="7"/>
        <w:numPr>
          <w:ilvl w:val="0"/>
          <w:numId w:val="0"/>
        </w:numPr>
        <w:ind w:leftChars="0"/>
        <w:rPr>
          <w:rFonts w:hint="eastAsia" w:ascii="宋体" w:hAnsi="宋体" w:eastAsia="宋体" w:cs="宋体"/>
          <w:b/>
          <w:bCs w:val="0"/>
          <w:color w:val="000000"/>
          <w:sz w:val="24"/>
          <w:szCs w:val="24"/>
          <w:lang w:val="en-US" w:eastAsia="zh-CN"/>
        </w:rPr>
      </w:pPr>
      <w:r>
        <w:rPr>
          <w:rFonts w:hint="eastAsia" w:ascii="宋体" w:hAnsi="宋体" w:eastAsia="宋体" w:cs="宋体"/>
          <w:color w:val="000000"/>
          <w:kern w:val="0"/>
          <w:sz w:val="21"/>
          <w:szCs w:val="22"/>
          <w:lang w:val="en-US" w:eastAsia="zh-CN" w:bidi="ar-SA"/>
        </w:rPr>
        <w:t>7、可内置无线 wifi模块，可与医院 HIS 系统对接，可打印治疗记录。</w:t>
      </w:r>
    </w:p>
    <w:p>
      <w:pPr>
        <w:pStyle w:val="12"/>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pStyle w:val="12"/>
        <w:numPr>
          <w:ilvl w:val="-1"/>
          <w:numId w:val="0"/>
        </w:numPr>
        <w:adjustRightInd w:val="0"/>
        <w:spacing w:before="156" w:beforeLines="50" w:after="156" w:afterLines="50" w:line="360" w:lineRule="auto"/>
        <w:contextualSpacing/>
        <w:jc w:val="left"/>
        <w:outlineLvl w:val="0"/>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1.1 合同履行期限：交货期限：合同签订生效后，收到采购人通知后30日内完成安装调试并交付采购人验收。合同经双方完成签章之日起生效。完成日期：质保期结束之日。</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1.2 合同履行地点：四川省妇幼保健院。</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1.3交货期限：合同签订生效后，收到采购人通知后30日内完成安装调试并交付采购人验收。</w:t>
      </w:r>
    </w:p>
    <w:p>
      <w:pPr>
        <w:numPr>
          <w:ilvl w:val="0"/>
          <w:numId w:val="1"/>
        </w:numPr>
        <w:spacing w:line="360" w:lineRule="exact"/>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付款方法和条件：采购人最终验收合格后，中标人须向采购人出具合法有效完整的完税发票及凭证资料，采购人自收到上述发票及凭证资料后60 日内支付合同总价 100%的货款给中标人。</w:t>
      </w:r>
    </w:p>
    <w:p>
      <w:pPr>
        <w:numPr>
          <w:ilvl w:val="0"/>
          <w:numId w:val="1"/>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3.安装调试及验收：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3.1中标人负责货物安装、调试。</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3.2货物安装调试完毕后，中标人应对采购人操作人员进行现场培训，直至采购人的技术人员能独立操作，同时能完成一般常见故障的维修工作。</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3.3完成中标产品所有安装、调试、培训后，采购人组织项目验收，验收标准</w:t>
      </w:r>
      <w:r>
        <w:rPr>
          <w:rFonts w:hint="eastAsia" w:ascii="宋体" w:hAnsi="宋体" w:eastAsia="宋体" w:cs="宋体"/>
          <w:color w:val="000000"/>
          <w:kern w:val="0"/>
          <w:lang w:val="en-US" w:eastAsia="zh-CN"/>
        </w:rPr>
        <w:t>参</w:t>
      </w:r>
      <w:r>
        <w:rPr>
          <w:rFonts w:hint="eastAsia" w:ascii="宋体" w:hAnsi="宋体" w:eastAsia="宋体" w:cs="宋体"/>
          <w:color w:val="000000"/>
          <w:kern w:val="0"/>
          <w:lang w:eastAsia="zh-CN"/>
        </w:rPr>
        <w:t>照《财政部关于进一步加强政府采购需求和履约验收管理的指导意见》（财库〔2016〕205号）、招标文件、中标人投标文件为准。</w:t>
      </w:r>
    </w:p>
    <w:p>
      <w:pPr>
        <w:numPr>
          <w:ilvl w:val="0"/>
          <w:numId w:val="0"/>
        </w:numPr>
        <w:spacing w:line="360" w:lineRule="exact"/>
        <w:rPr>
          <w:rFonts w:hint="eastAsia" w:ascii="宋体" w:hAnsi="宋体" w:eastAsia="宋体" w:cs="宋体"/>
          <w:b/>
          <w:bCs/>
          <w:color w:val="000000"/>
          <w:kern w:val="0"/>
          <w:sz w:val="28"/>
          <w:szCs w:val="36"/>
          <w:lang w:eastAsia="zh-CN"/>
        </w:rPr>
      </w:pPr>
      <w:r>
        <w:rPr>
          <w:rFonts w:hint="eastAsia" w:ascii="宋体" w:hAnsi="宋体" w:eastAsia="宋体" w:cs="宋体"/>
          <w:b/>
          <w:bCs/>
          <w:color w:val="000000"/>
          <w:kern w:val="0"/>
          <w:sz w:val="28"/>
          <w:szCs w:val="36"/>
          <w:lang w:eastAsia="zh-CN"/>
        </w:rPr>
        <w:t>4.售后服务：</w:t>
      </w:r>
    </w:p>
    <w:p>
      <w:pPr>
        <w:numPr>
          <w:ilvl w:val="0"/>
          <w:numId w:val="0"/>
        </w:numPr>
        <w:spacing w:line="360" w:lineRule="exact"/>
        <w:rPr>
          <w:rFonts w:hint="eastAsia" w:ascii="宋体" w:hAnsi="宋体" w:cs="宋体"/>
        </w:rPr>
      </w:pPr>
      <w:r>
        <w:rPr>
          <w:rFonts w:hint="eastAsia" w:ascii="宋体" w:hAnsi="宋体" w:cs="宋体"/>
        </w:rPr>
        <w:t>4.1质保期：最终验收合格后</w:t>
      </w:r>
      <w:r>
        <w:rPr>
          <w:rFonts w:hint="eastAsia" w:ascii="宋体" w:hAnsi="宋体" w:cs="宋体"/>
          <w:color w:val="FF0000"/>
        </w:rPr>
        <w:t>提供至少5年原厂质</w:t>
      </w:r>
      <w:r>
        <w:rPr>
          <w:rFonts w:hint="eastAsia" w:ascii="宋体" w:hAnsi="宋体" w:cs="宋体"/>
        </w:rPr>
        <w:t>保（含整机所有部件；如质保期内部件损坏，中标人免费更换全新原厂配件，并对更换部件延长一年质保）。</w:t>
      </w:r>
    </w:p>
    <w:p>
      <w:pPr>
        <w:numPr>
          <w:ilvl w:val="0"/>
          <w:numId w:val="0"/>
        </w:numPr>
        <w:spacing w:line="360" w:lineRule="exact"/>
        <w:rPr>
          <w:rFonts w:hint="eastAsia" w:ascii="宋体" w:hAnsi="宋体" w:cs="宋体"/>
        </w:rPr>
      </w:pPr>
      <w:r>
        <w:rPr>
          <w:rFonts w:hint="eastAsia" w:ascii="宋体" w:hAnsi="宋体" w:cs="宋体"/>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numPr>
          <w:ilvl w:val="0"/>
          <w:numId w:val="0"/>
        </w:numPr>
        <w:spacing w:line="360" w:lineRule="exact"/>
        <w:rPr>
          <w:rFonts w:hint="eastAsia" w:ascii="宋体" w:hAnsi="宋体" w:cs="宋体"/>
        </w:rPr>
      </w:pPr>
      <w:r>
        <w:rPr>
          <w:rFonts w:hint="eastAsia" w:ascii="宋体" w:hAnsi="宋体" w:cs="宋体"/>
        </w:rPr>
        <w:t>4.3如质保期内货物经中标人两次维修仍不能达到国家相关质量标准，采购人有权要求中标人无条件更换全新货物或退货，并追究中标人违约责任。</w:t>
      </w:r>
    </w:p>
    <w:p>
      <w:pPr>
        <w:numPr>
          <w:ilvl w:val="0"/>
          <w:numId w:val="0"/>
        </w:numPr>
        <w:spacing w:line="360" w:lineRule="exact"/>
        <w:rPr>
          <w:rFonts w:hint="eastAsia" w:ascii="宋体" w:hAnsi="宋体" w:cs="宋体"/>
        </w:rPr>
      </w:pPr>
      <w:r>
        <w:rPr>
          <w:rFonts w:hint="eastAsia" w:ascii="宋体" w:hAnsi="宋体" w:cs="宋体"/>
        </w:rPr>
        <w:t>4.4如货物涉及软件升级，中标人承诺为采购人提供软件升级服务，费用包含在投标总价内，采购人不再另行支付费用。</w:t>
      </w:r>
    </w:p>
    <w:p>
      <w:pPr>
        <w:numPr>
          <w:ilvl w:val="0"/>
          <w:numId w:val="0"/>
        </w:numPr>
        <w:spacing w:line="360" w:lineRule="exact"/>
        <w:rPr>
          <w:rFonts w:hint="eastAsia" w:ascii="宋体" w:hAnsi="宋体" w:cs="宋体"/>
        </w:rPr>
      </w:pPr>
      <w:r>
        <w:rPr>
          <w:rFonts w:hint="eastAsia" w:ascii="宋体" w:hAnsi="宋体" w:cs="宋体"/>
        </w:rPr>
        <w:t>4.5中标人应承诺保证设备停产后至少5年的零配件供应。质保期内，</w:t>
      </w:r>
      <w:r>
        <w:rPr>
          <w:rFonts w:hint="eastAsia" w:ascii="宋体" w:hAnsi="宋体" w:cs="宋体"/>
          <w:lang w:eastAsia="zh-CN"/>
        </w:rPr>
        <w:t>中标人</w:t>
      </w:r>
      <w:r>
        <w:rPr>
          <w:rFonts w:hint="eastAsia" w:ascii="宋体" w:hAnsi="宋体" w:cs="宋体"/>
        </w:rPr>
        <w:t>每半年提供巡检及保养≥1次，保养内容至少包含设备内部清洁，并按医院要求提供巡检及保养记录。</w:t>
      </w:r>
    </w:p>
    <w:p>
      <w:pPr>
        <w:numPr>
          <w:ilvl w:val="0"/>
          <w:numId w:val="0"/>
        </w:numPr>
        <w:spacing w:line="360" w:lineRule="exact"/>
        <w:rPr>
          <w:rFonts w:hint="eastAsia" w:ascii="宋体" w:hAnsi="宋体" w:cs="宋体"/>
          <w:lang w:eastAsia="zh-CN"/>
        </w:rPr>
      </w:pPr>
      <w:r>
        <w:rPr>
          <w:rFonts w:hint="eastAsia" w:ascii="宋体" w:hAnsi="宋体" w:cs="宋体"/>
          <w:lang w:val="en-US" w:eastAsia="zh-CN"/>
        </w:rPr>
        <w:t>5.</w:t>
      </w:r>
      <w:r>
        <w:rPr>
          <w:rFonts w:hint="eastAsia" w:ascii="宋体" w:hAnsi="宋体" w:cs="宋体"/>
        </w:rPr>
        <w:t>收取履约保证金形式</w:t>
      </w:r>
      <w:r>
        <w:rPr>
          <w:rFonts w:hint="eastAsia" w:ascii="宋体" w:hAnsi="宋体" w:cs="宋体"/>
          <w:lang w:eastAsia="zh-CN"/>
        </w:rPr>
        <w:t>：中标/成交供应商是否需要缴纳履约保证金：是</w:t>
      </w:r>
    </w:p>
    <w:p>
      <w:pPr>
        <w:numPr>
          <w:ilvl w:val="0"/>
          <w:numId w:val="0"/>
        </w:numPr>
        <w:spacing w:line="360" w:lineRule="exact"/>
        <w:rPr>
          <w:rFonts w:hint="eastAsia" w:ascii="宋体" w:hAnsi="宋体" w:cs="宋体"/>
          <w:lang w:eastAsia="zh-CN"/>
        </w:rPr>
      </w:pPr>
      <w:r>
        <w:rPr>
          <w:rFonts w:hint="eastAsia" w:ascii="宋体" w:hAnsi="宋体" w:cs="宋体"/>
          <w:lang w:eastAsia="zh-CN"/>
        </w:rPr>
        <w:t>履约保证金缴纳比例：10%</w:t>
      </w:r>
    </w:p>
    <w:p>
      <w:pPr>
        <w:numPr>
          <w:ilvl w:val="0"/>
          <w:numId w:val="0"/>
        </w:numPr>
        <w:spacing w:line="360" w:lineRule="exact"/>
        <w:rPr>
          <w:rFonts w:hint="eastAsia" w:ascii="宋体" w:hAnsi="宋体" w:cs="宋体"/>
          <w:lang w:eastAsia="zh-CN"/>
        </w:rPr>
      </w:pPr>
      <w:r>
        <w:rPr>
          <w:rFonts w:hint="eastAsia" w:ascii="宋体" w:hAnsi="宋体" w:cs="宋体"/>
          <w:lang w:eastAsia="zh-CN"/>
        </w:rPr>
        <w:t>缴纳方式：</w:t>
      </w:r>
      <w:r>
        <w:rPr>
          <w:rFonts w:hint="eastAsia" w:ascii="宋体" w:hAnsi="宋体" w:cs="宋体"/>
          <w:lang w:val="en-US" w:eastAsia="zh-CN"/>
        </w:rPr>
        <w:sym w:font="Wingdings" w:char="00A8"/>
      </w:r>
      <w:r>
        <w:rPr>
          <w:rFonts w:hint="eastAsia" w:ascii="宋体" w:hAnsi="宋体" w:cs="宋体"/>
          <w:lang w:val="en-US" w:eastAsia="zh-CN"/>
        </w:rPr>
        <w:t>银行转账，</w:t>
      </w:r>
      <w:r>
        <w:rPr>
          <w:rFonts w:hint="eastAsia" w:ascii="宋体" w:hAnsi="宋体" w:cs="宋体"/>
          <w:lang w:val="en-US" w:eastAsia="zh-CN"/>
        </w:rPr>
        <w:sym w:font="Wingdings" w:char="00A8"/>
      </w:r>
      <w:r>
        <w:rPr>
          <w:rFonts w:hint="eastAsia" w:ascii="宋体" w:hAnsi="宋体" w:cs="宋体"/>
          <w:lang w:val="en-US" w:eastAsia="zh-CN"/>
        </w:rPr>
        <w:t>支票/汇票/本票</w:t>
      </w:r>
    </w:p>
    <w:p>
      <w:pPr>
        <w:numPr>
          <w:ilvl w:val="0"/>
          <w:numId w:val="0"/>
        </w:numPr>
        <w:spacing w:line="360" w:lineRule="exact"/>
        <w:rPr>
          <w:rFonts w:hint="eastAsia" w:ascii="宋体" w:hAnsi="宋体" w:cs="宋体"/>
          <w:lang w:eastAsia="zh-CN"/>
        </w:rPr>
      </w:pPr>
      <w:r>
        <w:rPr>
          <w:rFonts w:hint="eastAsia" w:ascii="宋体" w:hAnsi="宋体" w:cs="宋体"/>
          <w:lang w:eastAsia="zh-CN"/>
        </w:rPr>
        <w:t>缴纳说明：</w:t>
      </w:r>
    </w:p>
    <w:p>
      <w:pPr>
        <w:numPr>
          <w:ilvl w:val="0"/>
          <w:numId w:val="0"/>
        </w:numPr>
        <w:spacing w:line="360" w:lineRule="exact"/>
        <w:rPr>
          <w:rFonts w:hint="eastAsia" w:ascii="宋体" w:hAnsi="宋体" w:cs="宋体"/>
          <w:lang w:eastAsia="zh-CN"/>
        </w:rPr>
      </w:pPr>
      <w:r>
        <w:rPr>
          <w:rFonts w:hint="eastAsia" w:ascii="宋体" w:hAnsi="宋体" w:cs="宋体"/>
          <w:lang w:eastAsia="zh-CN"/>
        </w:rPr>
        <w:t>（1）缴款时间：中标人在收到采购人通知后7日内、设备安装前；</w:t>
      </w:r>
    </w:p>
    <w:p>
      <w:pPr>
        <w:numPr>
          <w:ilvl w:val="0"/>
          <w:numId w:val="0"/>
        </w:numPr>
        <w:spacing w:line="360" w:lineRule="exact"/>
        <w:rPr>
          <w:rFonts w:hint="eastAsia" w:ascii="宋体" w:hAnsi="宋体" w:cs="宋体"/>
          <w:lang w:eastAsia="zh-CN"/>
        </w:rPr>
      </w:pPr>
      <w:r>
        <w:rPr>
          <w:rFonts w:hint="eastAsia" w:ascii="宋体" w:hAnsi="宋体" w:cs="宋体"/>
          <w:lang w:eastAsia="zh-CN"/>
        </w:rPr>
        <w:t>（2）收款单位：采购人指定；</w:t>
      </w:r>
    </w:p>
    <w:p>
      <w:pPr>
        <w:numPr>
          <w:ilvl w:val="0"/>
          <w:numId w:val="0"/>
        </w:numPr>
        <w:spacing w:line="360" w:lineRule="exact"/>
        <w:rPr>
          <w:rFonts w:hint="eastAsia" w:ascii="宋体" w:hAnsi="宋体" w:cs="宋体"/>
          <w:lang w:eastAsia="zh-CN"/>
        </w:rPr>
      </w:pPr>
      <w:r>
        <w:rPr>
          <w:rFonts w:hint="eastAsia" w:ascii="宋体" w:hAnsi="宋体" w:cs="宋体"/>
          <w:lang w:eastAsia="zh-CN"/>
        </w:rPr>
        <w:t>（3）开户银行：采购人指定；</w:t>
      </w:r>
    </w:p>
    <w:p>
      <w:pPr>
        <w:numPr>
          <w:ilvl w:val="0"/>
          <w:numId w:val="0"/>
        </w:numPr>
        <w:spacing w:line="360" w:lineRule="exact"/>
        <w:rPr>
          <w:rFonts w:hint="eastAsia" w:ascii="宋体" w:hAnsi="宋体" w:cs="宋体"/>
          <w:lang w:eastAsia="zh-CN"/>
        </w:rPr>
      </w:pPr>
      <w:r>
        <w:rPr>
          <w:rFonts w:hint="eastAsia" w:ascii="宋体" w:hAnsi="宋体" w:cs="宋体"/>
          <w:lang w:eastAsia="zh-CN"/>
        </w:rPr>
        <w:t>（4）账号：采购人指定；</w:t>
      </w:r>
    </w:p>
    <w:p>
      <w:pPr>
        <w:numPr>
          <w:ilvl w:val="0"/>
          <w:numId w:val="0"/>
        </w:numPr>
        <w:spacing w:line="360" w:lineRule="exact"/>
        <w:rPr>
          <w:rFonts w:hint="eastAsia" w:ascii="宋体" w:hAnsi="宋体" w:cs="宋体"/>
          <w:lang w:eastAsia="zh-CN"/>
        </w:rPr>
      </w:pPr>
      <w:r>
        <w:rPr>
          <w:rFonts w:hint="eastAsia" w:ascii="宋体" w:hAnsi="宋体" w:cs="宋体"/>
          <w:lang w:eastAsia="zh-CN"/>
        </w:rPr>
        <w:t>（5）退还时间：设备自最终验收合格之日满 2 年，采购人接到中标人付款申请后 30 个工作日内，采购人一次性无息退还中标人的履约保证金，</w:t>
      </w:r>
    </w:p>
    <w:p>
      <w:pPr>
        <w:numPr>
          <w:ilvl w:val="0"/>
          <w:numId w:val="0"/>
        </w:numPr>
        <w:spacing w:line="360" w:lineRule="exact"/>
        <w:rPr>
          <w:rFonts w:hint="eastAsia" w:ascii="宋体" w:hAnsi="宋体" w:cs="宋体"/>
          <w:lang w:eastAsia="zh-CN"/>
        </w:rPr>
      </w:pPr>
      <w:r>
        <w:rPr>
          <w:rFonts w:hint="eastAsia" w:ascii="宋体" w:hAnsi="宋体" w:cs="宋体"/>
          <w:lang w:eastAsia="zh-CN"/>
        </w:rPr>
        <w:t>（6）履约保证金不予退还情形：</w:t>
      </w:r>
    </w:p>
    <w:p>
      <w:pPr>
        <w:numPr>
          <w:ilvl w:val="0"/>
          <w:numId w:val="0"/>
        </w:numPr>
        <w:spacing w:line="360" w:lineRule="exact"/>
        <w:rPr>
          <w:rFonts w:hint="eastAsia" w:ascii="宋体" w:hAnsi="宋体" w:cs="宋体"/>
          <w:lang w:eastAsia="zh-CN"/>
        </w:rPr>
      </w:pPr>
      <w:r>
        <w:rPr>
          <w:rFonts w:hint="eastAsia" w:ascii="宋体" w:hAnsi="宋体" w:cs="宋体"/>
          <w:lang w:eastAsia="zh-CN"/>
        </w:rPr>
        <w:t>1）中标人不履行与采购人订立的合同的，给采购人造成的损失超过履约保证金数额的，还应当对超过部分予以赔偿；</w:t>
      </w:r>
    </w:p>
    <w:p>
      <w:pPr>
        <w:numPr>
          <w:ilvl w:val="0"/>
          <w:numId w:val="0"/>
        </w:numPr>
        <w:spacing w:line="360" w:lineRule="exact"/>
        <w:rPr>
          <w:rFonts w:hint="eastAsia" w:ascii="宋体" w:hAnsi="宋体" w:cs="宋体"/>
          <w:lang w:eastAsia="zh-CN"/>
        </w:rPr>
      </w:pPr>
      <w:r>
        <w:rPr>
          <w:rFonts w:hint="eastAsia" w:ascii="宋体" w:hAnsi="宋体" w:cs="宋体"/>
          <w:lang w:eastAsia="zh-CN"/>
        </w:rPr>
        <w:t>2）项目验收结果不合格的；</w:t>
      </w:r>
    </w:p>
    <w:p>
      <w:pPr>
        <w:numPr>
          <w:ilvl w:val="0"/>
          <w:numId w:val="0"/>
        </w:numPr>
        <w:spacing w:line="360" w:lineRule="exact"/>
        <w:rPr>
          <w:rFonts w:hint="eastAsia" w:ascii="宋体" w:hAnsi="宋体" w:cs="宋体"/>
          <w:lang w:eastAsia="zh-CN"/>
        </w:rPr>
      </w:pPr>
      <w:r>
        <w:rPr>
          <w:rFonts w:hint="eastAsia" w:ascii="宋体" w:hAnsi="宋体" w:cs="宋体"/>
          <w:lang w:eastAsia="zh-CN"/>
        </w:rPr>
        <w:t>3）其他违反国家相关法律法规的情形；</w:t>
      </w:r>
    </w:p>
    <w:p>
      <w:pPr>
        <w:numPr>
          <w:ilvl w:val="0"/>
          <w:numId w:val="0"/>
        </w:numPr>
        <w:spacing w:line="360" w:lineRule="exact"/>
        <w:rPr>
          <w:rFonts w:hint="eastAsia" w:ascii="宋体" w:hAnsi="宋体" w:cs="宋体"/>
          <w:lang w:eastAsia="zh-CN"/>
        </w:rPr>
      </w:pPr>
      <w:r>
        <w:rPr>
          <w:rFonts w:hint="eastAsia" w:ascii="宋体" w:hAnsi="宋体" w:cs="宋体"/>
          <w:lang w:eastAsia="zh-CN"/>
        </w:rPr>
        <w:t>（7）若中标人接到支付履约保证金通知未在7个工作日内缴纳履约保证金，采购人有权解除合同。</w:t>
      </w:r>
    </w:p>
    <w:p>
      <w:pPr>
        <w:rPr>
          <w:rFonts w:hint="eastAsia" w:ascii="宋体" w:hAnsi="宋体" w:eastAsia="宋体" w:cs="宋体"/>
          <w:b w:val="0"/>
          <w:bCs/>
          <w:i w:val="0"/>
          <w:caps w:val="0"/>
          <w:color w:val="000000"/>
          <w:spacing w:val="0"/>
          <w:sz w:val="24"/>
          <w:szCs w:val="24"/>
          <w:highlight w:val="none"/>
          <w:shd w:val="clear" w:fill="FFFFFF"/>
          <w:lang w:val="en-US" w:eastAsia="zh-CN"/>
        </w:rPr>
      </w:pPr>
    </w:p>
    <w:p>
      <w:pPr>
        <w:widowControl/>
        <w:numPr>
          <w:ilvl w:val="0"/>
          <w:numId w:val="0"/>
        </w:numPr>
        <w:spacing w:line="440" w:lineRule="exact"/>
        <w:jc w:val="left"/>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7"/>
        <w:numPr>
          <w:ilvl w:val="0"/>
          <w:numId w:val="0"/>
        </w:numPr>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2：</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投标文件</w:t>
      </w:r>
      <w:r>
        <w:rPr>
          <w:rFonts w:hint="eastAsia" w:ascii="方正小标宋简体" w:hAnsi="宋体" w:eastAsia="方正小标宋简体" w:cs="宋体"/>
          <w:bCs/>
          <w:kern w:val="0"/>
          <w:sz w:val="40"/>
          <w:szCs w:val="44"/>
          <w:shd w:val="clear" w:color="auto" w:fill="FFFFFF"/>
        </w:rPr>
        <w:t>装订顺序</w:t>
      </w:r>
    </w:p>
    <w:p>
      <w:pPr>
        <w:pStyle w:val="5"/>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3.资格证明文件</w:t>
      </w:r>
      <w:r>
        <w:rPr>
          <w:rFonts w:hint="eastAsia" w:asciiTheme="minorEastAsia" w:hAnsiTheme="minorEastAsia" w:cstheme="minorEastAsia"/>
          <w:spacing w:val="8"/>
          <w:kern w:val="0"/>
          <w:sz w:val="28"/>
          <w:szCs w:val="32"/>
          <w:shd w:val="clear" w:color="auto" w:fill="FFFFFF"/>
          <w:lang w:val="en-US" w:eastAsia="zh-CN"/>
        </w:rPr>
        <w:t>（见采购公告第二条投标单位资质要求1-11）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rPr>
        <w:t>.报价一览表（格式见附件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.生产厂家</w:t>
      </w:r>
      <w:r>
        <w:rPr>
          <w:rFonts w:hint="eastAsia" w:asciiTheme="minorEastAsia" w:hAnsiTheme="minorEastAsia" w:eastAsiaTheme="minorEastAsia" w:cstheme="minorEastAsia"/>
          <w:spacing w:val="8"/>
          <w:kern w:val="0"/>
          <w:sz w:val="28"/>
          <w:szCs w:val="32"/>
          <w:shd w:val="clear" w:color="auto" w:fill="FFFFFF"/>
        </w:rPr>
        <w:t>售后服务承诺</w:t>
      </w:r>
      <w:r>
        <w:rPr>
          <w:rFonts w:hint="eastAsia" w:asciiTheme="minorEastAsia" w:hAnsiTheme="minorEastAsia" w:cstheme="minorEastAsia"/>
          <w:spacing w:val="8"/>
          <w:kern w:val="0"/>
          <w:sz w:val="28"/>
          <w:szCs w:val="32"/>
          <w:shd w:val="clear" w:color="auto" w:fill="FFFFFF"/>
          <w:lang w:val="en-US" w:eastAsia="zh-CN"/>
        </w:rPr>
        <w:t>书和</w:t>
      </w:r>
      <w:r>
        <w:rPr>
          <w:rFonts w:hint="eastAsia" w:asciiTheme="minorEastAsia" w:hAnsiTheme="minorEastAsia" w:cstheme="minorEastAsia"/>
          <w:spacing w:val="8"/>
          <w:kern w:val="0"/>
          <w:sz w:val="28"/>
          <w:szCs w:val="32"/>
          <w:shd w:val="clear" w:color="auto" w:fill="FFFFFF"/>
          <w:lang w:eastAsia="zh-CN"/>
        </w:rPr>
        <w:t>产品质量及货源保证书</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rPr>
      </w:pPr>
      <w:r>
        <w:rPr>
          <w:rFonts w:hint="eastAsia" w:asciiTheme="minorEastAsia" w:hAnsiTheme="minorEastAsia" w:eastAsiaTheme="minorEastAsia" w:cstheme="minorEastAsia"/>
          <w:spacing w:val="8"/>
          <w:kern w:val="0"/>
          <w:sz w:val="28"/>
          <w:szCs w:val="32"/>
          <w:shd w:val="clear" w:color="auto" w:fill="FFFFFF"/>
          <w:lang w:val="en-US" w:eastAsia="zh-CN"/>
        </w:rPr>
        <w:t>7.</w:t>
      </w:r>
      <w:r>
        <w:rPr>
          <w:rFonts w:hint="eastAsia" w:asciiTheme="minorEastAsia" w:hAnsiTheme="minorEastAsia" w:cstheme="minorEastAsia"/>
          <w:spacing w:val="8"/>
          <w:kern w:val="0"/>
          <w:sz w:val="28"/>
          <w:szCs w:val="32"/>
          <w:shd w:val="clear" w:color="auto" w:fill="FFFFFF"/>
          <w:lang w:val="en-US" w:eastAsia="zh-CN"/>
        </w:rPr>
        <w:t>业绩证明文件</w:t>
      </w:r>
      <w:r>
        <w:rPr>
          <w:rFonts w:hint="eastAsia" w:asciiTheme="minorEastAsia" w:hAnsiTheme="minorEastAsia" w:eastAsiaTheme="minorEastAsia" w:cstheme="minorEastAsia"/>
          <w:spacing w:val="8"/>
          <w:kern w:val="0"/>
          <w:sz w:val="28"/>
          <w:szCs w:val="32"/>
          <w:shd w:val="clear" w:color="auto" w:fill="FFFFFF"/>
          <w:lang w:val="en-US" w:eastAsia="zh-CN"/>
        </w:rPr>
        <w:t>（格式见附件3</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8</w:t>
      </w:r>
      <w:r>
        <w:rPr>
          <w:rFonts w:hint="eastAsia" w:asciiTheme="minorEastAsia" w:hAnsiTheme="minorEastAsia" w:eastAsiaTheme="minorEastAsia" w:cstheme="minorEastAsia"/>
          <w:spacing w:val="8"/>
          <w:kern w:val="0"/>
          <w:sz w:val="28"/>
          <w:szCs w:val="32"/>
          <w:shd w:val="clear" w:color="auto" w:fill="FFFFFF"/>
          <w:lang w:val="en-US" w:eastAsia="zh-CN"/>
        </w:rPr>
        <w:t>.反商业贿赂承诺书（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9</w:t>
      </w:r>
      <w:r>
        <w:rPr>
          <w:rFonts w:hint="eastAsia" w:asciiTheme="minorEastAsia" w:hAnsiTheme="minorEastAsia" w:eastAsiaTheme="minorEastAsia" w:cstheme="minorEastAsia"/>
          <w:spacing w:val="8"/>
          <w:kern w:val="0"/>
          <w:sz w:val="28"/>
          <w:szCs w:val="32"/>
          <w:shd w:val="clear" w:color="auto" w:fill="FFFFFF"/>
          <w:lang w:val="en-US" w:eastAsia="zh-CN"/>
        </w:rPr>
        <w:t>.禁止围标、串标情况承诺函（</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10</w:t>
      </w:r>
      <w:r>
        <w:rPr>
          <w:rFonts w:hint="eastAsia" w:asciiTheme="minorEastAsia" w:hAnsiTheme="minorEastAsia" w:eastAsiaTheme="minorEastAsia" w:cstheme="minorEastAsia"/>
          <w:spacing w:val="8"/>
          <w:kern w:val="0"/>
          <w:sz w:val="28"/>
          <w:szCs w:val="32"/>
          <w:shd w:val="clear" w:color="auto" w:fill="FFFFFF"/>
          <w:lang w:val="en-US" w:eastAsia="zh-CN"/>
        </w:rPr>
        <w:t>.供应商遵守招标采购纪律承诺书（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11</w:t>
      </w:r>
      <w:r>
        <w:rPr>
          <w:rFonts w:hint="eastAsia" w:asciiTheme="minorEastAsia" w:hAnsiTheme="minorEastAsia" w:eastAsiaTheme="minorEastAsia" w:cstheme="minorEastAsia"/>
          <w:spacing w:val="8"/>
          <w:kern w:val="0"/>
          <w:sz w:val="28"/>
          <w:szCs w:val="32"/>
          <w:shd w:val="clear" w:color="auto" w:fill="FFFFFF"/>
          <w:lang w:val="en-US" w:eastAsia="zh-CN"/>
        </w:rPr>
        <w:t>.行业相关</w:t>
      </w:r>
      <w:r>
        <w:rPr>
          <w:rFonts w:hint="eastAsia" w:asciiTheme="minorEastAsia" w:hAnsiTheme="minorEastAsia" w:eastAsiaTheme="minorEastAsia" w:cstheme="minorEastAsia"/>
          <w:spacing w:val="8"/>
          <w:kern w:val="0"/>
          <w:sz w:val="28"/>
          <w:szCs w:val="32"/>
          <w:shd w:val="clear" w:color="auto" w:fill="FFFFFF"/>
        </w:rPr>
        <w:t>规范或标准</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如有</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lang w:val="en-US" w:eastAsia="zh-CN"/>
        </w:rPr>
        <w:t>.产品说明书或投标产品彩页资料和其他有关介绍资料</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封底</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5"/>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0"/>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cstheme="minorEastAsia"/>
          <w:color w:val="auto"/>
          <w:kern w:val="0"/>
          <w:sz w:val="28"/>
          <w:szCs w:val="28"/>
          <w:lang w:val="en-US" w:eastAsia="zh-CN"/>
        </w:rPr>
        <w:t xml:space="preserve">   年  月  日</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0"/>
        <w:tblW w:w="0" w:type="auto"/>
        <w:jc w:val="center"/>
        <w:tblLayout w:type="autofit"/>
        <w:tblCellMar>
          <w:top w:w="0" w:type="dxa"/>
          <w:left w:w="0" w:type="dxa"/>
          <w:bottom w:w="0" w:type="dxa"/>
          <w:right w:w="0" w:type="dxa"/>
        </w:tblCellMar>
      </w:tblPr>
      <w:tblGrid>
        <w:gridCol w:w="1056"/>
        <w:gridCol w:w="2281"/>
        <w:gridCol w:w="2343"/>
        <w:gridCol w:w="2842"/>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技术要求若需提供证明材料，写明详见页码XXX</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cstheme="minorEastAsia"/>
          <w:color w:val="auto"/>
          <w:kern w:val="0"/>
          <w:sz w:val="28"/>
          <w:szCs w:val="28"/>
          <w:lang w:val="en-US" w:eastAsia="zh-CN"/>
        </w:rPr>
        <w:t xml:space="preserve">  年  月  日</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0"/>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rPr>
        <w:t>日</w:t>
      </w:r>
      <w:r>
        <w:rPr>
          <w:rFonts w:hint="eastAsia" w:asciiTheme="minorEastAsia" w:hAnsiTheme="minorEastAsia" w:eastAsiaTheme="minorEastAsia" w:cstheme="minorEastAsia"/>
          <w:b w:val="0"/>
          <w:bCs w:val="0"/>
          <w:color w:val="auto"/>
          <w:kern w:val="0"/>
          <w:sz w:val="28"/>
          <w:szCs w:val="28"/>
        </w:rPr>
        <w:t>期:</w:t>
      </w:r>
      <w:r>
        <w:rPr>
          <w:rFonts w:hint="eastAsia" w:asciiTheme="minorEastAsia" w:hAnsiTheme="minorEastAsia" w:cstheme="minorEastAsia"/>
          <w:b w:val="0"/>
          <w:bCs w:val="0"/>
          <w:color w:val="auto"/>
          <w:kern w:val="0"/>
          <w:sz w:val="28"/>
          <w:szCs w:val="28"/>
          <w:lang w:val="en-US" w:eastAsia="zh-CN"/>
        </w:rPr>
        <w:t xml:space="preserve">   年  月   日  </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13"/>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0"/>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0"/>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0"/>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7"/>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14"/>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3</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14"/>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2"/>
        <w:ind w:left="0" w:leftChars="0" w:firstLine="0" w:firstLineChars="0"/>
        <w:rPr>
          <w:rFonts w:hint="default"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XXX年xxx月xxx日</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承诺企业名称（公章）</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法人代表或委托代理人（承诺人）</w:t>
      </w:r>
    </w:p>
    <w:p>
      <w:pPr>
        <w:widowControl/>
        <w:shd w:val="clear" w:color="auto" w:fill="FFFFFF"/>
        <w:wordWrap w:val="0"/>
        <w:spacing w:line="270" w:lineRule="atLeast"/>
        <w:ind w:firstLine="240" w:firstLineChars="10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pStyle w:val="2"/>
        <w:sectPr>
          <w:pgSz w:w="11906" w:h="16838"/>
          <w:pgMar w:top="1020" w:right="1800" w:bottom="1440" w:left="1800" w:header="851" w:footer="992" w:gutter="0"/>
          <w:cols w:space="425" w:num="1"/>
          <w:docGrid w:type="lines" w:linePitch="312" w:charSpace="0"/>
        </w:sectPr>
      </w:pP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7"/>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年    月   日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otham Book">
    <w:altName w:val="Calibri"/>
    <w:panose1 w:val="00000000000000000000"/>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2A01B"/>
    <w:multiLevelType w:val="singleLevel"/>
    <w:tmpl w:val="DFF2A01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A55C2"/>
    <w:rsid w:val="005E522A"/>
    <w:rsid w:val="0B3F7F31"/>
    <w:rsid w:val="0E4C4832"/>
    <w:rsid w:val="1CD64985"/>
    <w:rsid w:val="1EC36669"/>
    <w:rsid w:val="34803ADA"/>
    <w:rsid w:val="36F71110"/>
    <w:rsid w:val="378A55C2"/>
    <w:rsid w:val="38570D65"/>
    <w:rsid w:val="3AB26849"/>
    <w:rsid w:val="3E1D1B2F"/>
    <w:rsid w:val="588A0FA2"/>
    <w:rsid w:val="5DDF536C"/>
    <w:rsid w:val="5E122A91"/>
    <w:rsid w:val="613647E3"/>
    <w:rsid w:val="6571175B"/>
    <w:rsid w:val="6E6300F9"/>
    <w:rsid w:val="7C551907"/>
    <w:rsid w:val="7C7F6297"/>
    <w:rsid w:val="7CD9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afterLines="0" w:line="480" w:lineRule="auto"/>
      <w:ind w:left="420" w:leftChars="200"/>
    </w:pPr>
  </w:style>
  <w:style w:type="paragraph" w:customStyle="1" w:styleId="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annotation text"/>
    <w:basedOn w:val="1"/>
    <w:uiPriority w:val="0"/>
    <w:pPr>
      <w:jc w:val="left"/>
    </w:pPr>
  </w:style>
  <w:style w:type="paragraph" w:styleId="7">
    <w:name w:val="Body Text"/>
    <w:basedOn w:val="1"/>
    <w:next w:val="4"/>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2">
    <w:name w:val="List Paragraph"/>
    <w:basedOn w:val="1"/>
    <w:qFormat/>
    <w:uiPriority w:val="99"/>
    <w:pPr>
      <w:ind w:firstLine="420" w:firstLineChars="200"/>
    </w:p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GW-正文"/>
    <w:basedOn w:val="1"/>
    <w:qFormat/>
    <w:uiPriority w:val="0"/>
    <w:pPr>
      <w:spacing w:line="360" w:lineRule="auto"/>
      <w:ind w:firstLine="200" w:firstLineChars="200"/>
    </w:pPr>
    <w:rPr>
      <w:rFonts w:eastAsia="仿宋_GB2312"/>
      <w:sz w:val="24"/>
      <w:szCs w:val="24"/>
    </w:rPr>
  </w:style>
  <w:style w:type="character" w:customStyle="1" w:styleId="15">
    <w:name w:val="A7"/>
    <w:qFormat/>
    <w:uiPriority w:val="99"/>
    <w:rPr>
      <w:rFonts w:ascii="Gotham Book" w:hAnsi="Gotham Book" w:cs="Gotham Book"/>
      <w:color w:val="00000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2025-10-21T00:39:00Z</dcterms:created>
  <dc:creator>lxy</dc:creator>
  <cp:lastModifiedBy>lxy</cp:lastModifiedBy>
  <dcterms:modified xsi:type="dcterms:W3CDTF">2025-10-22T10:30:28Z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