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4FC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宋体"/>
          <w:color w:val="auto"/>
          <w:sz w:val="24"/>
          <w:szCs w:val="24"/>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r>
        <w:rPr>
          <w:rFonts w:hint="eastAsia" w:ascii="宋体" w:hAnsi="宋体" w:cs="宋体"/>
          <w:b/>
          <w:bCs/>
          <w:i w:val="0"/>
          <w:caps w:val="0"/>
          <w:color w:val="auto"/>
          <w:spacing w:val="0"/>
          <w:sz w:val="24"/>
          <w:szCs w:val="24"/>
          <w:shd w:val="clear" w:color="auto" w:fill="FFFFFF"/>
          <w:lang w:val="en-US" w:eastAsia="zh-CN"/>
        </w:rPr>
        <w:t>及评审办法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640E127C">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1.项目名称：晋阳院区总坪管线详勘与精确定位、总坪沉降原因分析与范围勘察服务</w:t>
      </w:r>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default"/>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，最高限价8万元。单价限价详见下表。</w:t>
      </w:r>
    </w:p>
    <w:p w14:paraId="68706515">
      <w:pPr>
        <w:bidi w:val="0"/>
        <w:spacing w:line="360" w:lineRule="auto"/>
        <w:outlineLvl w:val="1"/>
        <w:rPr>
          <w:rFonts w:hint="default" w:ascii="黑体" w:hAnsi="黑体" w:eastAsia="黑体" w:cs="Times New Roman"/>
          <w:b/>
          <w:bCs/>
          <w:color w:val="000000"/>
          <w:sz w:val="24"/>
          <w:szCs w:val="24"/>
          <w:vertAlign w:val="baseline"/>
          <w:lang w:val="en-US" w:eastAsia="zh-CN"/>
        </w:rPr>
      </w:pPr>
      <w:r>
        <w:rPr>
          <w:rFonts w:hint="eastAsia" w:ascii="宋体" w:hAnsi="宋体" w:eastAsia="宋体" w:cs="宋体"/>
          <w:b/>
          <w:bCs/>
          <w:sz w:val="24"/>
          <w:szCs w:val="24"/>
          <w:lang w:val="en-US" w:eastAsia="zh-CN"/>
        </w:rPr>
        <w:t>二、项目清单</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967"/>
        <w:gridCol w:w="2202"/>
        <w:gridCol w:w="2077"/>
      </w:tblGrid>
      <w:tr w14:paraId="5A8F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14:paraId="22B2FC7E">
            <w:pPr>
              <w:pStyle w:val="3"/>
              <w:ind w:firstLine="0"/>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序号</w:t>
            </w:r>
          </w:p>
        </w:tc>
        <w:tc>
          <w:tcPr>
            <w:tcW w:w="2967" w:type="dxa"/>
            <w:noWrap w:val="0"/>
            <w:vAlign w:val="top"/>
          </w:tcPr>
          <w:p w14:paraId="0254FF88">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项目内容</w:t>
            </w:r>
          </w:p>
        </w:tc>
        <w:tc>
          <w:tcPr>
            <w:tcW w:w="2202" w:type="dxa"/>
            <w:noWrap w:val="0"/>
            <w:vAlign w:val="top"/>
          </w:tcPr>
          <w:p w14:paraId="5A111A94">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单价限价</w:t>
            </w:r>
          </w:p>
        </w:tc>
        <w:tc>
          <w:tcPr>
            <w:tcW w:w="2077" w:type="dxa"/>
            <w:noWrap w:val="0"/>
            <w:vAlign w:val="top"/>
          </w:tcPr>
          <w:p w14:paraId="03604D51">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备注</w:t>
            </w:r>
          </w:p>
        </w:tc>
      </w:tr>
      <w:tr w14:paraId="59ED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2" w:type="dxa"/>
            <w:noWrap w:val="0"/>
            <w:vAlign w:val="top"/>
          </w:tcPr>
          <w:p w14:paraId="75A6BA25">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1</w:t>
            </w:r>
          </w:p>
        </w:tc>
        <w:tc>
          <w:tcPr>
            <w:tcW w:w="2967" w:type="dxa"/>
            <w:noWrap w:val="0"/>
            <w:vAlign w:val="top"/>
          </w:tcPr>
          <w:p w14:paraId="41881ACF">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管探</w:t>
            </w:r>
          </w:p>
        </w:tc>
        <w:tc>
          <w:tcPr>
            <w:tcW w:w="2202" w:type="dxa"/>
            <w:noWrap w:val="0"/>
            <w:vAlign w:val="top"/>
          </w:tcPr>
          <w:p w14:paraId="464E6E99">
            <w:pPr>
              <w:pStyle w:val="3"/>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2.7元/㎡</w:t>
            </w:r>
          </w:p>
        </w:tc>
        <w:tc>
          <w:tcPr>
            <w:tcW w:w="2077" w:type="dxa"/>
            <w:noWrap w:val="0"/>
            <w:vAlign w:val="top"/>
          </w:tcPr>
          <w:p w14:paraId="3B7F71E8">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据实结算</w:t>
            </w:r>
          </w:p>
        </w:tc>
      </w:tr>
      <w:tr w14:paraId="0037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14:paraId="0E9B67F9">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2</w:t>
            </w:r>
          </w:p>
        </w:tc>
        <w:tc>
          <w:tcPr>
            <w:tcW w:w="2967" w:type="dxa"/>
            <w:noWrap w:val="0"/>
            <w:vAlign w:val="top"/>
          </w:tcPr>
          <w:p w14:paraId="10EBC9A1">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钻孔</w:t>
            </w:r>
          </w:p>
        </w:tc>
        <w:tc>
          <w:tcPr>
            <w:tcW w:w="2202" w:type="dxa"/>
            <w:noWrap w:val="0"/>
            <w:vAlign w:val="center"/>
          </w:tcPr>
          <w:p w14:paraId="1A1BA423">
            <w:pPr>
              <w:pStyle w:val="3"/>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163元/米</w:t>
            </w:r>
          </w:p>
        </w:tc>
        <w:tc>
          <w:tcPr>
            <w:tcW w:w="2077" w:type="dxa"/>
            <w:noWrap w:val="0"/>
            <w:vAlign w:val="top"/>
          </w:tcPr>
          <w:p w14:paraId="589BE4E7">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据实结算</w:t>
            </w:r>
          </w:p>
        </w:tc>
      </w:tr>
      <w:tr w14:paraId="02BF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top"/>
          </w:tcPr>
          <w:p w14:paraId="438D5514">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3</w:t>
            </w:r>
          </w:p>
        </w:tc>
        <w:tc>
          <w:tcPr>
            <w:tcW w:w="2967" w:type="dxa"/>
            <w:noWrap w:val="0"/>
            <w:vAlign w:val="top"/>
          </w:tcPr>
          <w:p w14:paraId="4A314F9C">
            <w:pPr>
              <w:pStyle w:val="3"/>
              <w:ind w:firstLine="0"/>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土工试验和设备进出场费</w:t>
            </w:r>
          </w:p>
        </w:tc>
        <w:tc>
          <w:tcPr>
            <w:tcW w:w="2202" w:type="dxa"/>
            <w:noWrap w:val="0"/>
            <w:vAlign w:val="center"/>
          </w:tcPr>
          <w:p w14:paraId="51F4C468">
            <w:pPr>
              <w:pStyle w:val="3"/>
              <w:jc w:val="center"/>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3000元</w:t>
            </w:r>
          </w:p>
        </w:tc>
        <w:tc>
          <w:tcPr>
            <w:tcW w:w="2077" w:type="dxa"/>
            <w:noWrap w:val="0"/>
            <w:vAlign w:val="top"/>
          </w:tcPr>
          <w:p w14:paraId="3B8A33ED">
            <w:pPr>
              <w:pStyle w:val="3"/>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包干价</w:t>
            </w:r>
          </w:p>
        </w:tc>
      </w:tr>
    </w:tbl>
    <w:p w14:paraId="350EF376">
      <w:pPr>
        <w:pStyle w:val="2"/>
        <w:rPr>
          <w:rFonts w:hint="eastAsia"/>
          <w:lang w:val="en-US" w:eastAsia="zh-CN"/>
        </w:rPr>
      </w:pPr>
    </w:p>
    <w:p w14:paraId="4024452E">
      <w:pPr>
        <w:spacing w:line="360" w:lineRule="auto"/>
        <w:outlineLvl w:val="1"/>
        <w:rPr>
          <w:rFonts w:hint="eastAsia"/>
          <w:lang w:val="en-US" w:eastAsia="zh-CN"/>
        </w:rPr>
      </w:pPr>
      <w:r>
        <w:rPr>
          <w:rFonts w:hint="eastAsia" w:ascii="宋体" w:hAnsi="宋体" w:cs="宋体"/>
          <w:b w:val="0"/>
          <w:bCs w:val="0"/>
          <w:sz w:val="24"/>
          <w:szCs w:val="24"/>
          <w:lang w:val="en-US" w:eastAsia="zh-CN"/>
        </w:rPr>
        <w:t>★</w:t>
      </w:r>
      <w:bookmarkStart w:id="0" w:name="_GoBack"/>
      <w:bookmarkEnd w:id="0"/>
      <w:r>
        <w:rPr>
          <w:rFonts w:hint="eastAsia" w:ascii="宋体" w:hAnsi="宋体" w:cs="宋体"/>
          <w:b/>
          <w:bCs/>
          <w:sz w:val="24"/>
          <w:szCs w:val="24"/>
          <w:lang w:val="en-US" w:eastAsia="zh-CN"/>
        </w:rPr>
        <w:t>三、技术</w:t>
      </w:r>
      <w:r>
        <w:rPr>
          <w:rFonts w:hint="eastAsia" w:ascii="宋体" w:hAnsi="宋体" w:eastAsia="宋体" w:cs="宋体"/>
          <w:b/>
          <w:bCs/>
          <w:sz w:val="24"/>
          <w:szCs w:val="24"/>
          <w:lang w:val="en-US" w:eastAsia="zh-CN"/>
        </w:rPr>
        <w:t>要求</w:t>
      </w:r>
    </w:p>
    <w:p w14:paraId="560286F1">
      <w:pPr>
        <w:pStyle w:val="3"/>
        <w:numPr>
          <w:ilvl w:val="0"/>
          <w:numId w:val="3"/>
        </w:numPr>
        <w:spacing w:line="360" w:lineRule="auto"/>
        <w:ind w:left="0" w:leftChars="0"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管线详勘与精确定位:</w:t>
      </w:r>
    </w:p>
    <w:p w14:paraId="25468BAA">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物探扫描: 使用专业地下管线探测仪(电磁法、地质雷达等)对总坪管线进行全覆盖、高精度扫描，标识所有已知和未知管线的类型、材质、走向、埋深。</w:t>
      </w:r>
    </w:p>
    <w:p w14:paraId="4259BDBF">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人工探挖验证:在物探结果存疑或关键节点(如管线交叉、转弯、接口处、化粪池边缘)，进行人工探槽(小范围、小心开挖)，精确核实管线位置、深度、状态(尤其关注老旧、脆弱管线)。探挖后做好标记和保护。</w:t>
      </w:r>
    </w:p>
    <w:p w14:paraId="6122F6F3">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建立管线数据库:将探测结果精确标注在施工图上，形成“管线风险分布图”明确标识高危区域(如氧气管道、电缆、化粪池附近)。</w:t>
      </w:r>
    </w:p>
    <w:p w14:paraId="2FA317EC">
      <w:pPr>
        <w:pStyle w:val="3"/>
        <w:numPr>
          <w:ilvl w:val="0"/>
          <w:numId w:val="3"/>
        </w:numPr>
        <w:spacing w:line="360" w:lineRule="auto"/>
        <w:ind w:left="0" w:leftChars="0"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沉降原因与范围勘察:</w:t>
      </w:r>
    </w:p>
    <w:p w14:paraId="06B45FC3">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钻孔勘探:在沉降区域选择代表性位置(避开已知管线密集区)，进行小口径地质钻探(2-3 个孔)，深度需穿透沉降土层(&gt;10 米)，取土样分析。</w:t>
      </w:r>
    </w:p>
    <w:p w14:paraId="2DBBFF93">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土工试验: 分析回填土类型(是否为杂填土、素填土,)、密实度、含水量、压缩性等，明确沉降主因(压实不足，浸水软化）。</w:t>
      </w:r>
    </w:p>
    <w:p w14:paraId="1955D444">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沉降范围界定: 详细测量地面裂缝走向、宽度、深度，结合钻探结果，评估沉降影响深度和水平范围。</w:t>
      </w:r>
    </w:p>
    <w:p w14:paraId="64C8B2D2">
      <w:pPr>
        <w:pStyle w:val="3"/>
        <w:numPr>
          <w:ilvl w:val="0"/>
          <w:numId w:val="3"/>
        </w:numPr>
        <w:spacing w:line="360" w:lineRule="auto"/>
        <w:ind w:left="0" w:leftChars="0"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方案细化与审批:</w:t>
      </w:r>
    </w:p>
    <w:p w14:paraId="4D3143EF">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根据勘察结果，细化灌浆参数(压力、浆液配比、孔距、排距、深度)、回填材料选择、具体保护措施。</w:t>
      </w:r>
    </w:p>
    <w:p w14:paraId="1B755982">
      <w:pPr>
        <w:pStyle w:val="3"/>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编制详细的《专项施工方案》及《应急预案》(重点考虑管线破坏、漏浆、塌孔等风险)，组织专家论证，报相关部门审批。</w:t>
      </w:r>
    </w:p>
    <w:p w14:paraId="2A0D4CBF">
      <w:pPr>
        <w:pStyle w:val="3"/>
        <w:numPr>
          <w:ilvl w:val="0"/>
          <w:numId w:val="3"/>
        </w:numPr>
        <w:spacing w:line="360" w:lineRule="auto"/>
        <w:ind w:left="0" w:leftChars="0"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协助采购人管理和指导沉降治理施工。</w:t>
      </w:r>
    </w:p>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四</w:t>
      </w:r>
      <w:r>
        <w:rPr>
          <w:rFonts w:hint="eastAsia" w:ascii="宋体" w:hAnsi="宋体" w:eastAsia="宋体" w:cs="宋体"/>
          <w:b/>
          <w:bCs/>
          <w:sz w:val="24"/>
          <w:szCs w:val="24"/>
          <w:lang w:val="en-US" w:eastAsia="zh-CN"/>
        </w:rPr>
        <w:t>、商务要求</w:t>
      </w:r>
    </w:p>
    <w:p w14:paraId="5DE24185">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1.服务期限：合同签订后10日内完成晋阳院区总坪管线详勘与精确定位、总坪沉降原因分析与范围勘察并提交成果资料。</w:t>
      </w:r>
    </w:p>
    <w:p w14:paraId="164866E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2.服务地点：成都市武侯区沙堰西二街290号</w:t>
      </w:r>
    </w:p>
    <w:p w14:paraId="30BF2E0D">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付款条件：完成晋阳院区总坪管线详勘与精确定位、总坪沉降原因分析与范围勘察并提交成果资料（成果资料含图纸、报告、方案，要求详见技术要求，各电子版1份、纸质1份），经采购人确认并验收合格后，根据实际工作量结算，结算金额不应超过本项目预算金额。向采购人提交支付申请书（含费用计算明细、增值税专用发票），采购人收到支付申请书后30个工作日内支付，因供应商提交支付申请书资料不齐全或存在错误，支付时间相应顺延,采购人不承担责任。</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42958B8E">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5"/>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05"/>
        <w:gridCol w:w="863"/>
        <w:gridCol w:w="4217"/>
        <w:gridCol w:w="1341"/>
      </w:tblGrid>
      <w:tr w14:paraId="1944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32" w:type="dxa"/>
            <w:noWrap w:val="0"/>
            <w:vAlign w:val="center"/>
          </w:tcPr>
          <w:p w14:paraId="452078E5">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序号</w:t>
            </w:r>
          </w:p>
        </w:tc>
        <w:tc>
          <w:tcPr>
            <w:tcW w:w="1405" w:type="dxa"/>
            <w:noWrap w:val="0"/>
            <w:vAlign w:val="center"/>
          </w:tcPr>
          <w:p w14:paraId="08D0EFB9">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评分因素</w:t>
            </w:r>
          </w:p>
        </w:tc>
        <w:tc>
          <w:tcPr>
            <w:tcW w:w="863" w:type="dxa"/>
            <w:noWrap w:val="0"/>
            <w:vAlign w:val="center"/>
          </w:tcPr>
          <w:p w14:paraId="74EC8811">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000000"/>
                <w:sz w:val="22"/>
                <w:szCs w:val="22"/>
                <w:vertAlign w:val="baseline"/>
                <w:lang w:val="en-US" w:eastAsia="zh-CN"/>
              </w:rPr>
            </w:pPr>
            <w:r>
              <w:rPr>
                <w:rFonts w:hint="eastAsia" w:ascii="宋体" w:hAnsi="宋体" w:eastAsia="宋体" w:cs="宋体"/>
                <w:b/>
                <w:bCs w:val="0"/>
                <w:color w:val="auto"/>
                <w:sz w:val="22"/>
                <w:szCs w:val="22"/>
                <w:highlight w:val="none"/>
              </w:rPr>
              <w:t>分值</w:t>
            </w:r>
          </w:p>
        </w:tc>
        <w:tc>
          <w:tcPr>
            <w:tcW w:w="4217" w:type="dxa"/>
            <w:noWrap w:val="0"/>
            <w:vAlign w:val="center"/>
          </w:tcPr>
          <w:p w14:paraId="63B7A06A">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rPr>
              <w:t>评分标准</w:t>
            </w:r>
          </w:p>
        </w:tc>
        <w:tc>
          <w:tcPr>
            <w:tcW w:w="1341" w:type="dxa"/>
            <w:noWrap w:val="0"/>
            <w:vAlign w:val="center"/>
          </w:tcPr>
          <w:p w14:paraId="62E0DF0D">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主/客观分</w:t>
            </w:r>
          </w:p>
        </w:tc>
      </w:tr>
      <w:tr w14:paraId="5A36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832" w:type="dxa"/>
            <w:noWrap w:val="0"/>
            <w:vAlign w:val="center"/>
          </w:tcPr>
          <w:p w14:paraId="5A5D26D2">
            <w:pPr>
              <w:spacing w:line="400" w:lineRule="exact"/>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1</w:t>
            </w:r>
          </w:p>
        </w:tc>
        <w:tc>
          <w:tcPr>
            <w:tcW w:w="1405" w:type="dxa"/>
            <w:noWrap w:val="0"/>
            <w:vAlign w:val="center"/>
          </w:tcPr>
          <w:p w14:paraId="63965DF4">
            <w:pPr>
              <w:jc w:val="center"/>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rPr>
              <w:t>报价</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30%</w:t>
            </w:r>
          </w:p>
        </w:tc>
        <w:tc>
          <w:tcPr>
            <w:tcW w:w="863" w:type="dxa"/>
            <w:noWrap w:val="0"/>
            <w:vAlign w:val="center"/>
          </w:tcPr>
          <w:p w14:paraId="40396A78">
            <w:pPr>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分</w:t>
            </w:r>
          </w:p>
        </w:tc>
        <w:tc>
          <w:tcPr>
            <w:tcW w:w="4217" w:type="dxa"/>
            <w:noWrap w:val="0"/>
            <w:vAlign w:val="center"/>
          </w:tcPr>
          <w:p w14:paraId="147108F7">
            <w:pPr>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经评审委员会评审，通过资格性和符合性审查的投标人，投标报下浮率。按下浮后比例计算得分，以本次有效的最低投标报价(1-最大下浮率)为基准价，其价格分为满分30分。其他供应商的投标报价得分=[基准价/(1-下浮率)]x30分。</w:t>
            </w:r>
          </w:p>
        </w:tc>
        <w:tc>
          <w:tcPr>
            <w:tcW w:w="1341" w:type="dxa"/>
            <w:noWrap w:val="0"/>
            <w:vAlign w:val="center"/>
          </w:tcPr>
          <w:p w14:paraId="176B883C">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2589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32" w:type="dxa"/>
            <w:noWrap w:val="0"/>
            <w:vAlign w:val="center"/>
          </w:tcPr>
          <w:p w14:paraId="4847AA2F">
            <w:pPr>
              <w:spacing w:line="400" w:lineRule="exact"/>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2</w:t>
            </w:r>
          </w:p>
        </w:tc>
        <w:tc>
          <w:tcPr>
            <w:tcW w:w="1405" w:type="dxa"/>
            <w:noWrap w:val="0"/>
            <w:vAlign w:val="center"/>
          </w:tcPr>
          <w:p w14:paraId="7566A060">
            <w:pPr>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业绩</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18%</w:t>
            </w:r>
          </w:p>
        </w:tc>
        <w:tc>
          <w:tcPr>
            <w:tcW w:w="863" w:type="dxa"/>
            <w:noWrap w:val="0"/>
            <w:vAlign w:val="center"/>
          </w:tcPr>
          <w:p w14:paraId="30D6AC9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18分</w:t>
            </w:r>
          </w:p>
        </w:tc>
        <w:tc>
          <w:tcPr>
            <w:tcW w:w="4217" w:type="dxa"/>
            <w:noWrap w:val="0"/>
            <w:vAlign w:val="center"/>
          </w:tcPr>
          <w:p w14:paraId="5C33DAE6">
            <w:pPr>
              <w:spacing w:line="360" w:lineRule="auto"/>
              <w:rPr>
                <w:rFonts w:hint="eastAsia" w:ascii="宋体" w:hAnsi="宋体" w:eastAsia="宋体" w:cs="宋体"/>
                <w:sz w:val="21"/>
                <w:szCs w:val="21"/>
              </w:rPr>
            </w:pPr>
            <w:r>
              <w:rPr>
                <w:rFonts w:hint="eastAsia" w:ascii="宋体" w:hAnsi="宋体" w:eastAsia="宋体" w:cs="宋体"/>
                <w:sz w:val="21"/>
                <w:szCs w:val="21"/>
              </w:rPr>
              <w:t>1.在满足“资格条件”的基础上，每提供一个近 3 年（2022 年 1月 1 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w:t>
            </w:r>
            <w:r>
              <w:rPr>
                <w:rFonts w:hint="eastAsia" w:ascii="宋体" w:hAnsi="宋体" w:eastAsia="宋体" w:cs="宋体"/>
                <w:sz w:val="21"/>
                <w:szCs w:val="21"/>
                <w:lang w:eastAsia="zh-CN"/>
              </w:rPr>
              <w:t>）</w:t>
            </w:r>
            <w:r>
              <w:rPr>
                <w:rFonts w:hint="eastAsia" w:ascii="宋体" w:hAnsi="宋体" w:eastAsia="宋体" w:cs="宋体"/>
                <w:sz w:val="21"/>
                <w:szCs w:val="21"/>
              </w:rPr>
              <w:t>至投标截止日）勘察工程的类似业绩得3 分，最多得 9分；</w:t>
            </w:r>
          </w:p>
          <w:p w14:paraId="64356BC8">
            <w:pPr>
              <w:spacing w:line="360" w:lineRule="auto"/>
              <w:rPr>
                <w:rFonts w:hint="eastAsia" w:ascii="宋体" w:hAnsi="宋体" w:eastAsia="宋体" w:cs="宋体"/>
                <w:sz w:val="21"/>
                <w:szCs w:val="21"/>
              </w:rPr>
            </w:pPr>
            <w:r>
              <w:rPr>
                <w:rFonts w:hint="eastAsia" w:ascii="宋体" w:hAnsi="宋体" w:eastAsia="宋体" w:cs="宋体"/>
                <w:sz w:val="21"/>
                <w:szCs w:val="21"/>
              </w:rPr>
              <w:t>2.在满足“资格条件”的基础上，每提供一个近 3 年（2022 年 1月 1 日至投标截止日）管线探测的类似业绩得3分，最多得9分。</w:t>
            </w:r>
          </w:p>
          <w:p w14:paraId="77CE1BCB">
            <w:pPr>
              <w:rPr>
                <w:rFonts w:hint="eastAsia" w:ascii="宋体" w:hAnsi="宋体" w:eastAsia="宋体" w:cs="宋体"/>
                <w:color w:val="auto"/>
                <w:sz w:val="21"/>
                <w:szCs w:val="21"/>
              </w:rPr>
            </w:pPr>
            <w:r>
              <w:rPr>
                <w:rFonts w:hint="eastAsia" w:ascii="宋体" w:hAnsi="宋体" w:eastAsia="宋体" w:cs="宋体"/>
                <w:sz w:val="21"/>
                <w:szCs w:val="21"/>
              </w:rPr>
              <w:t>（提供业绩合同关键页扫描件并加盖公章，关键页须体现合同签订双方名称、采购内容、签订时间、签字盖章等关键信息，时间以合同签订日期为准）。</w:t>
            </w:r>
          </w:p>
        </w:tc>
        <w:tc>
          <w:tcPr>
            <w:tcW w:w="1341" w:type="dxa"/>
            <w:noWrap w:val="0"/>
            <w:vAlign w:val="center"/>
          </w:tcPr>
          <w:p w14:paraId="7B965580">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lang w:val="en-US" w:eastAsia="zh-CN"/>
              </w:rPr>
              <w:t>客观</w:t>
            </w:r>
          </w:p>
        </w:tc>
      </w:tr>
      <w:tr w14:paraId="2272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32" w:type="dxa"/>
            <w:noWrap w:val="0"/>
            <w:vAlign w:val="center"/>
          </w:tcPr>
          <w:p w14:paraId="5156228A">
            <w:pPr>
              <w:spacing w:line="400" w:lineRule="exact"/>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3</w:t>
            </w:r>
          </w:p>
        </w:tc>
        <w:tc>
          <w:tcPr>
            <w:tcW w:w="1405" w:type="dxa"/>
            <w:noWrap w:val="0"/>
            <w:vAlign w:val="center"/>
          </w:tcPr>
          <w:p w14:paraId="2253A7B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项目负责人</w:t>
            </w:r>
            <w:r>
              <w:rPr>
                <w:rFonts w:hint="eastAsia" w:ascii="宋体" w:hAnsi="宋体" w:eastAsia="宋体" w:cs="宋体"/>
                <w:sz w:val="21"/>
                <w:szCs w:val="21"/>
                <w:lang w:val="en-US" w:eastAsia="zh-CN"/>
              </w:rPr>
              <w:t>12%</w:t>
            </w:r>
          </w:p>
        </w:tc>
        <w:tc>
          <w:tcPr>
            <w:tcW w:w="863" w:type="dxa"/>
            <w:noWrap w:val="0"/>
            <w:vAlign w:val="center"/>
          </w:tcPr>
          <w:p w14:paraId="0CDD6C4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分</w:t>
            </w:r>
          </w:p>
        </w:tc>
        <w:tc>
          <w:tcPr>
            <w:tcW w:w="4217" w:type="dxa"/>
            <w:noWrap w:val="0"/>
            <w:vAlign w:val="center"/>
          </w:tcPr>
          <w:p w14:paraId="739B9220">
            <w:pPr>
              <w:spacing w:line="360" w:lineRule="auto"/>
              <w:rPr>
                <w:rFonts w:hint="eastAsia" w:ascii="宋体" w:hAnsi="宋体" w:eastAsia="宋体" w:cs="宋体"/>
                <w:sz w:val="21"/>
                <w:szCs w:val="21"/>
              </w:rPr>
            </w:pPr>
            <w:r>
              <w:rPr>
                <w:rFonts w:hint="eastAsia" w:ascii="宋体" w:hAnsi="宋体" w:eastAsia="宋体" w:cs="宋体"/>
                <w:sz w:val="21"/>
                <w:szCs w:val="21"/>
              </w:rPr>
              <w:t>1.项目负责人具有岩土工程或工程地质与水文地质或工程测量的高级工程师及以上职称得6分；</w:t>
            </w:r>
          </w:p>
          <w:p w14:paraId="67CFEF8E">
            <w:pPr>
              <w:pStyle w:val="2"/>
              <w:rPr>
                <w:rFonts w:hint="eastAsia" w:ascii="宋体" w:hAnsi="宋体" w:eastAsia="宋体" w:cs="宋体"/>
                <w:color w:val="auto"/>
                <w:sz w:val="21"/>
                <w:szCs w:val="21"/>
              </w:rPr>
            </w:pPr>
            <w:r>
              <w:rPr>
                <w:rFonts w:hint="eastAsia" w:ascii="宋体" w:hAnsi="宋体" w:eastAsia="宋体" w:cs="宋体"/>
                <w:sz w:val="21"/>
                <w:szCs w:val="21"/>
              </w:rPr>
              <w:t>2.项目技术负责人具有岩土工程或工程地质与水文地质或工程测量的高级工程师及以上职称得6分。（提供职称证书复印件及 2025 年 1 月至投标截止日的前 1 个月的社保缴纳记录并加盖公章）</w:t>
            </w:r>
          </w:p>
        </w:tc>
        <w:tc>
          <w:tcPr>
            <w:tcW w:w="1341" w:type="dxa"/>
            <w:noWrap w:val="0"/>
            <w:vAlign w:val="center"/>
          </w:tcPr>
          <w:p w14:paraId="40E80E0D">
            <w:pPr>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客观</w:t>
            </w:r>
          </w:p>
        </w:tc>
      </w:tr>
      <w:tr w14:paraId="2A8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832" w:type="dxa"/>
            <w:noWrap w:val="0"/>
            <w:vAlign w:val="center"/>
          </w:tcPr>
          <w:p w14:paraId="6FF48411">
            <w:pPr>
              <w:spacing w:line="400" w:lineRule="exact"/>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4</w:t>
            </w:r>
          </w:p>
        </w:tc>
        <w:tc>
          <w:tcPr>
            <w:tcW w:w="1405" w:type="dxa"/>
            <w:shd w:val="clear" w:color="auto" w:fill="auto"/>
            <w:noWrap w:val="0"/>
            <w:vAlign w:val="center"/>
          </w:tcPr>
          <w:p w14:paraId="7E397127">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勘察方案</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20%</w:t>
            </w:r>
          </w:p>
        </w:tc>
        <w:tc>
          <w:tcPr>
            <w:tcW w:w="863" w:type="dxa"/>
            <w:shd w:val="clear" w:color="auto" w:fill="auto"/>
            <w:noWrap w:val="0"/>
            <w:vAlign w:val="center"/>
          </w:tcPr>
          <w:p w14:paraId="012E446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分</w:t>
            </w:r>
          </w:p>
        </w:tc>
        <w:tc>
          <w:tcPr>
            <w:tcW w:w="4217" w:type="dxa"/>
            <w:noWrap w:val="0"/>
            <w:vAlign w:val="center"/>
          </w:tcPr>
          <w:p w14:paraId="26B1ADCD">
            <w:pPr>
              <w:numPr>
                <w:ilvl w:val="0"/>
                <w:numId w:val="0"/>
              </w:numPr>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sz w:val="21"/>
                <w:szCs w:val="21"/>
              </w:rPr>
              <w:t>根据勘察范围、内容、依据、工作目标等内容的全面性、合理性、科学性、针对性酌情评分，满分20分。</w:t>
            </w:r>
          </w:p>
        </w:tc>
        <w:tc>
          <w:tcPr>
            <w:tcW w:w="1341" w:type="dxa"/>
            <w:noWrap w:val="0"/>
            <w:vAlign w:val="center"/>
          </w:tcPr>
          <w:p w14:paraId="7184518E">
            <w:pPr>
              <w:jc w:val="center"/>
              <w:rPr>
                <w:rFonts w:hint="eastAsia" w:ascii="宋体" w:hAnsi="宋体" w:eastAsia="宋体" w:cs="宋体"/>
                <w:b w:val="0"/>
                <w:bCs/>
                <w:color w:val="auto"/>
                <w:sz w:val="21"/>
                <w:szCs w:val="21"/>
                <w:highlight w:val="none"/>
              </w:rPr>
            </w:pPr>
            <w:r>
              <w:rPr>
                <w:rFonts w:hint="eastAsia" w:ascii="宋体" w:hAnsi="宋体" w:eastAsia="宋体" w:cs="宋体"/>
                <w:bCs/>
                <w:sz w:val="21"/>
                <w:szCs w:val="21"/>
                <w:lang w:val="en-US" w:eastAsia="zh-CN"/>
              </w:rPr>
              <w:t>主观</w:t>
            </w:r>
          </w:p>
        </w:tc>
      </w:tr>
      <w:tr w14:paraId="24FA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832" w:type="dxa"/>
            <w:noWrap w:val="0"/>
            <w:vAlign w:val="center"/>
          </w:tcPr>
          <w:p w14:paraId="6252BE4A">
            <w:pPr>
              <w:spacing w:line="400" w:lineRule="exact"/>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1405" w:type="dxa"/>
            <w:noWrap w:val="0"/>
            <w:vAlign w:val="center"/>
          </w:tcPr>
          <w:p w14:paraId="7DEEF548">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管线探测方案</w:t>
            </w:r>
            <w:r>
              <w:rPr>
                <w:rFonts w:hint="eastAsia" w:ascii="宋体" w:hAnsi="宋体" w:eastAsia="宋体" w:cs="宋体"/>
                <w:sz w:val="21"/>
                <w:szCs w:val="21"/>
                <w:lang w:val="en-US" w:eastAsia="zh-CN"/>
              </w:rPr>
              <w:t>20%</w:t>
            </w:r>
          </w:p>
        </w:tc>
        <w:tc>
          <w:tcPr>
            <w:tcW w:w="863" w:type="dxa"/>
            <w:noWrap w:val="0"/>
            <w:vAlign w:val="center"/>
          </w:tcPr>
          <w:p w14:paraId="0D07958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分</w:t>
            </w:r>
          </w:p>
        </w:tc>
        <w:tc>
          <w:tcPr>
            <w:tcW w:w="4217" w:type="dxa"/>
            <w:noWrap w:val="0"/>
            <w:vAlign w:val="center"/>
          </w:tcPr>
          <w:p w14:paraId="70D04659">
            <w:pPr>
              <w:spacing w:line="360" w:lineRule="auto"/>
              <w:rPr>
                <w:rFonts w:hint="eastAsia" w:ascii="宋体" w:hAnsi="宋体" w:eastAsia="宋体" w:cs="宋体"/>
                <w:color w:val="auto"/>
                <w:sz w:val="21"/>
                <w:szCs w:val="21"/>
              </w:rPr>
            </w:pPr>
            <w:r>
              <w:rPr>
                <w:rFonts w:hint="eastAsia" w:ascii="宋体" w:hAnsi="宋体" w:eastAsia="宋体" w:cs="宋体"/>
                <w:sz w:val="21"/>
                <w:szCs w:val="21"/>
              </w:rPr>
              <w:t>根据管线探测方案的全面性、合理性、科学性、针对性酌情评分，满分20分。</w:t>
            </w:r>
          </w:p>
        </w:tc>
        <w:tc>
          <w:tcPr>
            <w:tcW w:w="1341" w:type="dxa"/>
            <w:noWrap w:val="0"/>
            <w:vAlign w:val="center"/>
          </w:tcPr>
          <w:p w14:paraId="5574218B">
            <w:pPr>
              <w:jc w:val="center"/>
              <w:rPr>
                <w:rFonts w:hint="eastAsia" w:ascii="宋体" w:hAnsi="宋体" w:eastAsia="宋体" w:cs="宋体"/>
                <w:b w:val="0"/>
                <w:bCs/>
                <w:color w:val="auto"/>
                <w:sz w:val="21"/>
                <w:szCs w:val="21"/>
                <w:highlight w:val="none"/>
              </w:rPr>
            </w:pPr>
            <w:r>
              <w:rPr>
                <w:rFonts w:hint="eastAsia" w:ascii="宋体" w:hAnsi="宋体" w:eastAsia="宋体" w:cs="宋体"/>
                <w:bCs/>
                <w:sz w:val="21"/>
                <w:szCs w:val="21"/>
                <w:lang w:val="en-US" w:eastAsia="zh-CN"/>
              </w:rPr>
              <w:t>主观</w:t>
            </w: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1"/>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1"/>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1"/>
        <w:tblW w:w="82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2065"/>
        <w:gridCol w:w="2202"/>
        <w:gridCol w:w="1380"/>
        <w:gridCol w:w="1845"/>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96" w:type="dxa"/>
            <w:vAlign w:val="top"/>
          </w:tcPr>
          <w:p w14:paraId="3466F747">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序号</w:t>
            </w:r>
          </w:p>
        </w:tc>
        <w:tc>
          <w:tcPr>
            <w:tcW w:w="2065" w:type="dxa"/>
            <w:vAlign w:val="top"/>
          </w:tcPr>
          <w:p w14:paraId="23692452">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项目内容</w:t>
            </w:r>
          </w:p>
        </w:tc>
        <w:tc>
          <w:tcPr>
            <w:tcW w:w="2202" w:type="dxa"/>
            <w:shd w:val="clear"/>
            <w:vAlign w:val="top"/>
          </w:tcPr>
          <w:p w14:paraId="5C7490D9">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单价限价</w:t>
            </w:r>
          </w:p>
        </w:tc>
        <w:tc>
          <w:tcPr>
            <w:tcW w:w="1380" w:type="dxa"/>
            <w:vAlign w:val="top"/>
          </w:tcPr>
          <w:p w14:paraId="7AF476A5">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报价（元）</w:t>
            </w:r>
          </w:p>
        </w:tc>
        <w:tc>
          <w:tcPr>
            <w:tcW w:w="1845" w:type="dxa"/>
            <w:vAlign w:val="top"/>
          </w:tcPr>
          <w:p w14:paraId="23D80D70">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96" w:type="dxa"/>
            <w:vAlign w:val="top"/>
          </w:tcPr>
          <w:p w14:paraId="13FF5E04">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065" w:type="dxa"/>
            <w:shd w:val="clear" w:color="auto" w:fill="FFFFFF" w:themeFill="background1"/>
            <w:vAlign w:val="top"/>
          </w:tcPr>
          <w:p w14:paraId="69A1D446">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管探</w:t>
            </w:r>
          </w:p>
        </w:tc>
        <w:tc>
          <w:tcPr>
            <w:tcW w:w="2202" w:type="dxa"/>
            <w:shd w:val="clear"/>
            <w:vAlign w:val="top"/>
          </w:tcPr>
          <w:p w14:paraId="2930A427">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2.7元/㎡</w:t>
            </w:r>
          </w:p>
        </w:tc>
        <w:tc>
          <w:tcPr>
            <w:tcW w:w="1380" w:type="dxa"/>
            <w:shd w:val="clear" w:color="auto" w:fill="FFFFFF" w:themeFill="background1"/>
            <w:vAlign w:val="center"/>
          </w:tcPr>
          <w:p w14:paraId="6F88BF3A">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845" w:type="dxa"/>
            <w:shd w:val="clear"/>
            <w:vAlign w:val="top"/>
          </w:tcPr>
          <w:p w14:paraId="4987E0C3">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据实结算</w:t>
            </w:r>
          </w:p>
        </w:tc>
      </w:tr>
      <w:tr w14:paraId="3353C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96" w:type="dxa"/>
            <w:vAlign w:val="top"/>
          </w:tcPr>
          <w:p w14:paraId="068A7591">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065" w:type="dxa"/>
            <w:shd w:val="clear" w:color="auto" w:fill="FFFFFF" w:themeFill="background1"/>
            <w:vAlign w:val="top"/>
          </w:tcPr>
          <w:p w14:paraId="343820E8">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钻孔</w:t>
            </w:r>
          </w:p>
        </w:tc>
        <w:tc>
          <w:tcPr>
            <w:tcW w:w="2202" w:type="dxa"/>
            <w:shd w:val="clear"/>
            <w:vAlign w:val="center"/>
          </w:tcPr>
          <w:p w14:paraId="61B9109F">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163元/米</w:t>
            </w:r>
          </w:p>
        </w:tc>
        <w:tc>
          <w:tcPr>
            <w:tcW w:w="1380" w:type="dxa"/>
            <w:shd w:val="clear" w:color="auto" w:fill="FFFFFF" w:themeFill="background1"/>
            <w:vAlign w:val="center"/>
          </w:tcPr>
          <w:p w14:paraId="01AF6739">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845" w:type="dxa"/>
            <w:shd w:val="clear"/>
            <w:vAlign w:val="top"/>
          </w:tcPr>
          <w:p w14:paraId="4590C32E">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据实结算</w:t>
            </w:r>
          </w:p>
        </w:tc>
      </w:tr>
      <w:tr w14:paraId="1C0E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96" w:type="dxa"/>
            <w:vAlign w:val="top"/>
          </w:tcPr>
          <w:p w14:paraId="2F663724">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065" w:type="dxa"/>
            <w:shd w:val="clear" w:color="auto" w:fill="FFFFFF" w:themeFill="background1"/>
            <w:vAlign w:val="top"/>
          </w:tcPr>
          <w:p w14:paraId="3E856A7B">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土工试验和设备进出场费</w:t>
            </w:r>
          </w:p>
        </w:tc>
        <w:tc>
          <w:tcPr>
            <w:tcW w:w="2202" w:type="dxa"/>
            <w:shd w:val="clear"/>
            <w:vAlign w:val="center"/>
          </w:tcPr>
          <w:p w14:paraId="653598FD">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3000元</w:t>
            </w:r>
          </w:p>
        </w:tc>
        <w:tc>
          <w:tcPr>
            <w:tcW w:w="1380" w:type="dxa"/>
            <w:shd w:val="clear" w:color="auto" w:fill="FFFFFF" w:themeFill="background1"/>
            <w:vAlign w:val="center"/>
          </w:tcPr>
          <w:p w14:paraId="5CEF14B1">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p>
        </w:tc>
        <w:tc>
          <w:tcPr>
            <w:tcW w:w="1845" w:type="dxa"/>
            <w:shd w:val="clear"/>
            <w:vAlign w:val="top"/>
          </w:tcPr>
          <w:p w14:paraId="539CCF04">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包干价</w:t>
            </w:r>
          </w:p>
        </w:tc>
      </w:tr>
    </w:tbl>
    <w:p w14:paraId="09FECA4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4"/>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5"/>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7"/>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2"/>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09FFF5D3">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2"/>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2"/>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4"/>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2"/>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2"/>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6"/>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6"/>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6"/>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3"/>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8"/>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10EECAEC"/>
    <w:multiLevelType w:val="singleLevel"/>
    <w:tmpl w:val="10EECAEC"/>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7F09312"/>
    <w:multiLevelType w:val="singleLevel"/>
    <w:tmpl w:val="77F09312"/>
    <w:lvl w:ilvl="0" w:tentative="0">
      <w:start w:val="1"/>
      <w:numFmt w:val="decimal"/>
      <w:suff w:val="nothing"/>
      <w:lvlText w:val="%1．"/>
      <w:lvlJc w:val="left"/>
      <w:pPr>
        <w:ind w:left="0" w:firstLine="400"/>
      </w:pPr>
      <w:rPr>
        <w:rFonts w:hint="default" w:ascii="黑体" w:hAnsi="黑体" w:eastAsia="黑体" w:cs="黑体"/>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311D17"/>
    <w:rsid w:val="01B62F5C"/>
    <w:rsid w:val="01FE6BD3"/>
    <w:rsid w:val="02554005"/>
    <w:rsid w:val="02A9126A"/>
    <w:rsid w:val="02FE6776"/>
    <w:rsid w:val="04865C14"/>
    <w:rsid w:val="04B7134B"/>
    <w:rsid w:val="0A325E03"/>
    <w:rsid w:val="0BF65853"/>
    <w:rsid w:val="0E2A3E4A"/>
    <w:rsid w:val="0FC95E75"/>
    <w:rsid w:val="0FF878BE"/>
    <w:rsid w:val="110F482C"/>
    <w:rsid w:val="121A7943"/>
    <w:rsid w:val="12EF6816"/>
    <w:rsid w:val="13F910D3"/>
    <w:rsid w:val="14C02123"/>
    <w:rsid w:val="150B2214"/>
    <w:rsid w:val="19503EFC"/>
    <w:rsid w:val="1ACC214E"/>
    <w:rsid w:val="1C831556"/>
    <w:rsid w:val="1FEA0D76"/>
    <w:rsid w:val="20D451E9"/>
    <w:rsid w:val="22297D19"/>
    <w:rsid w:val="2239241F"/>
    <w:rsid w:val="224805CD"/>
    <w:rsid w:val="22E9628F"/>
    <w:rsid w:val="251B38EF"/>
    <w:rsid w:val="29506857"/>
    <w:rsid w:val="2B4E089B"/>
    <w:rsid w:val="2DD66DE3"/>
    <w:rsid w:val="2E462777"/>
    <w:rsid w:val="2EAA00A6"/>
    <w:rsid w:val="343B728A"/>
    <w:rsid w:val="34AD7EA2"/>
    <w:rsid w:val="35926D62"/>
    <w:rsid w:val="36482F72"/>
    <w:rsid w:val="371B2276"/>
    <w:rsid w:val="39D64F8F"/>
    <w:rsid w:val="3AD72F96"/>
    <w:rsid w:val="3C046D30"/>
    <w:rsid w:val="3DF17D30"/>
    <w:rsid w:val="3F056573"/>
    <w:rsid w:val="3F135889"/>
    <w:rsid w:val="408908EE"/>
    <w:rsid w:val="426A4E5F"/>
    <w:rsid w:val="428A38B6"/>
    <w:rsid w:val="42DE3341"/>
    <w:rsid w:val="435747A7"/>
    <w:rsid w:val="43EE6A01"/>
    <w:rsid w:val="441929DC"/>
    <w:rsid w:val="45940E0F"/>
    <w:rsid w:val="45EE3F48"/>
    <w:rsid w:val="46075BC9"/>
    <w:rsid w:val="477D3E56"/>
    <w:rsid w:val="47B03B5B"/>
    <w:rsid w:val="47C82CF5"/>
    <w:rsid w:val="4922747B"/>
    <w:rsid w:val="4D951D36"/>
    <w:rsid w:val="4F080938"/>
    <w:rsid w:val="4F9059A1"/>
    <w:rsid w:val="504A47C7"/>
    <w:rsid w:val="50E23A41"/>
    <w:rsid w:val="514946EA"/>
    <w:rsid w:val="52FA4C60"/>
    <w:rsid w:val="544B2759"/>
    <w:rsid w:val="54645881"/>
    <w:rsid w:val="55EC5708"/>
    <w:rsid w:val="560D3D1A"/>
    <w:rsid w:val="57BB6C94"/>
    <w:rsid w:val="58D64F0E"/>
    <w:rsid w:val="5BD9413E"/>
    <w:rsid w:val="5C414DE8"/>
    <w:rsid w:val="5CE951D8"/>
    <w:rsid w:val="5D6D2C61"/>
    <w:rsid w:val="60BA5126"/>
    <w:rsid w:val="633D37C8"/>
    <w:rsid w:val="642C665D"/>
    <w:rsid w:val="65655FC8"/>
    <w:rsid w:val="65D514A1"/>
    <w:rsid w:val="66D03901"/>
    <w:rsid w:val="67B43A16"/>
    <w:rsid w:val="68A47FBA"/>
    <w:rsid w:val="6B996D13"/>
    <w:rsid w:val="6BA32EA6"/>
    <w:rsid w:val="6F4F5991"/>
    <w:rsid w:val="6F756ED1"/>
    <w:rsid w:val="70DF0F9F"/>
    <w:rsid w:val="719974E5"/>
    <w:rsid w:val="71C35F39"/>
    <w:rsid w:val="72162E3A"/>
    <w:rsid w:val="727608D5"/>
    <w:rsid w:val="72CA79DF"/>
    <w:rsid w:val="74FD4DFC"/>
    <w:rsid w:val="75F3408F"/>
    <w:rsid w:val="769E4528"/>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5">
    <w:name w:val="annotation text"/>
    <w:basedOn w:val="1"/>
    <w:unhideWhenUsed/>
    <w:qFormat/>
    <w:uiPriority w:val="99"/>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spacing w:line="460" w:lineRule="exact"/>
      <w:ind w:firstLine="567"/>
    </w:pPr>
    <w:rPr>
      <w:rFonts w:ascii="宋体" w:hAnsi="Courier New" w:eastAsia="仿宋_GB2312"/>
      <w:sz w:val="28"/>
      <w:szCs w:val="20"/>
    </w:rPr>
  </w:style>
  <w:style w:type="paragraph" w:styleId="8">
    <w:name w:val="List Bullet 5"/>
    <w:basedOn w:val="1"/>
    <w:qFormat/>
    <w:uiPriority w:val="0"/>
    <w:pPr>
      <w:numPr>
        <w:ilvl w:val="0"/>
        <w:numId w:val="1"/>
      </w:numPr>
    </w:pPr>
  </w:style>
  <w:style w:type="paragraph" w:styleId="9">
    <w:name w:val="Body Text Indent 2"/>
    <w:basedOn w:val="1"/>
    <w:qFormat/>
    <w:uiPriority w:val="0"/>
    <w:pPr>
      <w:widowControl w:val="0"/>
      <w:ind w:firstLine="540" w:firstLineChars="257"/>
      <w:jc w:val="both"/>
    </w:pPr>
    <w:rPr>
      <w:kern w:val="2"/>
      <w:sz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标题 5（有编号）（绿盟科技）"/>
    <w:basedOn w:val="1"/>
    <w:next w:val="1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Table Text"/>
    <w:basedOn w:val="1"/>
    <w:semiHidden/>
    <w:qFormat/>
    <w:uiPriority w:val="0"/>
    <w:rPr>
      <w:rFonts w:ascii="宋体" w:hAnsi="宋体" w:eastAsia="宋体" w:cs="宋体"/>
      <w:sz w:val="16"/>
      <w:szCs w:val="16"/>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character" w:customStyle="1" w:styleId="23">
    <w:name w:val="font61"/>
    <w:basedOn w:val="16"/>
    <w:qFormat/>
    <w:uiPriority w:val="0"/>
    <w:rPr>
      <w:rFonts w:hint="eastAsia" w:ascii="宋体" w:hAnsi="宋体" w:eastAsia="宋体" w:cs="宋体"/>
      <w:b/>
      <w:color w:val="000000"/>
      <w:sz w:val="24"/>
      <w:szCs w:val="24"/>
      <w:u w:val="none"/>
    </w:rPr>
  </w:style>
  <w:style w:type="character" w:customStyle="1" w:styleId="24">
    <w:name w:val="font131"/>
    <w:basedOn w:val="16"/>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5438</Words>
  <Characters>5575</Characters>
  <Lines>0</Lines>
  <Paragraphs>0</Paragraphs>
  <TotalTime>0</TotalTime>
  <ScaleCrop>false</ScaleCrop>
  <LinksUpToDate>false</LinksUpToDate>
  <CharactersWithSpaces>5988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2025-09-28T09:21:54Z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C42706ABD14C440FA9F74391D2470CD5_13</vt:lpwstr>
  </property>
  <property fmtid="{D5CDD505-2E9C-101B-9397-08002B2CF9AE}" pid="4" name="KSOTemplateDocerSaveRecord">
    <vt:lpwstr>eyJoZGlkIjoiODcwZmE0ZmU3Y2M1ZWQ5MWU4OTc0ZDQ0OGMzYzM2NmMiLCJ1c2VySWQiOiIxMzE0MjM0OTg5In0=</vt:lpwstr>
  </property>
</Properties>
</file>