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kinsoku/>
        <w:overflowPunct/>
        <w:topLinePunct w:val="0"/>
        <w:autoSpaceDE/>
        <w:autoSpaceDN/>
        <w:bidi w:val="0"/>
        <w:spacing w:line="360" w:lineRule="auto"/>
        <w:ind w:left="0" w:leftChars="0" w:firstLine="0" w:firstLineChars="0"/>
        <w:textAlignment w:val="auto"/>
        <w:rPr>
          <w:rFonts w:hint="eastAsia" w:ascii="黑体" w:hAnsi="黑体" w:eastAsia="黑体" w:cs="黑体"/>
          <w:b w:val="0"/>
          <w:bCs w:val="0"/>
          <w:i w:val="0"/>
          <w:caps w:val="0"/>
          <w:color w:val="auto"/>
          <w:spacing w:val="0"/>
          <w:w w:val="100"/>
          <w:sz w:val="28"/>
          <w:szCs w:val="28"/>
          <w:highlight w:val="none"/>
          <w:lang w:val="en-US" w:eastAsia="zh-CN"/>
        </w:rPr>
      </w:pPr>
      <w:r>
        <w:rPr>
          <w:rFonts w:hint="eastAsia" w:ascii="黑体" w:hAnsi="黑体" w:eastAsia="黑体" w:cs="黑体"/>
          <w:b w:val="0"/>
          <w:bCs w:val="0"/>
          <w:i w:val="0"/>
          <w:caps w:val="0"/>
          <w:color w:val="auto"/>
          <w:spacing w:val="0"/>
          <w:w w:val="100"/>
          <w:sz w:val="28"/>
          <w:szCs w:val="28"/>
          <w:highlight w:val="none"/>
          <w:lang w:val="en-US" w:eastAsia="zh-CN"/>
        </w:rPr>
        <w:t>附件1 采购需求</w:t>
      </w:r>
    </w:p>
    <w:p>
      <w:pPr>
        <w:pStyle w:val="9"/>
        <w:keepNext w:val="0"/>
        <w:keepLines w:val="0"/>
        <w:pageBreakBefore w:val="0"/>
        <w:kinsoku/>
        <w:overflowPunct/>
        <w:topLinePunct w:val="0"/>
        <w:autoSpaceDE/>
        <w:autoSpaceDN/>
        <w:bidi w:val="0"/>
        <w:spacing w:line="360" w:lineRule="auto"/>
        <w:ind w:left="0" w:leftChars="0" w:firstLine="0" w:firstLineChars="0"/>
        <w:textAlignment w:val="auto"/>
        <w:rPr>
          <w:rFonts w:hint="eastAsia" w:ascii="黑体" w:hAnsi="黑体" w:eastAsia="黑体" w:cs="黑体"/>
          <w:b w:val="0"/>
          <w:bCs w:val="0"/>
          <w:i w:val="0"/>
          <w:caps w:val="0"/>
          <w:color w:val="auto"/>
          <w:spacing w:val="0"/>
          <w:w w:val="100"/>
          <w:sz w:val="24"/>
          <w:szCs w:val="24"/>
          <w:highlight w:val="none"/>
          <w:lang w:val="en-US" w:eastAsia="zh-CN"/>
        </w:rPr>
      </w:pPr>
      <w:r>
        <w:rPr>
          <w:rFonts w:hint="eastAsia" w:ascii="黑体" w:hAnsi="黑体" w:eastAsia="黑体" w:cs="黑体"/>
          <w:b w:val="0"/>
          <w:bCs w:val="0"/>
          <w:i w:val="0"/>
          <w:caps w:val="0"/>
          <w:color w:val="auto"/>
          <w:spacing w:val="0"/>
          <w:w w:val="100"/>
          <w:sz w:val="24"/>
          <w:szCs w:val="24"/>
          <w:highlight w:val="none"/>
          <w:lang w:val="en-US" w:eastAsia="zh-CN"/>
        </w:rPr>
        <w:t>一、项目基本情况</w:t>
      </w:r>
    </w:p>
    <w:p>
      <w:pPr>
        <w:pStyle w:val="25"/>
        <w:adjustRightInd w:val="0"/>
        <w:snapToGrid w:val="0"/>
        <w:spacing w:before="80" w:after="80"/>
        <w:rPr>
          <w:rFonts w:hint="eastAsia" w:ascii="仿宋_GB2312" w:hAnsi="仿宋_GB2312" w:eastAsia="仿宋_GB2312" w:cs="仿宋_GB2312"/>
          <w:bCs w:val="0"/>
          <w:sz w:val="24"/>
          <w:szCs w:val="22"/>
        </w:rPr>
      </w:pPr>
      <w:bookmarkStart w:id="0" w:name="PO_默认文件内容_14"/>
      <w:r>
        <w:rPr>
          <w:rFonts w:hint="eastAsia" w:ascii="仿宋_GB2312" w:hAnsi="仿宋_GB2312" w:eastAsia="仿宋_GB2312" w:cs="仿宋_GB2312"/>
          <w:bCs w:val="0"/>
          <w:sz w:val="24"/>
          <w:szCs w:val="22"/>
        </w:rPr>
        <w:t>四川省妇幼保健院天府院区自2023年4月正式投用以来，前期医院多次发生供电不稳定而导致院内发生用电闪停的情况，经与供电公司研讨，为提升医院用电安全，保障广大患者的人身健康，拟对四川省妇幼保健院天府院区外电供电线路进行综合改道，具体情况如下。</w:t>
      </w:r>
    </w:p>
    <w:p>
      <w:pPr>
        <w:pStyle w:val="25"/>
        <w:adjustRightInd w:val="0"/>
        <w:snapToGrid w:val="0"/>
        <w:spacing w:before="80" w:after="80"/>
        <w:rPr>
          <w:rFonts w:hint="eastAsia" w:ascii="仿宋_GB2312" w:hAnsi="仿宋_GB2312" w:eastAsia="仿宋_GB2312" w:cs="仿宋_GB2312"/>
          <w:bCs w:val="0"/>
          <w:sz w:val="24"/>
          <w:szCs w:val="22"/>
          <w:lang w:val="en-US" w:eastAsia="zh-CN"/>
        </w:rPr>
      </w:pPr>
      <w:r>
        <w:rPr>
          <w:rFonts w:hint="eastAsia" w:ascii="仿宋_GB2312" w:hAnsi="仿宋_GB2312" w:eastAsia="仿宋_GB2312" w:cs="仿宋_GB2312"/>
          <w:bCs w:val="0"/>
          <w:sz w:val="24"/>
          <w:szCs w:val="22"/>
        </w:rPr>
        <w:t>四川省妇幼保健院天府院区采用双向供电，目前主供用电是从10KV凤北二线海北#2环网柜接入（电缆总长约865米，电缆型号ZA-YJV22-8.7/15kV-1（3x400）），备供用电从10KV仁园线青云寺#3环网柜接入（电缆总长约7350米，电缆型号ZA-YJV22-8.7/15kV-1（3x400））。经供电公司审核，为提高医院用电安全，现拟将天府院区现备供用电从仁园线青云寺改接至10kV毛脂线绿叶#1环网柜，并将该条线路作为主供电使用。将原凤北二线海北#2环网柜主供电调整为备供电使用。毛脂线绿叶#1环网柜距离天府院区院内总平环网柜总电缆长度约2492米（电缆型号ZA-YJV22-8.7/15kV-1（3x400）），其中约1766米可利旧现接仁园线青云寺备供电缆（电缆型号ZA-YJV22-8.7/15kV-1（3x400）），需新敷设安装电缆约726米（电缆型号ZA-YJV22-8.7/15kV-1（3x400））。经现场初步踏勘新敷设安装电缆需经过生物城北路横穿民康路路口，但该路段电力通道已被占满，需申请破路埋管约45米，此段埋管为2孔SC150排管。同时，需将原接仁园线青云寺备供电缆拆除（可拆除电缆长度理论数据约5417米，电缆型号ZA-YJV22-8.7/15kV-1（3x400）），拆除后的电缆须经相关检测合格后可用于此项目利旧新敷设部分电缆，最终剩余电缆进行综合回收。同时，医院现有一台800KVA施工箱式变压器，为最大化利用医院现有资产，拟对该变压器进行改造后用于总平充电桩变压器使用。</w:t>
      </w:r>
      <w:bookmarkEnd w:id="0"/>
    </w:p>
    <w:p>
      <w:pPr>
        <w:pStyle w:val="25"/>
        <w:adjustRightInd w:val="0"/>
        <w:snapToGrid w:val="0"/>
        <w:spacing w:before="80" w:after="80"/>
        <w:rPr>
          <w:rFonts w:hint="default" w:ascii="仿宋_GB2312" w:hAnsi="仿宋_GB2312" w:eastAsia="仿宋_GB2312" w:cs="仿宋_GB2312"/>
          <w:bCs w:val="0"/>
          <w:sz w:val="24"/>
          <w:szCs w:val="22"/>
          <w:lang w:val="en-US" w:eastAsia="zh-CN"/>
        </w:rPr>
      </w:pPr>
      <w:r>
        <w:rPr>
          <w:rFonts w:hint="eastAsia" w:ascii="仿宋_GB2312" w:hAnsi="仿宋_GB2312" w:eastAsia="仿宋_GB2312" w:cs="仿宋_GB2312"/>
          <w:bCs w:val="0"/>
          <w:sz w:val="24"/>
          <w:szCs w:val="22"/>
          <w:lang w:val="en-US" w:eastAsia="zh-CN"/>
        </w:rPr>
        <w:t>2.建设地点：成都市天府国际生物城</w:t>
      </w:r>
    </w:p>
    <w:p>
      <w:pPr>
        <w:pStyle w:val="9"/>
        <w:keepLines w:val="0"/>
        <w:pageBreakBefore w:val="0"/>
        <w:kinsoku/>
        <w:overflowPunct/>
        <w:topLinePunct w:val="0"/>
        <w:autoSpaceDE/>
        <w:autoSpaceDN/>
        <w:bidi w:val="0"/>
        <w:snapToGrid w:val="0"/>
        <w:spacing w:line="360" w:lineRule="auto"/>
        <w:ind w:left="0" w:leftChars="0" w:firstLine="0" w:firstLineChars="0"/>
        <w:jc w:val="left"/>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二、采购</w:t>
      </w:r>
      <w:bookmarkStart w:id="1" w:name="OLE_LINK1"/>
      <w:r>
        <w:rPr>
          <w:rFonts w:hint="eastAsia" w:hAnsi="宋体" w:eastAsia="宋体" w:cs="宋体"/>
          <w:b/>
          <w:bCs/>
          <w:sz w:val="24"/>
          <w:szCs w:val="24"/>
          <w:lang w:val="en-US" w:eastAsia="zh-CN"/>
        </w:rPr>
        <w:t>项目</w:t>
      </w:r>
      <w:r>
        <w:rPr>
          <w:rFonts w:hint="eastAsia" w:ascii="宋体" w:hAnsi="宋体" w:eastAsia="宋体" w:cs="宋体"/>
          <w:b/>
          <w:bCs/>
          <w:sz w:val="24"/>
          <w:szCs w:val="24"/>
          <w:vertAlign w:val="baseline"/>
          <w:lang w:val="en-US" w:eastAsia="zh-CN"/>
        </w:rPr>
        <w:t>资格要求</w:t>
      </w:r>
      <w:bookmarkEnd w:id="1"/>
      <w:r>
        <w:rPr>
          <w:rFonts w:hint="eastAsia" w:ascii="宋体" w:hAnsi="宋体" w:eastAsia="宋体" w:cs="宋体"/>
          <w:b/>
          <w:bCs/>
          <w:sz w:val="24"/>
          <w:szCs w:val="24"/>
          <w:vertAlign w:val="baseline"/>
          <w:lang w:val="en-US" w:eastAsia="zh-CN"/>
        </w:rPr>
        <w:t>、技术要求和商务要求</w:t>
      </w:r>
    </w:p>
    <w:p>
      <w:pPr>
        <w:pStyle w:val="9"/>
        <w:keepNext w:val="0"/>
        <w:keepLines w:val="0"/>
        <w:pageBreakBefore w:val="0"/>
        <w:kinsoku/>
        <w:overflowPunct/>
        <w:topLinePunct w:val="0"/>
        <w:autoSpaceDE/>
        <w:autoSpaceDN/>
        <w:bidi w:val="0"/>
        <w:spacing w:line="360" w:lineRule="auto"/>
        <w:ind w:left="0" w:leftChars="0" w:firstLine="0" w:firstLineChars="0"/>
        <w:textAlignment w:val="auto"/>
        <w:rPr>
          <w:rFonts w:hint="default" w:ascii="黑体" w:hAnsi="黑体" w:eastAsia="黑体" w:cs="黑体"/>
          <w:b w:val="0"/>
          <w:bCs w:val="0"/>
          <w:i w:val="0"/>
          <w:caps w:val="0"/>
          <w:color w:val="auto"/>
          <w:spacing w:val="0"/>
          <w:w w:val="100"/>
          <w:sz w:val="24"/>
          <w:szCs w:val="24"/>
          <w:highlight w:val="none"/>
          <w:lang w:val="en-US" w:eastAsia="zh-CN"/>
        </w:rPr>
      </w:pPr>
      <w:r>
        <w:rPr>
          <w:rFonts w:hint="eastAsia" w:ascii="黑体" w:hAnsi="黑体" w:eastAsia="黑体" w:cs="黑体"/>
          <w:b w:val="0"/>
          <w:bCs w:val="0"/>
          <w:i w:val="0"/>
          <w:caps w:val="0"/>
          <w:color w:val="auto"/>
          <w:spacing w:val="0"/>
          <w:w w:val="100"/>
          <w:sz w:val="24"/>
          <w:szCs w:val="24"/>
          <w:highlight w:val="none"/>
          <w:lang w:val="en-US" w:eastAsia="zh-CN"/>
        </w:rPr>
        <w:t>（一）</w:t>
      </w:r>
      <w:r>
        <w:rPr>
          <w:rFonts w:hint="eastAsia" w:ascii="黑体" w:hAnsi="黑体" w:eastAsia="黑体" w:cs="Times New Roman"/>
          <w:color w:val="000000"/>
          <w:sz w:val="24"/>
          <w:szCs w:val="24"/>
          <w:vertAlign w:val="baseline"/>
          <w:lang w:val="en-US" w:eastAsia="zh-CN"/>
        </w:rPr>
        <w:t>★</w:t>
      </w:r>
      <w:r>
        <w:rPr>
          <w:rFonts w:hint="eastAsia" w:ascii="黑体" w:hAnsi="黑体" w:eastAsia="黑体" w:cs="黑体"/>
          <w:b w:val="0"/>
          <w:bCs w:val="0"/>
          <w:i w:val="0"/>
          <w:caps w:val="0"/>
          <w:color w:val="auto"/>
          <w:spacing w:val="0"/>
          <w:w w:val="100"/>
          <w:sz w:val="24"/>
          <w:szCs w:val="24"/>
          <w:highlight w:val="none"/>
          <w:lang w:val="en-US" w:eastAsia="zh-CN"/>
        </w:rPr>
        <w:t>技术要求</w:t>
      </w:r>
    </w:p>
    <w:p>
      <w:pPr>
        <w:pStyle w:val="9"/>
        <w:keepNext w:val="0"/>
        <w:keepLines w:val="0"/>
        <w:pageBreakBefore w:val="0"/>
        <w:numPr>
          <w:ilvl w:val="0"/>
          <w:numId w:val="0"/>
        </w:numPr>
        <w:kinsoku/>
        <w:overflowPunct/>
        <w:topLinePunct w:val="0"/>
        <w:autoSpaceDE/>
        <w:autoSpaceDN/>
        <w:bidi w:val="0"/>
        <w:spacing w:line="360" w:lineRule="auto"/>
        <w:ind w:firstLine="480" w:firstLineChars="200"/>
        <w:textAlignment w:val="auto"/>
        <w:rPr>
          <w:rFonts w:hint="eastAsia" w:ascii="仿宋_GB2312" w:hAnsi="仿宋_GB2312" w:eastAsia="仿宋_GB2312" w:cs="仿宋_GB2312"/>
          <w:bCs w:val="0"/>
          <w:kern w:val="2"/>
          <w:sz w:val="24"/>
          <w:szCs w:val="22"/>
          <w:lang w:val="en-US" w:eastAsia="zh-CN" w:bidi="ar-SA"/>
        </w:rPr>
      </w:pPr>
      <w:r>
        <w:rPr>
          <w:rFonts w:hint="eastAsia" w:ascii="仿宋_GB2312" w:hAnsi="仿宋_GB2312" w:eastAsia="仿宋_GB2312" w:cs="仿宋_GB2312"/>
          <w:bCs w:val="0"/>
          <w:kern w:val="2"/>
          <w:sz w:val="24"/>
          <w:szCs w:val="22"/>
          <w:lang w:val="en-US" w:eastAsia="zh-CN" w:bidi="ar-SA"/>
        </w:rPr>
        <w:t>1.供应商负责项目总平红线范围内主备供环网柜前端的所有工程内容，包括但不限于项目通电所需的外电改道设计、改线、接线、相关材料及配件、市政道路破除埋管及恢复、调试、相关主管部门沟通协调以及与项目建设相关的配套设施等，供应商须按照四川省妇幼保健院天府院区二期工程建设项目外电改道方案（附件</w:t>
      </w:r>
      <w:r>
        <w:rPr>
          <w:rFonts w:hint="eastAsia" w:ascii="仿宋_GB2312" w:hAnsi="仿宋_GB2312" w:cs="仿宋_GB2312"/>
          <w:bCs w:val="0"/>
          <w:kern w:val="2"/>
          <w:sz w:val="24"/>
          <w:szCs w:val="22"/>
          <w:lang w:val="en-US" w:eastAsia="zh-CN" w:bidi="ar-SA"/>
        </w:rPr>
        <w:t>6</w:t>
      </w:r>
      <w:r>
        <w:rPr>
          <w:rFonts w:hint="eastAsia" w:ascii="仿宋_GB2312" w:hAnsi="仿宋_GB2312" w:eastAsia="仿宋_GB2312" w:cs="仿宋_GB2312"/>
          <w:bCs w:val="0"/>
          <w:kern w:val="2"/>
          <w:sz w:val="24"/>
          <w:szCs w:val="22"/>
          <w:lang w:val="en-US" w:eastAsia="zh-CN" w:bidi="ar-SA"/>
        </w:rPr>
        <w:t>）进行外电线路改道的具体设计深化及施工。</w:t>
      </w:r>
    </w:p>
    <w:p>
      <w:pPr>
        <w:pStyle w:val="9"/>
        <w:keepNext w:val="0"/>
        <w:keepLines w:val="0"/>
        <w:pageBreakBefore w:val="0"/>
        <w:numPr>
          <w:ilvl w:val="0"/>
          <w:numId w:val="0"/>
        </w:numPr>
        <w:kinsoku/>
        <w:overflowPunct/>
        <w:topLinePunct w:val="0"/>
        <w:autoSpaceDE/>
        <w:autoSpaceDN/>
        <w:bidi w:val="0"/>
        <w:spacing w:line="360" w:lineRule="auto"/>
        <w:ind w:firstLine="480" w:firstLineChars="200"/>
        <w:textAlignment w:val="auto"/>
        <w:rPr>
          <w:rFonts w:hint="eastAsia" w:ascii="仿宋_GB2312" w:hAnsi="仿宋_GB2312" w:eastAsia="仿宋_GB2312" w:cs="仿宋_GB2312"/>
          <w:bCs w:val="0"/>
          <w:kern w:val="2"/>
          <w:sz w:val="24"/>
          <w:szCs w:val="22"/>
          <w:lang w:val="en-US" w:eastAsia="zh-CN" w:bidi="ar-SA"/>
        </w:rPr>
      </w:pPr>
      <w:r>
        <w:rPr>
          <w:rFonts w:hint="eastAsia" w:ascii="仿宋_GB2312" w:hAnsi="仿宋_GB2312" w:eastAsia="仿宋_GB2312" w:cs="仿宋_GB2312"/>
          <w:bCs w:val="0"/>
          <w:kern w:val="2"/>
          <w:sz w:val="24"/>
          <w:szCs w:val="22"/>
          <w:lang w:val="en-US" w:eastAsia="zh-CN" w:bidi="ar-SA"/>
        </w:rPr>
        <w:t>2.由供应商应结合省妇幼保健院施工箱式变压器800kVA一次系统图（附件</w:t>
      </w:r>
      <w:r>
        <w:rPr>
          <w:rFonts w:hint="eastAsia" w:ascii="仿宋_GB2312" w:hAnsi="仿宋_GB2312" w:cs="仿宋_GB2312"/>
          <w:bCs w:val="0"/>
          <w:kern w:val="2"/>
          <w:sz w:val="24"/>
          <w:szCs w:val="22"/>
          <w:lang w:val="en-US" w:eastAsia="zh-CN" w:bidi="ar-SA"/>
        </w:rPr>
        <w:t>7</w:t>
      </w:r>
      <w:r>
        <w:rPr>
          <w:rFonts w:hint="eastAsia" w:ascii="仿宋_GB2312" w:hAnsi="仿宋_GB2312" w:eastAsia="仿宋_GB2312" w:cs="仿宋_GB2312"/>
          <w:bCs w:val="0"/>
          <w:kern w:val="2"/>
          <w:sz w:val="24"/>
          <w:szCs w:val="22"/>
          <w:lang w:val="en-US" w:eastAsia="zh-CN" w:bidi="ar-SA"/>
        </w:rPr>
        <w:t>）和现场变压器实际情况，按照3T1充电桩变压器系统图（附件</w:t>
      </w:r>
      <w:r>
        <w:rPr>
          <w:rFonts w:hint="eastAsia" w:ascii="仿宋_GB2312" w:hAnsi="仿宋_GB2312" w:cs="仿宋_GB2312"/>
          <w:bCs w:val="0"/>
          <w:kern w:val="2"/>
          <w:sz w:val="24"/>
          <w:szCs w:val="22"/>
          <w:lang w:val="en-US" w:eastAsia="zh-CN" w:bidi="ar-SA"/>
        </w:rPr>
        <w:t>8</w:t>
      </w:r>
      <w:r>
        <w:rPr>
          <w:rFonts w:hint="eastAsia" w:ascii="仿宋_GB2312" w:hAnsi="仿宋_GB2312" w:eastAsia="仿宋_GB2312" w:cs="仿宋_GB2312"/>
          <w:bCs w:val="0"/>
          <w:kern w:val="2"/>
          <w:sz w:val="24"/>
          <w:szCs w:val="22"/>
          <w:lang w:val="en-US" w:eastAsia="zh-CN" w:bidi="ar-SA"/>
        </w:rPr>
        <w:t>）的要求对变压器进行改造，内容包括但不限于满足变压器投用所需的高压电流互感器、高压电压互感器、低压柜塑壳断路器、电容补偿柜、控制电源以及元器件内部铜排改造以及变压器搬运、安装及调试等。</w:t>
      </w:r>
    </w:p>
    <w:p>
      <w:pPr>
        <w:pStyle w:val="9"/>
        <w:keepNext w:val="0"/>
        <w:keepLines w:val="0"/>
        <w:pageBreakBefore w:val="0"/>
        <w:numPr>
          <w:ilvl w:val="0"/>
          <w:numId w:val="0"/>
        </w:numPr>
        <w:kinsoku/>
        <w:overflowPunct/>
        <w:topLinePunct w:val="0"/>
        <w:autoSpaceDE/>
        <w:autoSpaceDN/>
        <w:bidi w:val="0"/>
        <w:spacing w:line="360" w:lineRule="auto"/>
        <w:ind w:firstLine="480" w:firstLineChars="200"/>
        <w:textAlignment w:val="auto"/>
        <w:rPr>
          <w:rFonts w:hint="eastAsia" w:ascii="仿宋_GB2312" w:hAnsi="仿宋_GB2312" w:eastAsia="仿宋_GB2312" w:cs="仿宋_GB2312"/>
          <w:bCs w:val="0"/>
          <w:kern w:val="2"/>
          <w:sz w:val="24"/>
          <w:szCs w:val="22"/>
          <w:lang w:val="en-US" w:eastAsia="zh-CN" w:bidi="ar-SA"/>
        </w:rPr>
      </w:pPr>
      <w:r>
        <w:rPr>
          <w:rFonts w:hint="eastAsia" w:ascii="仿宋_GB2312" w:hAnsi="仿宋_GB2312" w:eastAsia="仿宋_GB2312" w:cs="仿宋_GB2312"/>
          <w:bCs w:val="0"/>
          <w:kern w:val="2"/>
          <w:sz w:val="24"/>
          <w:szCs w:val="22"/>
          <w:lang w:val="en-US" w:eastAsia="zh-CN" w:bidi="ar-SA"/>
        </w:rPr>
        <w:t>3.外电线路改造及变压器改造的设计和施工须符合相关法律法规、专业技术规范和行政审批部门审批的要求等，同时供应商需负责协助采购人办理改造项目所需的报批报建手续。</w:t>
      </w:r>
    </w:p>
    <w:p>
      <w:pPr>
        <w:pStyle w:val="9"/>
        <w:keepNext w:val="0"/>
        <w:keepLines w:val="0"/>
        <w:pageBreakBefore w:val="0"/>
        <w:numPr>
          <w:ilvl w:val="0"/>
          <w:numId w:val="0"/>
        </w:numPr>
        <w:kinsoku/>
        <w:overflowPunct/>
        <w:topLinePunct w:val="0"/>
        <w:autoSpaceDE/>
        <w:autoSpaceDN/>
        <w:bidi w:val="0"/>
        <w:spacing w:line="360" w:lineRule="auto"/>
        <w:ind w:firstLine="480" w:firstLineChars="200"/>
        <w:textAlignment w:val="auto"/>
        <w:rPr>
          <w:rFonts w:hint="eastAsia" w:ascii="仿宋_GB2312" w:hAnsi="仿宋_GB2312" w:eastAsia="仿宋_GB2312" w:cs="仿宋_GB2312"/>
          <w:bCs w:val="0"/>
          <w:kern w:val="2"/>
          <w:sz w:val="24"/>
          <w:szCs w:val="22"/>
          <w:lang w:val="en-US" w:eastAsia="zh-CN" w:bidi="ar-SA"/>
        </w:rPr>
      </w:pPr>
      <w:r>
        <w:rPr>
          <w:rFonts w:hint="eastAsia" w:ascii="仿宋_GB2312" w:hAnsi="仿宋_GB2312" w:eastAsia="仿宋_GB2312" w:cs="仿宋_GB2312"/>
          <w:bCs w:val="0"/>
          <w:kern w:val="2"/>
          <w:sz w:val="24"/>
          <w:szCs w:val="22"/>
          <w:lang w:val="en-US" w:eastAsia="zh-CN" w:bidi="ar-SA"/>
        </w:rPr>
        <w:t>4.供应商对本项目的投标响应视为对本项目进行了充分踏勘和了解，并视为对除本项目部分利旧所需电缆外的剩余电缆进行了全部回收，自愿承担本项目电缆安装及回收等内容的全部安全及经济风险。</w:t>
      </w:r>
    </w:p>
    <w:p>
      <w:pPr>
        <w:pStyle w:val="9"/>
        <w:keepNext w:val="0"/>
        <w:keepLines w:val="0"/>
        <w:pageBreakBefore w:val="0"/>
        <w:numPr>
          <w:ilvl w:val="0"/>
          <w:numId w:val="0"/>
        </w:numPr>
        <w:kinsoku/>
        <w:overflowPunct/>
        <w:topLinePunct w:val="0"/>
        <w:autoSpaceDE/>
        <w:autoSpaceDN/>
        <w:bidi w:val="0"/>
        <w:spacing w:line="360" w:lineRule="auto"/>
        <w:ind w:firstLine="480" w:firstLineChars="200"/>
        <w:textAlignment w:val="auto"/>
        <w:rPr>
          <w:rFonts w:hint="eastAsia" w:ascii="仿宋_GB2312" w:hAnsi="仿宋_GB2312" w:eastAsia="仿宋_GB2312" w:cs="仿宋_GB2312"/>
          <w:bCs w:val="0"/>
          <w:kern w:val="2"/>
          <w:sz w:val="24"/>
          <w:szCs w:val="22"/>
          <w:lang w:val="en-US" w:eastAsia="zh-CN" w:bidi="ar-SA"/>
        </w:rPr>
      </w:pPr>
      <w:r>
        <w:rPr>
          <w:rFonts w:hint="eastAsia" w:ascii="仿宋_GB2312" w:hAnsi="仿宋_GB2312" w:eastAsia="仿宋_GB2312" w:cs="仿宋_GB2312"/>
          <w:bCs w:val="0"/>
          <w:kern w:val="2"/>
          <w:sz w:val="24"/>
          <w:szCs w:val="22"/>
          <w:lang w:val="en-US" w:eastAsia="zh-CN" w:bidi="ar-SA"/>
        </w:rPr>
        <w:t>5.供应商应对改造中新敷设部分的利旧电缆进行相关检测并出具检测报告，检测合格后才能用于此项目利旧使用。</w:t>
      </w:r>
    </w:p>
    <w:p>
      <w:pPr>
        <w:pStyle w:val="9"/>
        <w:keepNext w:val="0"/>
        <w:keepLines w:val="0"/>
        <w:pageBreakBefore w:val="0"/>
        <w:numPr>
          <w:ilvl w:val="0"/>
          <w:numId w:val="0"/>
        </w:numPr>
        <w:kinsoku/>
        <w:overflowPunct/>
        <w:topLinePunct w:val="0"/>
        <w:autoSpaceDE/>
        <w:autoSpaceDN/>
        <w:bidi w:val="0"/>
        <w:spacing w:line="360" w:lineRule="auto"/>
        <w:ind w:firstLine="480" w:firstLineChars="200"/>
        <w:textAlignment w:val="auto"/>
        <w:rPr>
          <w:rFonts w:hint="eastAsia" w:ascii="仿宋_GB2312" w:hAnsi="仿宋_GB2312" w:eastAsia="仿宋_GB2312" w:cs="仿宋_GB2312"/>
          <w:bCs w:val="0"/>
          <w:kern w:val="2"/>
          <w:sz w:val="24"/>
          <w:szCs w:val="22"/>
          <w:lang w:val="en-US" w:eastAsia="zh-CN" w:bidi="ar-SA"/>
        </w:rPr>
      </w:pPr>
      <w:r>
        <w:rPr>
          <w:rFonts w:hint="eastAsia" w:ascii="仿宋_GB2312" w:hAnsi="仿宋_GB2312" w:eastAsia="仿宋_GB2312" w:cs="仿宋_GB2312"/>
          <w:bCs w:val="0"/>
          <w:kern w:val="2"/>
          <w:sz w:val="24"/>
          <w:szCs w:val="22"/>
          <w:lang w:val="en-US" w:eastAsia="zh-CN" w:bidi="ar-SA"/>
        </w:rPr>
        <w:t>6.供应商应将本项目工作范围内的全部工作进行资料整理，包括但不限于有关改造设计图纸、报建手续、施工方案等资料，应确保档案收集完整、整理规范，并装订成册后向采购人移交。</w:t>
      </w:r>
    </w:p>
    <w:p>
      <w:pPr>
        <w:pStyle w:val="9"/>
        <w:keepNext w:val="0"/>
        <w:keepLines w:val="0"/>
        <w:pageBreakBefore w:val="0"/>
        <w:numPr>
          <w:ilvl w:val="0"/>
          <w:numId w:val="0"/>
        </w:numPr>
        <w:kinsoku/>
        <w:overflowPunct/>
        <w:topLinePunct w:val="0"/>
        <w:autoSpaceDE/>
        <w:autoSpaceDN/>
        <w:bidi w:val="0"/>
        <w:spacing w:line="360" w:lineRule="auto"/>
        <w:ind w:firstLine="480" w:firstLineChars="200"/>
        <w:textAlignment w:val="auto"/>
        <w:rPr>
          <w:rFonts w:hint="eastAsia" w:ascii="仿宋_GB2312" w:hAnsi="仿宋_GB2312" w:eastAsia="仿宋_GB2312" w:cs="仿宋_GB2312"/>
          <w:bCs w:val="0"/>
          <w:kern w:val="2"/>
          <w:sz w:val="24"/>
          <w:szCs w:val="22"/>
          <w:lang w:val="en-US" w:eastAsia="zh-CN" w:bidi="ar-SA"/>
        </w:rPr>
      </w:pPr>
      <w:r>
        <w:rPr>
          <w:rFonts w:hint="eastAsia" w:ascii="仿宋_GB2312" w:hAnsi="仿宋_GB2312" w:eastAsia="仿宋_GB2312" w:cs="仿宋_GB2312"/>
          <w:bCs w:val="0"/>
          <w:kern w:val="2"/>
          <w:sz w:val="24"/>
          <w:szCs w:val="22"/>
          <w:lang w:val="en-US" w:eastAsia="zh-CN" w:bidi="ar-SA"/>
        </w:rPr>
        <w:t>7.在施工前，供应商应编制医院用电应急处理方案，施工过程中及完成后不能因电力接入、调试等原因造成医院停电，从而影响院方正常诊疗秩序，影响正常运行造成损失的由供应商承担赔偿责任。</w:t>
      </w:r>
    </w:p>
    <w:p>
      <w:pPr>
        <w:pStyle w:val="9"/>
        <w:keepNext w:val="0"/>
        <w:keepLines w:val="0"/>
        <w:pageBreakBefore w:val="0"/>
        <w:numPr>
          <w:ilvl w:val="0"/>
          <w:numId w:val="0"/>
        </w:numPr>
        <w:kinsoku/>
        <w:overflowPunct/>
        <w:topLinePunct w:val="0"/>
        <w:autoSpaceDE/>
        <w:autoSpaceDN/>
        <w:bidi w:val="0"/>
        <w:spacing w:line="360" w:lineRule="auto"/>
        <w:ind w:firstLine="480" w:firstLineChars="200"/>
        <w:textAlignment w:val="auto"/>
        <w:rPr>
          <w:rFonts w:hint="eastAsia" w:ascii="仿宋_GB2312" w:hAnsi="仿宋_GB2312" w:eastAsia="仿宋_GB2312" w:cs="仿宋_GB2312"/>
          <w:bCs w:val="0"/>
          <w:kern w:val="2"/>
          <w:sz w:val="24"/>
          <w:szCs w:val="22"/>
          <w:lang w:val="en-US" w:eastAsia="zh-CN" w:bidi="ar-SA"/>
        </w:rPr>
      </w:pPr>
      <w:r>
        <w:rPr>
          <w:rFonts w:hint="eastAsia" w:ascii="仿宋_GB2312" w:hAnsi="仿宋_GB2312" w:eastAsia="仿宋_GB2312" w:cs="仿宋_GB2312"/>
          <w:bCs w:val="0"/>
          <w:kern w:val="2"/>
          <w:sz w:val="24"/>
          <w:szCs w:val="22"/>
          <w:lang w:val="en-US" w:eastAsia="zh-CN" w:bidi="ar-SA"/>
        </w:rPr>
        <w:t>8.施工过程中，供应商应严格按照相关施工规范施工并且在铺设及拆除电缆沟内电缆时须采取相应的安全保护措施，施工过程中若因施工工艺未按规范要求或未采取相关安全保护措施造成电缆沟内其它电缆损坏及人员伤亡，上述造成的一切损失及责任均由供应商承担。</w:t>
      </w:r>
    </w:p>
    <w:p>
      <w:pPr>
        <w:pStyle w:val="9"/>
        <w:keepNext w:val="0"/>
        <w:keepLines w:val="0"/>
        <w:pageBreakBefore w:val="0"/>
        <w:numPr>
          <w:ilvl w:val="0"/>
          <w:numId w:val="0"/>
        </w:numPr>
        <w:kinsoku/>
        <w:overflowPunct/>
        <w:topLinePunct w:val="0"/>
        <w:autoSpaceDE/>
        <w:autoSpaceDN/>
        <w:bidi w:val="0"/>
        <w:spacing w:line="360" w:lineRule="auto"/>
        <w:ind w:firstLine="480" w:firstLineChars="200"/>
        <w:textAlignment w:val="auto"/>
        <w:rPr>
          <w:rFonts w:hint="eastAsia" w:ascii="仿宋_GB2312" w:hAnsi="仿宋_GB2312" w:eastAsia="仿宋_GB2312" w:cs="仿宋_GB2312"/>
          <w:bCs w:val="0"/>
          <w:kern w:val="2"/>
          <w:sz w:val="24"/>
          <w:szCs w:val="22"/>
          <w:lang w:val="en-US" w:eastAsia="zh-CN" w:bidi="ar-SA"/>
        </w:rPr>
      </w:pPr>
      <w:r>
        <w:rPr>
          <w:rFonts w:hint="eastAsia" w:ascii="仿宋_GB2312" w:hAnsi="仿宋_GB2312" w:eastAsia="仿宋_GB2312" w:cs="仿宋_GB2312"/>
          <w:bCs w:val="0"/>
          <w:kern w:val="2"/>
          <w:sz w:val="24"/>
          <w:szCs w:val="22"/>
          <w:lang w:val="en-US" w:eastAsia="zh-CN" w:bidi="ar-SA"/>
        </w:rPr>
        <w:t>9.供应商必须保证本项目建设期间的人员安全，由此产生的安全事故责任均由供应商承担，由此造成的一切损失均由供应商承担。</w:t>
      </w:r>
    </w:p>
    <w:p>
      <w:pPr>
        <w:pStyle w:val="9"/>
        <w:keepNext w:val="0"/>
        <w:keepLines w:val="0"/>
        <w:pageBreakBefore w:val="0"/>
        <w:numPr>
          <w:ilvl w:val="0"/>
          <w:numId w:val="0"/>
        </w:numPr>
        <w:kinsoku/>
        <w:overflowPunct/>
        <w:topLinePunct w:val="0"/>
        <w:autoSpaceDE/>
        <w:autoSpaceDN/>
        <w:bidi w:val="0"/>
        <w:spacing w:line="360" w:lineRule="auto"/>
        <w:ind w:firstLine="480" w:firstLineChars="200"/>
        <w:textAlignment w:val="auto"/>
        <w:rPr>
          <w:rFonts w:hint="eastAsia" w:ascii="楷体_GB2312" w:hAnsi="楷体_GB2312" w:eastAsia="楷体_GB2312" w:cs="楷体_GB2312"/>
          <w:b w:val="0"/>
          <w:bCs w:val="0"/>
          <w:sz w:val="24"/>
          <w:szCs w:val="24"/>
          <w:highlight w:val="none"/>
        </w:rPr>
      </w:pPr>
      <w:r>
        <w:rPr>
          <w:rFonts w:hint="eastAsia" w:ascii="楷体_GB2312" w:hAnsi="楷体_GB2312" w:eastAsia="楷体_GB2312" w:cs="楷体_GB2312"/>
          <w:b w:val="0"/>
          <w:bCs w:val="0"/>
          <w:sz w:val="24"/>
          <w:szCs w:val="24"/>
          <w:highlight w:val="none"/>
        </w:rPr>
        <w:t>上述技术服务要求属于实质性响应条款，供应商均需提供承诺函加盖单位公章，格式自拟。未满足实质性响应条款的，将被列为无效投标。</w:t>
      </w:r>
    </w:p>
    <w:p>
      <w:pPr>
        <w:pStyle w:val="9"/>
        <w:keepNext w:val="0"/>
        <w:keepLines w:val="0"/>
        <w:pageBreakBefore w:val="0"/>
        <w:kinsoku/>
        <w:overflowPunct/>
        <w:topLinePunct w:val="0"/>
        <w:autoSpaceDE/>
        <w:autoSpaceDN/>
        <w:bidi w:val="0"/>
        <w:spacing w:line="360" w:lineRule="auto"/>
        <w:ind w:left="0" w:leftChars="0" w:firstLine="0" w:firstLineChars="0"/>
        <w:textAlignment w:val="auto"/>
        <w:rPr>
          <w:rFonts w:hint="eastAsia" w:ascii="黑体" w:hAnsi="黑体" w:eastAsia="黑体" w:cs="黑体"/>
          <w:b w:val="0"/>
          <w:bCs w:val="0"/>
          <w:i w:val="0"/>
          <w:caps w:val="0"/>
          <w:color w:val="auto"/>
          <w:spacing w:val="0"/>
          <w:w w:val="100"/>
          <w:sz w:val="24"/>
          <w:szCs w:val="24"/>
          <w:highlight w:val="none"/>
          <w:lang w:val="en-US" w:eastAsia="zh-CN"/>
        </w:rPr>
      </w:pPr>
      <w:r>
        <w:rPr>
          <w:rFonts w:hint="eastAsia" w:ascii="黑体" w:hAnsi="黑体" w:eastAsia="黑体" w:cs="黑体"/>
          <w:b w:val="0"/>
          <w:bCs w:val="0"/>
          <w:i w:val="0"/>
          <w:caps w:val="0"/>
          <w:color w:val="auto"/>
          <w:spacing w:val="0"/>
          <w:w w:val="100"/>
          <w:sz w:val="24"/>
          <w:szCs w:val="24"/>
          <w:highlight w:val="none"/>
          <w:lang w:val="en-US" w:eastAsia="zh-CN"/>
        </w:rPr>
        <w:t>（二）</w:t>
      </w:r>
      <w:r>
        <w:rPr>
          <w:rFonts w:hint="eastAsia" w:ascii="黑体" w:hAnsi="黑体" w:eastAsia="黑体" w:cs="Times New Roman"/>
          <w:color w:val="000000"/>
          <w:sz w:val="24"/>
          <w:szCs w:val="24"/>
          <w:vertAlign w:val="baseline"/>
          <w:lang w:val="en-US" w:eastAsia="zh-CN"/>
        </w:rPr>
        <w:t>★</w:t>
      </w:r>
      <w:r>
        <w:rPr>
          <w:rFonts w:hint="eastAsia" w:ascii="黑体" w:hAnsi="黑体" w:eastAsia="黑体" w:cs="黑体"/>
          <w:b w:val="0"/>
          <w:bCs w:val="0"/>
          <w:i w:val="0"/>
          <w:caps w:val="0"/>
          <w:color w:val="auto"/>
          <w:spacing w:val="0"/>
          <w:w w:val="100"/>
          <w:sz w:val="24"/>
          <w:szCs w:val="24"/>
          <w:highlight w:val="none"/>
          <w:lang w:val="en-US" w:eastAsia="zh-CN"/>
        </w:rPr>
        <w:t>商务要求</w:t>
      </w:r>
    </w:p>
    <w:p>
      <w:pPr>
        <w:pStyle w:val="9"/>
        <w:keepNext w:val="0"/>
        <w:keepLines w:val="0"/>
        <w:pageBreakBefore w:val="0"/>
        <w:numPr>
          <w:ilvl w:val="0"/>
          <w:numId w:val="0"/>
        </w:numPr>
        <w:kinsoku/>
        <w:overflowPunct/>
        <w:topLinePunct w:val="0"/>
        <w:autoSpaceDE/>
        <w:autoSpaceDN/>
        <w:bidi w:val="0"/>
        <w:spacing w:line="360" w:lineRule="auto"/>
        <w:ind w:firstLine="480" w:firstLineChars="200"/>
        <w:textAlignment w:val="auto"/>
        <w:rPr>
          <w:rFonts w:hint="eastAsia" w:ascii="仿宋_GB2312" w:hAnsi="仿宋_GB2312" w:eastAsia="仿宋_GB2312" w:cs="仿宋_GB2312"/>
          <w:bCs w:val="0"/>
          <w:kern w:val="2"/>
          <w:sz w:val="24"/>
          <w:szCs w:val="22"/>
          <w:lang w:val="en-US" w:eastAsia="zh-CN" w:bidi="ar-SA"/>
        </w:rPr>
      </w:pPr>
      <w:r>
        <w:rPr>
          <w:rFonts w:hint="eastAsia" w:ascii="仿宋_GB2312" w:hAnsi="仿宋_GB2312" w:eastAsia="仿宋_GB2312" w:cs="仿宋_GB2312"/>
          <w:bCs w:val="0"/>
          <w:kern w:val="2"/>
          <w:sz w:val="24"/>
          <w:szCs w:val="22"/>
          <w:lang w:val="en-US" w:eastAsia="zh-CN" w:bidi="ar-SA"/>
        </w:rPr>
        <w:t>1.采购与实施时间说明：</w:t>
      </w:r>
    </w:p>
    <w:p>
      <w:pPr>
        <w:pStyle w:val="9"/>
        <w:keepNext w:val="0"/>
        <w:keepLines w:val="0"/>
        <w:pageBreakBefore w:val="0"/>
        <w:numPr>
          <w:ilvl w:val="0"/>
          <w:numId w:val="0"/>
        </w:numPr>
        <w:kinsoku/>
        <w:overflowPunct/>
        <w:topLinePunct w:val="0"/>
        <w:autoSpaceDE/>
        <w:autoSpaceDN/>
        <w:bidi w:val="0"/>
        <w:spacing w:line="360" w:lineRule="auto"/>
        <w:ind w:firstLine="480" w:firstLineChars="200"/>
        <w:textAlignment w:val="auto"/>
        <w:rPr>
          <w:rFonts w:hint="eastAsia" w:ascii="仿宋_GB2312" w:hAnsi="仿宋_GB2312" w:eastAsia="仿宋_GB2312" w:cs="仿宋_GB2312"/>
          <w:bCs w:val="0"/>
          <w:kern w:val="2"/>
          <w:sz w:val="24"/>
          <w:szCs w:val="22"/>
          <w:lang w:val="en-US" w:eastAsia="zh-CN" w:bidi="ar-SA"/>
        </w:rPr>
      </w:pPr>
      <w:r>
        <w:rPr>
          <w:rFonts w:hint="eastAsia" w:ascii="仿宋_GB2312" w:hAnsi="仿宋_GB2312" w:eastAsia="仿宋_GB2312" w:cs="仿宋_GB2312"/>
          <w:bCs w:val="0"/>
          <w:kern w:val="2"/>
          <w:sz w:val="24"/>
          <w:szCs w:val="22"/>
          <w:lang w:val="en-US" w:eastAsia="zh-CN" w:bidi="ar-SA"/>
        </w:rPr>
        <w:t>（1）采购时间：2025年9月28日（星期天）上午9：30</w:t>
      </w:r>
    </w:p>
    <w:p>
      <w:pPr>
        <w:pStyle w:val="9"/>
        <w:keepNext w:val="0"/>
        <w:keepLines w:val="0"/>
        <w:pageBreakBefore w:val="0"/>
        <w:numPr>
          <w:ilvl w:val="0"/>
          <w:numId w:val="0"/>
        </w:numPr>
        <w:kinsoku/>
        <w:overflowPunct/>
        <w:topLinePunct w:val="0"/>
        <w:autoSpaceDE/>
        <w:autoSpaceDN/>
        <w:bidi w:val="0"/>
        <w:spacing w:line="360" w:lineRule="auto"/>
        <w:ind w:firstLine="480" w:firstLineChars="200"/>
        <w:textAlignment w:val="auto"/>
        <w:rPr>
          <w:rFonts w:hint="eastAsia" w:ascii="仿宋_GB2312" w:hAnsi="仿宋_GB2312" w:eastAsia="仿宋_GB2312" w:cs="仿宋_GB2312"/>
          <w:bCs w:val="0"/>
          <w:kern w:val="2"/>
          <w:sz w:val="24"/>
          <w:szCs w:val="22"/>
          <w:lang w:val="en-US" w:eastAsia="zh-CN" w:bidi="ar-SA"/>
        </w:rPr>
      </w:pPr>
      <w:r>
        <w:rPr>
          <w:rFonts w:hint="eastAsia" w:ascii="仿宋_GB2312" w:hAnsi="仿宋_GB2312" w:eastAsia="仿宋_GB2312" w:cs="仿宋_GB2312"/>
          <w:bCs w:val="0"/>
          <w:kern w:val="2"/>
          <w:sz w:val="24"/>
          <w:szCs w:val="22"/>
          <w:lang w:val="en-US" w:eastAsia="zh-CN" w:bidi="ar-SA"/>
        </w:rPr>
        <w:t xml:space="preserve">（2）采购地点：四川省妇幼保健院（晋阳院区）-综合楼五楼小会议室 </w:t>
      </w:r>
    </w:p>
    <w:p>
      <w:pPr>
        <w:pStyle w:val="9"/>
        <w:keepNext w:val="0"/>
        <w:keepLines w:val="0"/>
        <w:pageBreakBefore w:val="0"/>
        <w:numPr>
          <w:ilvl w:val="0"/>
          <w:numId w:val="0"/>
        </w:numPr>
        <w:kinsoku/>
        <w:overflowPunct/>
        <w:topLinePunct w:val="0"/>
        <w:autoSpaceDE/>
        <w:autoSpaceDN/>
        <w:bidi w:val="0"/>
        <w:spacing w:line="360" w:lineRule="auto"/>
        <w:ind w:firstLine="480" w:firstLineChars="200"/>
        <w:textAlignment w:val="auto"/>
        <w:rPr>
          <w:rFonts w:hint="eastAsia" w:ascii="仿宋_GB2312" w:hAnsi="仿宋_GB2312" w:eastAsia="仿宋_GB2312" w:cs="仿宋_GB2312"/>
          <w:bCs w:val="0"/>
          <w:kern w:val="2"/>
          <w:sz w:val="24"/>
          <w:szCs w:val="22"/>
          <w:lang w:val="en-US" w:eastAsia="zh-CN" w:bidi="ar-SA"/>
        </w:rPr>
      </w:pPr>
      <w:r>
        <w:rPr>
          <w:rFonts w:hint="eastAsia" w:ascii="仿宋_GB2312" w:hAnsi="仿宋_GB2312" w:eastAsia="仿宋_GB2312" w:cs="仿宋_GB2312"/>
          <w:bCs w:val="0"/>
          <w:kern w:val="2"/>
          <w:sz w:val="24"/>
          <w:szCs w:val="22"/>
          <w:lang w:val="en-US" w:eastAsia="zh-CN" w:bidi="ar-SA"/>
        </w:rPr>
        <w:t>（3）本项目工期为自合同签订之日起40个日历日内，认定标准为完成项目所有内容后实现外电正式通电，并通过相关电力部门的验收。同时，改造后的变压器达到投用状态。</w:t>
      </w:r>
    </w:p>
    <w:p>
      <w:pPr>
        <w:pStyle w:val="9"/>
        <w:keepNext w:val="0"/>
        <w:keepLines w:val="0"/>
        <w:pageBreakBefore w:val="0"/>
        <w:numPr>
          <w:ilvl w:val="0"/>
          <w:numId w:val="0"/>
        </w:numPr>
        <w:kinsoku/>
        <w:overflowPunct/>
        <w:topLinePunct w:val="0"/>
        <w:autoSpaceDE/>
        <w:autoSpaceDN/>
        <w:bidi w:val="0"/>
        <w:spacing w:line="360" w:lineRule="auto"/>
        <w:ind w:firstLine="480" w:firstLineChars="200"/>
        <w:textAlignment w:val="auto"/>
        <w:rPr>
          <w:rFonts w:hint="eastAsia" w:ascii="仿宋_GB2312" w:hAnsi="仿宋_GB2312" w:eastAsia="仿宋_GB2312" w:cs="仿宋_GB2312"/>
          <w:bCs w:val="0"/>
          <w:kern w:val="2"/>
          <w:sz w:val="24"/>
          <w:szCs w:val="22"/>
          <w:lang w:val="en-US" w:eastAsia="zh-CN" w:bidi="ar-SA"/>
        </w:rPr>
      </w:pPr>
      <w:r>
        <w:rPr>
          <w:rFonts w:hint="eastAsia" w:ascii="仿宋_GB2312" w:hAnsi="仿宋_GB2312" w:eastAsia="仿宋_GB2312" w:cs="仿宋_GB2312"/>
          <w:bCs w:val="0"/>
          <w:kern w:val="2"/>
          <w:sz w:val="24"/>
          <w:szCs w:val="22"/>
          <w:lang w:val="en-US" w:eastAsia="zh-CN" w:bidi="ar-SA"/>
        </w:rPr>
        <w:t>2.建设地点</w:t>
      </w:r>
      <w:r>
        <w:rPr>
          <w:rFonts w:hint="eastAsia" w:ascii="仿宋_GB2312" w:hAnsi="仿宋_GB2312" w:cs="仿宋_GB2312"/>
          <w:bCs w:val="0"/>
          <w:kern w:val="2"/>
          <w:sz w:val="24"/>
          <w:szCs w:val="22"/>
          <w:lang w:val="en-US" w:eastAsia="zh-CN" w:bidi="ar-SA"/>
        </w:rPr>
        <w:t>：成都市天府国际生物城</w:t>
      </w:r>
      <w:r>
        <w:rPr>
          <w:rFonts w:hint="eastAsia" w:ascii="仿宋_GB2312" w:hAnsi="仿宋_GB2312" w:eastAsia="仿宋_GB2312" w:cs="仿宋_GB2312"/>
          <w:bCs w:val="0"/>
          <w:kern w:val="2"/>
          <w:sz w:val="24"/>
          <w:szCs w:val="22"/>
          <w:lang w:val="en-US" w:eastAsia="zh-CN" w:bidi="ar-SA"/>
        </w:rPr>
        <w:t>。</w:t>
      </w:r>
    </w:p>
    <w:p>
      <w:pPr>
        <w:pStyle w:val="9"/>
        <w:keepNext w:val="0"/>
        <w:keepLines w:val="0"/>
        <w:pageBreakBefore w:val="0"/>
        <w:numPr>
          <w:ilvl w:val="0"/>
          <w:numId w:val="0"/>
        </w:numPr>
        <w:kinsoku/>
        <w:overflowPunct/>
        <w:topLinePunct w:val="0"/>
        <w:autoSpaceDE/>
        <w:autoSpaceDN/>
        <w:bidi w:val="0"/>
        <w:spacing w:line="360" w:lineRule="auto"/>
        <w:ind w:firstLine="480" w:firstLineChars="200"/>
        <w:textAlignment w:val="auto"/>
        <w:rPr>
          <w:rFonts w:hint="eastAsia" w:ascii="仿宋_GB2312" w:hAnsi="仿宋_GB2312" w:eastAsia="仿宋_GB2312" w:cs="仿宋_GB2312"/>
          <w:bCs w:val="0"/>
          <w:kern w:val="2"/>
          <w:sz w:val="24"/>
          <w:szCs w:val="22"/>
          <w:lang w:val="en-US" w:eastAsia="zh-CN" w:bidi="ar-SA"/>
        </w:rPr>
      </w:pPr>
      <w:r>
        <w:rPr>
          <w:rFonts w:hint="eastAsia" w:ascii="仿宋_GB2312" w:hAnsi="仿宋_GB2312" w:cs="仿宋_GB2312"/>
          <w:bCs w:val="0"/>
          <w:kern w:val="2"/>
          <w:sz w:val="24"/>
          <w:szCs w:val="22"/>
          <w:lang w:val="en-US" w:eastAsia="zh-CN" w:bidi="ar-SA"/>
        </w:rPr>
        <w:t>3.</w:t>
      </w:r>
      <w:r>
        <w:rPr>
          <w:rFonts w:hint="eastAsia" w:ascii="仿宋_GB2312" w:hAnsi="仿宋_GB2312" w:eastAsia="仿宋_GB2312" w:cs="仿宋_GB2312"/>
          <w:bCs w:val="0"/>
          <w:kern w:val="2"/>
          <w:sz w:val="24"/>
          <w:szCs w:val="22"/>
          <w:lang w:val="en-US" w:eastAsia="zh-CN" w:bidi="ar-SA"/>
        </w:rPr>
        <w:t>付款方式及进度安排：本项目完成合同签订后10个工作日内，供应商应向采购人支付中标金额的60%；项目完成改造并通过验收后10个工作日内，供应商应向采购人支付中标金额的40%。</w:t>
      </w:r>
    </w:p>
    <w:p>
      <w:pPr>
        <w:widowControl/>
        <w:spacing w:line="360" w:lineRule="auto"/>
        <w:ind w:firstLine="485"/>
        <w:jc w:val="left"/>
        <w:rPr>
          <w:rFonts w:hint="eastAsia" w:ascii="仿宋_GB2312" w:hAnsi="仿宋_GB2312" w:eastAsia="仿宋_GB2312" w:cs="仿宋_GB2312"/>
          <w:bCs w:val="0"/>
          <w:kern w:val="2"/>
          <w:sz w:val="24"/>
          <w:szCs w:val="22"/>
          <w:lang w:val="zh-CN" w:eastAsia="zh-CN" w:bidi="ar-SA"/>
        </w:rPr>
      </w:pPr>
      <w:r>
        <w:rPr>
          <w:rFonts w:hint="eastAsia" w:ascii="仿宋_GB2312" w:hAnsi="仿宋_GB2312" w:eastAsia="仿宋_GB2312" w:cs="仿宋_GB2312"/>
          <w:bCs w:val="0"/>
          <w:kern w:val="2"/>
          <w:sz w:val="24"/>
          <w:szCs w:val="22"/>
          <w:lang w:val="en-US" w:eastAsia="zh-CN" w:bidi="ar-SA"/>
        </w:rPr>
        <w:t>4.合同履约地点：四川省妇幼保健院天府院区</w:t>
      </w:r>
      <w:r>
        <w:rPr>
          <w:rFonts w:hint="eastAsia" w:ascii="仿宋_GB2312" w:hAnsi="仿宋_GB2312" w:eastAsia="仿宋_GB2312" w:cs="仿宋_GB2312"/>
          <w:bCs w:val="0"/>
          <w:kern w:val="2"/>
          <w:sz w:val="24"/>
          <w:szCs w:val="22"/>
          <w:lang w:val="zh-CN" w:eastAsia="zh-CN" w:bidi="ar-SA"/>
        </w:rPr>
        <w:t>。</w:t>
      </w:r>
    </w:p>
    <w:p>
      <w:pPr>
        <w:pStyle w:val="25"/>
        <w:adjustRightInd w:val="0"/>
        <w:snapToGrid w:val="0"/>
        <w:spacing w:before="80" w:after="80"/>
        <w:ind w:firstLine="480" w:firstLineChars="0"/>
        <w:rPr>
          <w:rFonts w:hint="default" w:ascii="仿宋_GB2312" w:hAnsi="仿宋_GB2312" w:eastAsia="仿宋_GB2312" w:cs="仿宋_GB2312"/>
          <w:b/>
          <w:bCs w:val="0"/>
          <w:sz w:val="24"/>
          <w:szCs w:val="22"/>
          <w:lang w:val="en-US" w:eastAsia="zh-CN"/>
        </w:rPr>
      </w:pPr>
      <w:r>
        <w:rPr>
          <w:rFonts w:hint="default" w:ascii="仿宋_GB2312" w:hAnsi="仿宋_GB2312" w:eastAsia="仿宋_GB2312" w:cs="仿宋_GB2312"/>
          <w:b/>
          <w:bCs w:val="0"/>
          <w:sz w:val="24"/>
          <w:szCs w:val="22"/>
          <w:lang w:val="en-US" w:eastAsia="zh-CN"/>
        </w:rPr>
        <w:t>上述商务要求属于实质性响应条款，供应商均需提供承诺函加盖单位公章，格式自拟。未满足实质性响应条款的，将被列为无效投标。</w:t>
      </w:r>
    </w:p>
    <w:p>
      <w:pPr>
        <w:pStyle w:val="25"/>
        <w:adjustRightInd w:val="0"/>
        <w:snapToGrid w:val="0"/>
        <w:spacing w:before="80" w:after="80"/>
        <w:ind w:firstLine="480" w:firstLineChars="0"/>
        <w:rPr>
          <w:rFonts w:hint="eastAsia" w:ascii="仿宋_GB2312" w:hAnsi="仿宋_GB2312" w:eastAsia="仿宋_GB2312" w:cs="仿宋_GB2312"/>
          <w:bCs w:val="0"/>
          <w:sz w:val="24"/>
          <w:szCs w:val="22"/>
          <w:highlight w:val="none"/>
        </w:rPr>
      </w:pPr>
      <w:r>
        <w:rPr>
          <w:rFonts w:hint="eastAsia" w:ascii="仿宋_GB2312" w:hAnsi="仿宋_GB2312" w:eastAsia="仿宋_GB2312" w:cs="仿宋_GB2312"/>
          <w:bCs w:val="0"/>
          <w:sz w:val="24"/>
          <w:szCs w:val="22"/>
          <w:highlight w:val="none"/>
        </w:rPr>
        <w:t>（四）履约要求：</w:t>
      </w:r>
    </w:p>
    <w:p>
      <w:pPr>
        <w:pStyle w:val="25"/>
        <w:adjustRightInd w:val="0"/>
        <w:snapToGrid w:val="0"/>
        <w:spacing w:before="80" w:after="80"/>
        <w:ind w:firstLine="480" w:firstLineChars="0"/>
        <w:rPr>
          <w:rFonts w:hint="eastAsia" w:ascii="仿宋_GB2312" w:hAnsi="仿宋_GB2312" w:eastAsia="仿宋_GB2312" w:cs="仿宋_GB2312"/>
          <w:bCs/>
          <w:sz w:val="24"/>
          <w:szCs w:val="22"/>
          <w:highlight w:val="none"/>
        </w:rPr>
      </w:pPr>
      <w:r>
        <w:rPr>
          <w:rFonts w:hint="eastAsia" w:ascii="仿宋_GB2312" w:hAnsi="仿宋_GB2312" w:eastAsia="仿宋_GB2312" w:cs="仿宋_GB2312"/>
          <w:bCs/>
          <w:sz w:val="24"/>
          <w:szCs w:val="22"/>
          <w:highlight w:val="none"/>
        </w:rPr>
        <w:t>1.履约验收主体：四川省妇幼保健院</w:t>
      </w:r>
    </w:p>
    <w:p>
      <w:pPr>
        <w:pStyle w:val="25"/>
        <w:adjustRightInd w:val="0"/>
        <w:snapToGrid w:val="0"/>
        <w:spacing w:before="80" w:after="80"/>
        <w:ind w:firstLine="480" w:firstLineChars="0"/>
        <w:rPr>
          <w:rFonts w:hint="eastAsia" w:ascii="仿宋_GB2312" w:hAnsi="仿宋_GB2312" w:eastAsia="仿宋_GB2312" w:cs="仿宋_GB2312"/>
          <w:bCs/>
          <w:sz w:val="24"/>
          <w:szCs w:val="22"/>
          <w:highlight w:val="none"/>
        </w:rPr>
      </w:pPr>
      <w:r>
        <w:rPr>
          <w:rFonts w:hint="eastAsia" w:ascii="仿宋_GB2312" w:hAnsi="仿宋_GB2312" w:eastAsia="仿宋_GB2312" w:cs="仿宋_GB2312"/>
          <w:bCs/>
          <w:sz w:val="24"/>
          <w:szCs w:val="22"/>
          <w:highlight w:val="none"/>
        </w:rPr>
        <w:t>2.履约验收时间：供应商提出验收申请之日起30日内组织验收</w:t>
      </w:r>
    </w:p>
    <w:p>
      <w:pPr>
        <w:pStyle w:val="25"/>
        <w:adjustRightInd w:val="0"/>
        <w:snapToGrid w:val="0"/>
        <w:spacing w:before="80" w:after="80"/>
        <w:ind w:firstLine="480" w:firstLineChars="0"/>
        <w:rPr>
          <w:rFonts w:hint="eastAsia" w:ascii="仿宋_GB2312" w:hAnsi="仿宋_GB2312" w:eastAsia="仿宋_GB2312" w:cs="仿宋_GB2312"/>
          <w:bCs/>
          <w:sz w:val="24"/>
          <w:szCs w:val="22"/>
          <w:highlight w:val="none"/>
        </w:rPr>
      </w:pPr>
      <w:r>
        <w:rPr>
          <w:rFonts w:hint="eastAsia" w:ascii="仿宋_GB2312" w:hAnsi="仿宋_GB2312" w:eastAsia="仿宋_GB2312" w:cs="仿宋_GB2312"/>
          <w:bCs/>
          <w:sz w:val="24"/>
          <w:szCs w:val="22"/>
          <w:highlight w:val="none"/>
        </w:rPr>
        <w:t>3.验收组织方式：自行验收</w:t>
      </w:r>
    </w:p>
    <w:p>
      <w:pPr>
        <w:pStyle w:val="25"/>
        <w:adjustRightInd w:val="0"/>
        <w:snapToGrid w:val="0"/>
        <w:spacing w:before="80" w:after="80"/>
        <w:ind w:firstLine="480" w:firstLineChars="0"/>
        <w:rPr>
          <w:rFonts w:hint="eastAsia" w:ascii="仿宋_GB2312" w:hAnsi="仿宋_GB2312" w:eastAsia="仿宋_GB2312" w:cs="仿宋_GB2312"/>
          <w:bCs/>
          <w:sz w:val="24"/>
          <w:szCs w:val="22"/>
          <w:highlight w:val="none"/>
        </w:rPr>
      </w:pPr>
      <w:r>
        <w:rPr>
          <w:rFonts w:hint="eastAsia" w:ascii="仿宋_GB2312" w:hAnsi="仿宋_GB2312" w:eastAsia="仿宋_GB2312" w:cs="仿宋_GB2312"/>
          <w:bCs/>
          <w:sz w:val="24"/>
          <w:szCs w:val="22"/>
          <w:highlight w:val="none"/>
        </w:rPr>
        <w:t>4.履约验收程序：分期验收</w:t>
      </w:r>
    </w:p>
    <w:p>
      <w:pPr>
        <w:pStyle w:val="25"/>
        <w:adjustRightInd w:val="0"/>
        <w:snapToGrid w:val="0"/>
        <w:spacing w:before="80" w:after="80"/>
        <w:ind w:firstLine="480" w:firstLineChars="0"/>
        <w:rPr>
          <w:rFonts w:hint="eastAsia" w:ascii="仿宋_GB2312" w:hAnsi="仿宋_GB2312" w:eastAsia="仿宋_GB2312" w:cs="仿宋_GB2312"/>
          <w:bCs/>
          <w:sz w:val="24"/>
          <w:szCs w:val="22"/>
          <w:highlight w:val="none"/>
        </w:rPr>
      </w:pPr>
      <w:r>
        <w:rPr>
          <w:rFonts w:hint="eastAsia" w:ascii="仿宋_GB2312" w:hAnsi="仿宋_GB2312" w:eastAsia="仿宋_GB2312" w:cs="仿宋_GB2312"/>
          <w:bCs/>
          <w:sz w:val="24"/>
          <w:szCs w:val="22"/>
          <w:highlight w:val="none"/>
        </w:rPr>
        <w:t>5.技术履约验收内容：按照本项目招标文件中“技术、服务要求”及中标人投标文件进行验收。</w:t>
      </w:r>
    </w:p>
    <w:p>
      <w:pPr>
        <w:pStyle w:val="25"/>
        <w:adjustRightInd w:val="0"/>
        <w:snapToGrid w:val="0"/>
        <w:spacing w:before="80" w:after="80"/>
        <w:ind w:firstLine="480" w:firstLineChars="0"/>
        <w:rPr>
          <w:rFonts w:hint="eastAsia" w:ascii="仿宋_GB2312" w:hAnsi="仿宋_GB2312" w:eastAsia="仿宋_GB2312" w:cs="仿宋_GB2312"/>
          <w:bCs/>
          <w:sz w:val="24"/>
          <w:szCs w:val="22"/>
          <w:highlight w:val="none"/>
        </w:rPr>
      </w:pPr>
      <w:r>
        <w:rPr>
          <w:rFonts w:hint="eastAsia" w:ascii="仿宋_GB2312" w:hAnsi="仿宋_GB2312" w:eastAsia="仿宋_GB2312" w:cs="仿宋_GB2312"/>
          <w:bCs/>
          <w:sz w:val="24"/>
          <w:szCs w:val="22"/>
          <w:highlight w:val="none"/>
        </w:rPr>
        <w:t>6.商务履约验收内容：按照本项目招标文件中“商务要求”及中标人投标文件进行验收。</w:t>
      </w:r>
    </w:p>
    <w:p>
      <w:pPr>
        <w:pStyle w:val="25"/>
        <w:adjustRightInd w:val="0"/>
        <w:snapToGrid w:val="0"/>
        <w:spacing w:before="80" w:after="80"/>
        <w:ind w:firstLine="480" w:firstLineChars="0"/>
        <w:rPr>
          <w:rFonts w:hint="eastAsia" w:ascii="仿宋_GB2312" w:hAnsi="仿宋_GB2312" w:eastAsia="仿宋_GB2312" w:cs="仿宋_GB2312"/>
          <w:bCs/>
          <w:sz w:val="24"/>
          <w:szCs w:val="22"/>
          <w:highlight w:val="none"/>
        </w:rPr>
      </w:pPr>
      <w:r>
        <w:rPr>
          <w:rFonts w:hint="eastAsia" w:ascii="仿宋_GB2312" w:hAnsi="仿宋_GB2312" w:eastAsia="仿宋_GB2312" w:cs="仿宋_GB2312"/>
          <w:bCs/>
          <w:sz w:val="24"/>
          <w:szCs w:val="22"/>
          <w:highlight w:val="none"/>
        </w:rPr>
        <w:t>7.履约验收标准：按照本项目招标文件以及中标人的投标文件作为验收标准依据，如有不一致处在不改变招标文件实质性要求的基础上，优先按照投标文件响应的为准，其他部分以双方共同认可一致的为准。</w:t>
      </w:r>
    </w:p>
    <w:p>
      <w:pPr>
        <w:pStyle w:val="25"/>
        <w:adjustRightInd w:val="0"/>
        <w:snapToGrid w:val="0"/>
        <w:spacing w:before="80" w:after="80"/>
        <w:ind w:firstLine="480" w:firstLineChars="0"/>
        <w:rPr>
          <w:rFonts w:hint="eastAsia" w:ascii="仿宋_GB2312" w:hAnsi="仿宋_GB2312" w:eastAsia="仿宋_GB2312" w:cs="仿宋_GB2312"/>
          <w:bCs w:val="0"/>
          <w:sz w:val="24"/>
          <w:szCs w:val="22"/>
          <w:highlight w:val="none"/>
        </w:rPr>
      </w:pPr>
      <w:r>
        <w:rPr>
          <w:rFonts w:hint="eastAsia" w:ascii="仿宋_GB2312" w:hAnsi="仿宋_GB2312" w:eastAsia="仿宋_GB2312" w:cs="仿宋_GB2312"/>
          <w:bCs w:val="0"/>
          <w:sz w:val="24"/>
          <w:szCs w:val="22"/>
          <w:highlight w:val="none"/>
        </w:rPr>
        <w:t>（</w:t>
      </w:r>
      <w:r>
        <w:rPr>
          <w:rFonts w:hint="eastAsia" w:ascii="仿宋_GB2312" w:hAnsi="仿宋_GB2312" w:eastAsia="仿宋_GB2312" w:cs="仿宋_GB2312"/>
          <w:bCs w:val="0"/>
          <w:sz w:val="24"/>
          <w:szCs w:val="22"/>
          <w:highlight w:val="none"/>
          <w:lang w:val="en-US" w:eastAsia="zh-CN"/>
        </w:rPr>
        <w:t>五</w:t>
      </w:r>
      <w:r>
        <w:rPr>
          <w:rFonts w:hint="eastAsia" w:ascii="仿宋_GB2312" w:hAnsi="仿宋_GB2312" w:eastAsia="仿宋_GB2312" w:cs="仿宋_GB2312"/>
          <w:bCs w:val="0"/>
          <w:sz w:val="24"/>
          <w:szCs w:val="22"/>
          <w:highlight w:val="none"/>
        </w:rPr>
        <w:t>）项目最</w:t>
      </w:r>
      <w:r>
        <w:rPr>
          <w:rFonts w:hint="eastAsia" w:ascii="仿宋_GB2312" w:hAnsi="仿宋_GB2312" w:eastAsia="仿宋_GB2312" w:cs="仿宋_GB2312"/>
          <w:bCs w:val="0"/>
          <w:sz w:val="24"/>
          <w:szCs w:val="22"/>
          <w:highlight w:val="none"/>
          <w:lang w:eastAsia="zh-CN"/>
        </w:rPr>
        <w:t>低</w:t>
      </w:r>
      <w:r>
        <w:rPr>
          <w:rFonts w:hint="eastAsia" w:ascii="仿宋_GB2312" w:hAnsi="仿宋_GB2312" w:eastAsia="仿宋_GB2312" w:cs="仿宋_GB2312"/>
          <w:bCs w:val="0"/>
          <w:sz w:val="24"/>
          <w:szCs w:val="22"/>
          <w:highlight w:val="none"/>
        </w:rPr>
        <w:t>限价</w:t>
      </w:r>
    </w:p>
    <w:p>
      <w:pPr>
        <w:pStyle w:val="25"/>
        <w:adjustRightInd w:val="0"/>
        <w:snapToGrid w:val="0"/>
        <w:spacing w:before="80" w:after="80"/>
        <w:ind w:firstLine="480" w:firstLineChars="0"/>
        <w:rPr>
          <w:rFonts w:hint="eastAsia" w:ascii="仿宋_GB2312" w:hAnsi="仿宋_GB2312" w:eastAsia="仿宋_GB2312" w:cs="仿宋_GB2312"/>
          <w:sz w:val="24"/>
          <w:szCs w:val="22"/>
          <w:highlight w:val="none"/>
        </w:rPr>
      </w:pPr>
      <w:r>
        <w:rPr>
          <w:rFonts w:hint="eastAsia" w:ascii="仿宋_GB2312" w:hAnsi="仿宋_GB2312" w:eastAsia="仿宋_GB2312" w:cs="仿宋_GB2312"/>
          <w:sz w:val="24"/>
          <w:szCs w:val="22"/>
          <w:highlight w:val="none"/>
        </w:rPr>
        <w:t>本项目最</w:t>
      </w:r>
      <w:r>
        <w:rPr>
          <w:rFonts w:hint="eastAsia" w:ascii="仿宋_GB2312" w:hAnsi="仿宋_GB2312" w:eastAsia="仿宋_GB2312" w:cs="仿宋_GB2312"/>
          <w:sz w:val="24"/>
          <w:szCs w:val="22"/>
          <w:highlight w:val="none"/>
          <w:lang w:eastAsia="zh-CN"/>
        </w:rPr>
        <w:t>低</w:t>
      </w:r>
      <w:r>
        <w:rPr>
          <w:rFonts w:hint="eastAsia" w:ascii="仿宋_GB2312" w:hAnsi="仿宋_GB2312" w:eastAsia="仿宋_GB2312" w:cs="仿宋_GB2312"/>
          <w:sz w:val="24"/>
          <w:szCs w:val="22"/>
          <w:highlight w:val="none"/>
        </w:rPr>
        <w:t>限价：</w:t>
      </w:r>
      <w:r>
        <w:rPr>
          <w:rFonts w:hint="eastAsia" w:ascii="仿宋_GB2312" w:hAnsi="仿宋_GB2312" w:eastAsia="仿宋_GB2312" w:cs="仿宋_GB2312"/>
          <w:sz w:val="24"/>
          <w:szCs w:val="22"/>
          <w:highlight w:val="none"/>
          <w:lang w:val="en-US" w:eastAsia="zh-CN"/>
        </w:rPr>
        <w:t>155</w:t>
      </w:r>
      <w:r>
        <w:rPr>
          <w:rFonts w:hint="eastAsia" w:ascii="仿宋_GB2312" w:hAnsi="仿宋_GB2312" w:eastAsia="仿宋_GB2312" w:cs="仿宋_GB2312"/>
          <w:sz w:val="24"/>
          <w:szCs w:val="22"/>
          <w:highlight w:val="none"/>
        </w:rPr>
        <w:t>万元。</w:t>
      </w:r>
      <w:r>
        <w:rPr>
          <w:rFonts w:hint="eastAsia" w:ascii="仿宋_GB2312" w:hAnsi="仿宋_GB2312" w:eastAsia="仿宋_GB2312" w:cs="仿宋_GB2312"/>
          <w:bCs/>
          <w:sz w:val="24"/>
          <w:szCs w:val="22"/>
          <w:highlight w:val="none"/>
          <w:lang w:val="en-US" w:eastAsia="zh-CN"/>
        </w:rPr>
        <w:t>供应商所报价格应包括与提供服务相关的资料费（含修改完善资料）、设计费、施工安装费、调试费、材料费、人工费、设备费、办公费、差旅费、住宿费、交通费、检测费、监管费、保险费、税费、验收及知识产权、印花税等一切费用</w:t>
      </w:r>
      <w:r>
        <w:rPr>
          <w:rFonts w:hint="eastAsia" w:ascii="仿宋_GB2312" w:hAnsi="仿宋_GB2312" w:eastAsia="仿宋_GB2312" w:cs="仿宋_GB2312"/>
          <w:sz w:val="24"/>
          <w:szCs w:val="22"/>
          <w:highlight w:val="none"/>
        </w:rPr>
        <w:t>。</w:t>
      </w:r>
    </w:p>
    <w:p>
      <w:pPr>
        <w:pStyle w:val="25"/>
        <w:adjustRightInd w:val="0"/>
        <w:snapToGrid w:val="0"/>
        <w:spacing w:before="80" w:after="80"/>
        <w:ind w:firstLine="480" w:firstLineChars="0"/>
        <w:rPr>
          <w:rFonts w:hint="eastAsia" w:ascii="仿宋_GB2312" w:hAnsi="仿宋_GB2312" w:eastAsia="仿宋_GB2312" w:cs="仿宋_GB2312"/>
          <w:sz w:val="24"/>
          <w:szCs w:val="22"/>
          <w:highlight w:val="none"/>
          <w:lang w:eastAsia="zh-CN"/>
        </w:rPr>
      </w:pPr>
      <w:r>
        <w:rPr>
          <w:rFonts w:hint="eastAsia" w:ascii="仿宋_GB2312" w:hAnsi="仿宋_GB2312" w:eastAsia="仿宋_GB2312" w:cs="仿宋_GB2312"/>
          <w:sz w:val="24"/>
          <w:szCs w:val="22"/>
          <w:highlight w:val="none"/>
        </w:rPr>
        <w:t>本项目按照外电线路改造费用（含市政道路破除埋管及恢复）、电缆综合利用收益、变压器改造费用三大项进行分项报价，其中外电线路改造费用为采购人应向供应商支付的综合费用，电缆综合利用收益为供应商应向采购人支付的综合回收费用，变压器改造费用为采购人应向供应商支付的综合费用。项目评审价=电缆综合利用收益-外电线路改造费用-变压器改造费用，本项目评审价最低限价为155万元，评审价低于155万元的报价视为无效报价</w:t>
      </w:r>
      <w:r>
        <w:rPr>
          <w:rFonts w:hint="eastAsia" w:ascii="仿宋_GB2312" w:hAnsi="仿宋_GB2312" w:eastAsia="仿宋_GB2312" w:cs="仿宋_GB2312"/>
          <w:sz w:val="24"/>
          <w:szCs w:val="22"/>
          <w:highlight w:val="none"/>
          <w:lang w:eastAsia="zh-CN"/>
        </w:rPr>
        <w:t>。</w:t>
      </w:r>
    </w:p>
    <w:p>
      <w:pPr>
        <w:pStyle w:val="25"/>
        <w:numPr>
          <w:ilvl w:val="0"/>
          <w:numId w:val="2"/>
        </w:numPr>
        <w:adjustRightInd w:val="0"/>
        <w:snapToGrid w:val="0"/>
        <w:spacing w:before="80" w:after="80"/>
        <w:ind w:firstLine="480" w:firstLineChars="0"/>
        <w:rPr>
          <w:rFonts w:hint="eastAsia" w:ascii="仿宋_GB2312" w:hAnsi="仿宋_GB2312" w:eastAsia="仿宋_GB2312" w:cs="仿宋_GB2312"/>
          <w:bCs w:val="0"/>
          <w:sz w:val="24"/>
          <w:szCs w:val="22"/>
          <w:highlight w:val="none"/>
        </w:rPr>
      </w:pPr>
      <w:r>
        <w:rPr>
          <w:rFonts w:hint="eastAsia" w:ascii="仿宋_GB2312" w:hAnsi="仿宋_GB2312" w:eastAsia="仿宋_GB2312" w:cs="仿宋_GB2312"/>
          <w:bCs w:val="0"/>
          <w:sz w:val="24"/>
          <w:szCs w:val="22"/>
          <w:highlight w:val="none"/>
          <w:lang w:eastAsia="zh-CN"/>
        </w:rPr>
        <w:t>质量</w:t>
      </w:r>
      <w:r>
        <w:rPr>
          <w:rFonts w:hint="eastAsia" w:ascii="仿宋_GB2312" w:hAnsi="仿宋_GB2312" w:eastAsia="仿宋_GB2312" w:cs="仿宋_GB2312"/>
          <w:bCs w:val="0"/>
          <w:sz w:val="24"/>
          <w:szCs w:val="22"/>
          <w:highlight w:val="none"/>
        </w:rPr>
        <w:t>要求</w:t>
      </w:r>
    </w:p>
    <w:p>
      <w:pPr>
        <w:pStyle w:val="25"/>
        <w:keepNext w:val="0"/>
        <w:keepLines w:val="0"/>
        <w:pageBreakBefore w:val="0"/>
        <w:widowControl w:val="0"/>
        <w:numPr>
          <w:ilvl w:val="0"/>
          <w:numId w:val="0"/>
        </w:numPr>
        <w:kinsoku/>
        <w:wordWrap/>
        <w:overflowPunct/>
        <w:topLinePunct w:val="0"/>
        <w:autoSpaceDE/>
        <w:autoSpaceDN/>
        <w:bidi w:val="0"/>
        <w:adjustRightInd w:val="0"/>
        <w:snapToGrid w:val="0"/>
        <w:spacing w:before="80" w:after="80"/>
        <w:ind w:firstLine="480" w:firstLineChars="200"/>
        <w:textAlignment w:val="auto"/>
        <w:rPr>
          <w:rFonts w:hint="eastAsia" w:ascii="仿宋_GB2312" w:hAnsi="仿宋_GB2312" w:eastAsia="仿宋_GB2312" w:cs="仿宋_GB2312"/>
          <w:bCs w:val="0"/>
          <w:sz w:val="24"/>
          <w:szCs w:val="22"/>
          <w:highlight w:val="none"/>
        </w:rPr>
      </w:pPr>
      <w:r>
        <w:rPr>
          <w:rFonts w:hint="eastAsia" w:ascii="仿宋_GB2312" w:hAnsi="仿宋_GB2312" w:eastAsia="仿宋_GB2312" w:cs="仿宋_GB2312"/>
          <w:bCs/>
          <w:sz w:val="24"/>
          <w:szCs w:val="22"/>
          <w:highlight w:val="none"/>
          <w:lang w:val="en-US" w:eastAsia="zh-CN"/>
        </w:rPr>
        <w:t>1.（1）质保期：本项目改造竣工验收后，自竣工验收完成之日起，供应商应对本项目提供两年质保，质保内容包括新敷设部分利旧电缆在内的所有改造事项。</w:t>
      </w:r>
    </w:p>
    <w:p>
      <w:pPr>
        <w:pStyle w:val="25"/>
        <w:keepNext w:val="0"/>
        <w:keepLines w:val="0"/>
        <w:pageBreakBefore w:val="0"/>
        <w:widowControl w:val="0"/>
        <w:numPr>
          <w:ilvl w:val="0"/>
          <w:numId w:val="0"/>
        </w:numPr>
        <w:kinsoku/>
        <w:wordWrap/>
        <w:overflowPunct/>
        <w:topLinePunct w:val="0"/>
        <w:autoSpaceDE/>
        <w:autoSpaceDN/>
        <w:bidi w:val="0"/>
        <w:adjustRightInd w:val="0"/>
        <w:snapToGrid w:val="0"/>
        <w:spacing w:before="80" w:after="80"/>
        <w:ind w:firstLine="480" w:firstLineChars="200"/>
        <w:textAlignment w:val="auto"/>
        <w:rPr>
          <w:rFonts w:hint="eastAsia" w:ascii="仿宋_GB2312" w:hAnsi="仿宋_GB2312" w:eastAsia="仿宋_GB2312" w:cs="仿宋_GB2312"/>
          <w:bCs/>
          <w:sz w:val="24"/>
          <w:szCs w:val="22"/>
          <w:highlight w:val="none"/>
          <w:lang w:val="en-US" w:eastAsia="zh-CN"/>
        </w:rPr>
      </w:pPr>
      <w:bookmarkStart w:id="5" w:name="_GoBack"/>
      <w:bookmarkEnd w:id="5"/>
      <w:r>
        <w:rPr>
          <w:rFonts w:hint="eastAsia" w:ascii="仿宋_GB2312" w:hAnsi="仿宋_GB2312" w:eastAsia="仿宋_GB2312" w:cs="仿宋_GB2312"/>
          <w:bCs/>
          <w:sz w:val="24"/>
          <w:szCs w:val="22"/>
          <w:highlight w:val="none"/>
          <w:lang w:val="en-US" w:eastAsia="zh-CN"/>
        </w:rPr>
        <w:t>（2）投标人为本项目提供的设备、材料等符合国家质量标准，材料及设备绿色环保节能。</w:t>
      </w:r>
    </w:p>
    <w:p>
      <w:pPr>
        <w:pStyle w:val="25"/>
        <w:adjustRightInd w:val="0"/>
        <w:snapToGrid w:val="0"/>
        <w:spacing w:before="80" w:after="80"/>
        <w:ind w:firstLine="480" w:firstLineChars="0"/>
        <w:rPr>
          <w:rFonts w:hint="eastAsia" w:ascii="仿宋_GB2312" w:hAnsi="仿宋_GB2312" w:eastAsia="仿宋_GB2312" w:cs="仿宋_GB2312"/>
          <w:bCs w:val="0"/>
          <w:sz w:val="24"/>
          <w:szCs w:val="22"/>
          <w:highlight w:val="none"/>
          <w:lang w:eastAsia="zh-CN"/>
        </w:rPr>
      </w:pPr>
      <w:bookmarkStart w:id="2" w:name="_Toc10990"/>
      <w:bookmarkStart w:id="3" w:name="_Toc20321"/>
      <w:bookmarkStart w:id="4" w:name="_Toc19129"/>
      <w:r>
        <w:rPr>
          <w:rFonts w:hint="eastAsia" w:ascii="仿宋_GB2312" w:hAnsi="仿宋_GB2312" w:eastAsia="仿宋_GB2312" w:cs="仿宋_GB2312"/>
          <w:bCs w:val="0"/>
          <w:sz w:val="24"/>
          <w:szCs w:val="22"/>
          <w:highlight w:val="none"/>
          <w:lang w:val="en-US" w:eastAsia="zh-CN"/>
        </w:rPr>
        <w:t>2.</w:t>
      </w:r>
      <w:r>
        <w:rPr>
          <w:rFonts w:hint="eastAsia" w:ascii="仿宋_GB2312" w:hAnsi="仿宋_GB2312" w:eastAsia="仿宋_GB2312" w:cs="仿宋_GB2312"/>
          <w:bCs w:val="0"/>
          <w:sz w:val="24"/>
          <w:szCs w:val="22"/>
          <w:highlight w:val="none"/>
          <w:lang w:eastAsia="zh-CN"/>
        </w:rPr>
        <w:t>质量保修金及违约责任界定</w:t>
      </w:r>
      <w:bookmarkEnd w:id="2"/>
      <w:bookmarkEnd w:id="3"/>
      <w:bookmarkEnd w:id="4"/>
    </w:p>
    <w:p>
      <w:pPr>
        <w:pStyle w:val="25"/>
        <w:adjustRightInd w:val="0"/>
        <w:snapToGrid w:val="0"/>
        <w:spacing w:before="80" w:after="80"/>
        <w:ind w:firstLine="480" w:firstLineChars="0"/>
        <w:rPr>
          <w:rFonts w:hint="eastAsia" w:ascii="仿宋_GB2312" w:hAnsi="仿宋_GB2312" w:eastAsia="仿宋_GB2312" w:cs="仿宋_GB2312"/>
          <w:bCs w:val="0"/>
          <w:sz w:val="24"/>
          <w:szCs w:val="22"/>
          <w:highlight w:val="none"/>
          <w:lang w:eastAsia="zh-CN"/>
        </w:rPr>
      </w:pPr>
      <w:r>
        <w:rPr>
          <w:rFonts w:hint="eastAsia" w:ascii="仿宋_GB2312" w:hAnsi="仿宋_GB2312" w:eastAsia="仿宋_GB2312" w:cs="仿宋_GB2312"/>
          <w:bCs w:val="0"/>
          <w:sz w:val="24"/>
          <w:szCs w:val="22"/>
          <w:highlight w:val="none"/>
          <w:lang w:eastAsia="zh-CN"/>
        </w:rPr>
        <w:t>（1）质量保修金：工程质量保修金</w:t>
      </w:r>
      <w:r>
        <w:rPr>
          <w:rFonts w:hint="eastAsia" w:ascii="仿宋_GB2312" w:hAnsi="仿宋_GB2312" w:eastAsia="仿宋_GB2312" w:cs="仿宋_GB2312"/>
          <w:bCs w:val="0"/>
          <w:sz w:val="24"/>
          <w:szCs w:val="22"/>
          <w:highlight w:val="none"/>
          <w:lang w:val="en-US" w:eastAsia="zh-CN"/>
        </w:rPr>
        <w:t>为合同</w:t>
      </w:r>
      <w:r>
        <w:rPr>
          <w:rFonts w:hint="eastAsia" w:ascii="仿宋_GB2312" w:hAnsi="仿宋_GB2312" w:eastAsia="仿宋_GB2312" w:cs="仿宋_GB2312"/>
          <w:bCs w:val="0"/>
          <w:sz w:val="24"/>
          <w:szCs w:val="22"/>
          <w:highlight w:val="none"/>
          <w:lang w:eastAsia="zh-CN"/>
        </w:rPr>
        <w:t>价款的3%。</w:t>
      </w:r>
      <w:r>
        <w:rPr>
          <w:rFonts w:hint="eastAsia" w:ascii="仿宋_GB2312" w:hAnsi="仿宋_GB2312" w:eastAsia="仿宋_GB2312" w:cs="仿宋_GB2312"/>
          <w:bCs w:val="0"/>
          <w:sz w:val="24"/>
          <w:szCs w:val="22"/>
          <w:highlight w:val="none"/>
          <w:lang w:val="en-US" w:eastAsia="zh-CN"/>
        </w:rPr>
        <w:t>本项目完成竣工验收后，</w:t>
      </w:r>
      <w:r>
        <w:rPr>
          <w:rFonts w:hint="eastAsia" w:ascii="仿宋_GB2312" w:hAnsi="仿宋_GB2312" w:eastAsia="仿宋_GB2312" w:cs="仿宋_GB2312"/>
          <w:bCs w:val="0"/>
          <w:kern w:val="2"/>
          <w:sz w:val="24"/>
          <w:szCs w:val="22"/>
          <w:highlight w:val="none"/>
          <w:lang w:val="en-US" w:eastAsia="zh-CN" w:bidi="ar-SA"/>
        </w:rPr>
        <w:t>供应商应向采购人支付合同价款</w:t>
      </w:r>
      <w:r>
        <w:rPr>
          <w:rFonts w:hint="eastAsia" w:ascii="仿宋_GB2312" w:hAnsi="仿宋_GB2312" w:eastAsia="仿宋_GB2312" w:cs="仿宋_GB2312"/>
          <w:sz w:val="24"/>
          <w:szCs w:val="22"/>
          <w:highlight w:val="none"/>
          <w:lang w:val="en-US" w:eastAsia="zh-CN"/>
        </w:rPr>
        <w:t>金额</w:t>
      </w:r>
      <w:r>
        <w:rPr>
          <w:rFonts w:hint="eastAsia" w:ascii="仿宋_GB2312" w:hAnsi="仿宋_GB2312" w:eastAsia="仿宋_GB2312" w:cs="仿宋_GB2312"/>
          <w:bCs w:val="0"/>
          <w:kern w:val="2"/>
          <w:sz w:val="24"/>
          <w:szCs w:val="22"/>
          <w:highlight w:val="none"/>
          <w:lang w:val="en-US" w:eastAsia="zh-CN" w:bidi="ar-SA"/>
        </w:rPr>
        <w:t>的3%作为项目质量保修金。项目质量保修金在项目质保期到期后，供应商向采购人提出退款申请后14个工作日内，由采购人无息退回。</w:t>
      </w:r>
    </w:p>
    <w:p>
      <w:pPr>
        <w:pStyle w:val="25"/>
        <w:adjustRightInd w:val="0"/>
        <w:snapToGrid w:val="0"/>
        <w:spacing w:before="80" w:after="80"/>
        <w:ind w:firstLine="480" w:firstLineChars="0"/>
        <w:rPr>
          <w:rFonts w:hint="eastAsia" w:ascii="仿宋_GB2312" w:hAnsi="仿宋_GB2312" w:eastAsia="仿宋_GB2312" w:cs="仿宋_GB2312"/>
          <w:bCs w:val="0"/>
          <w:sz w:val="24"/>
          <w:szCs w:val="22"/>
          <w:highlight w:val="none"/>
          <w:lang w:eastAsia="zh-CN"/>
        </w:rPr>
      </w:pPr>
      <w:r>
        <w:rPr>
          <w:rFonts w:hint="eastAsia" w:ascii="仿宋_GB2312" w:hAnsi="仿宋_GB2312" w:eastAsia="仿宋_GB2312" w:cs="仿宋_GB2312"/>
          <w:bCs w:val="0"/>
          <w:sz w:val="24"/>
          <w:szCs w:val="22"/>
          <w:highlight w:val="none"/>
          <w:lang w:eastAsia="zh-CN"/>
        </w:rPr>
        <w:t>（2）在质量保修期内，如有质量问题，采购人书面或电话通知投标人，投标人必须在接到书面或电话通知24小时内派专人进行维修处理，若投标人不按时或不派专人维修处理；若24小时后投标人仍不派人维修处理，采购人有权另行直接委托第三方单位进行维修处理，处理费用由第三方单位计算并由造价人员签字盖公章即可，第三方单位处理的费用由采购人从质量保修金中扣除后直接支付给第三方单位。两年保修期满后14天内，扣除上述相关费用及支付第三方单位的费用并建设单位、采购人同意后，支付投标人工程质量保修金。</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480" w:firstLineChars="200"/>
        <w:jc w:val="both"/>
        <w:textAlignment w:val="auto"/>
        <w:rPr>
          <w:rFonts w:hint="eastAsia" w:ascii="黑体" w:hAnsi="黑体" w:eastAsia="黑体" w:cs="黑体"/>
          <w:b w:val="0"/>
          <w:bCs w:val="0"/>
          <w:i w:val="0"/>
          <w:caps w:val="0"/>
          <w:color w:val="auto"/>
          <w:spacing w:val="0"/>
          <w:w w:val="100"/>
          <w:sz w:val="24"/>
          <w:szCs w:val="24"/>
          <w:highlight w:val="none"/>
          <w:lang w:val="en-US" w:eastAsia="zh-CN"/>
        </w:rPr>
      </w:pPr>
      <w:r>
        <w:rPr>
          <w:rFonts w:hint="eastAsia" w:ascii="楷体_GB2312" w:hAnsi="楷体_GB2312" w:eastAsia="楷体_GB2312" w:cs="楷体_GB2312"/>
          <w:b w:val="0"/>
          <w:bCs w:val="0"/>
          <w:sz w:val="24"/>
          <w:szCs w:val="24"/>
          <w:highlight w:val="none"/>
        </w:rPr>
        <w:t>本章中的条款为本项目的实质性要求条款</w:t>
      </w:r>
      <w:r>
        <w:rPr>
          <w:rFonts w:hint="eastAsia" w:ascii="楷体_GB2312" w:hAnsi="楷体_GB2312" w:eastAsia="楷体_GB2312" w:cs="楷体_GB2312"/>
          <w:b w:val="0"/>
          <w:bCs w:val="0"/>
          <w:sz w:val="24"/>
          <w:szCs w:val="24"/>
          <w:highlight w:val="none"/>
          <w:lang w:eastAsia="zh-CN"/>
        </w:rPr>
        <w:t>（</w:t>
      </w:r>
      <w:r>
        <w:rPr>
          <w:rFonts w:hint="eastAsia" w:ascii="楷体_GB2312" w:hAnsi="楷体_GB2312" w:eastAsia="楷体_GB2312" w:cs="楷体_GB2312"/>
          <w:b w:val="0"/>
          <w:bCs w:val="0"/>
          <w:sz w:val="24"/>
          <w:szCs w:val="24"/>
          <w:highlight w:val="none"/>
        </w:rPr>
        <w:t>★</w:t>
      </w:r>
      <w:r>
        <w:rPr>
          <w:rFonts w:hint="eastAsia" w:ascii="楷体_GB2312" w:hAnsi="楷体_GB2312" w:eastAsia="楷体_GB2312" w:cs="楷体_GB2312"/>
          <w:b w:val="0"/>
          <w:bCs w:val="0"/>
          <w:sz w:val="24"/>
          <w:szCs w:val="24"/>
          <w:highlight w:val="none"/>
          <w:lang w:eastAsia="zh-CN"/>
        </w:rPr>
        <w:t>）</w:t>
      </w:r>
      <w:r>
        <w:rPr>
          <w:rFonts w:hint="eastAsia" w:ascii="楷体_GB2312" w:hAnsi="楷体_GB2312" w:eastAsia="楷体_GB2312" w:cs="楷体_GB2312"/>
          <w:b w:val="0"/>
          <w:bCs w:val="0"/>
          <w:sz w:val="24"/>
          <w:szCs w:val="24"/>
          <w:highlight w:val="none"/>
        </w:rPr>
        <w:t>，供应商应全部满足，否则其投标文件作无效处理。</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黑体" w:hAnsi="黑体" w:eastAsia="黑体" w:cs="黑体"/>
          <w:b w:val="0"/>
          <w:bCs w:val="0"/>
          <w:i w:val="0"/>
          <w:caps w:val="0"/>
          <w:color w:val="auto"/>
          <w:spacing w:val="0"/>
          <w:w w:val="100"/>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黑体" w:hAnsi="黑体" w:eastAsia="黑体" w:cs="黑体"/>
          <w:b w:val="0"/>
          <w:bCs w:val="0"/>
          <w:i w:val="0"/>
          <w:caps w:val="0"/>
          <w:color w:val="auto"/>
          <w:spacing w:val="0"/>
          <w:w w:val="100"/>
          <w:sz w:val="24"/>
          <w:szCs w:val="24"/>
          <w:highlight w:val="none"/>
          <w:lang w:val="en-US" w:eastAsia="zh-CN"/>
        </w:rPr>
      </w:pPr>
      <w:r>
        <w:rPr>
          <w:rFonts w:hint="eastAsia" w:ascii="黑体" w:hAnsi="黑体" w:eastAsia="黑体" w:cs="黑体"/>
          <w:b w:val="0"/>
          <w:bCs w:val="0"/>
          <w:i w:val="0"/>
          <w:caps w:val="0"/>
          <w:color w:val="auto"/>
          <w:spacing w:val="0"/>
          <w:w w:val="100"/>
          <w:sz w:val="24"/>
          <w:szCs w:val="24"/>
          <w:highlight w:val="none"/>
          <w:lang w:val="en-US" w:eastAsia="zh-CN"/>
        </w:rPr>
        <w:t>（三）</w:t>
      </w:r>
      <w:r>
        <w:rPr>
          <w:rFonts w:hint="eastAsia" w:ascii="黑体" w:hAnsi="黑体" w:eastAsia="黑体" w:cs="Times New Roman"/>
          <w:color w:val="000000"/>
          <w:sz w:val="24"/>
          <w:szCs w:val="24"/>
          <w:highlight w:val="none"/>
          <w:vertAlign w:val="baseline"/>
          <w:lang w:val="en-US" w:eastAsia="zh-CN"/>
        </w:rPr>
        <w:t>★</w:t>
      </w:r>
      <w:r>
        <w:rPr>
          <w:rFonts w:hint="eastAsia" w:ascii="黑体" w:hAnsi="黑体" w:eastAsia="黑体" w:cs="黑体"/>
          <w:b w:val="0"/>
          <w:bCs w:val="0"/>
          <w:i w:val="0"/>
          <w:caps w:val="0"/>
          <w:color w:val="auto"/>
          <w:spacing w:val="0"/>
          <w:w w:val="100"/>
          <w:sz w:val="24"/>
          <w:szCs w:val="24"/>
          <w:highlight w:val="none"/>
          <w:lang w:val="en-US" w:eastAsia="zh-CN"/>
        </w:rPr>
        <w:t>资格要求</w:t>
      </w:r>
    </w:p>
    <w:p>
      <w:pPr>
        <w:pStyle w:val="25"/>
        <w:adjustRightInd w:val="0"/>
        <w:snapToGrid w:val="0"/>
        <w:spacing w:before="80" w:after="80"/>
        <w:ind w:firstLine="480" w:firstLineChars="0"/>
        <w:rPr>
          <w:rFonts w:hint="eastAsia" w:ascii="仿宋_GB2312" w:hAnsi="仿宋_GB2312" w:eastAsia="仿宋_GB2312" w:cs="仿宋_GB2312"/>
          <w:bCs w:val="0"/>
          <w:sz w:val="24"/>
          <w:szCs w:val="22"/>
          <w:lang w:val="en-US" w:eastAsia="zh-CN"/>
        </w:rPr>
      </w:pPr>
      <w:r>
        <w:rPr>
          <w:rFonts w:hint="eastAsia" w:ascii="仿宋_GB2312" w:hAnsi="仿宋_GB2312" w:eastAsia="仿宋_GB2312" w:cs="仿宋_GB2312"/>
          <w:bCs w:val="0"/>
          <w:sz w:val="24"/>
          <w:szCs w:val="22"/>
          <w:lang w:val="en-US" w:eastAsia="zh-CN"/>
        </w:rPr>
        <w:t>1.具有独立承担民事责任的能力；</w:t>
      </w:r>
    </w:p>
    <w:p>
      <w:pPr>
        <w:pStyle w:val="25"/>
        <w:adjustRightInd w:val="0"/>
        <w:snapToGrid w:val="0"/>
        <w:spacing w:before="80" w:after="80"/>
        <w:ind w:firstLine="480" w:firstLineChars="0"/>
        <w:rPr>
          <w:rFonts w:hint="eastAsia" w:ascii="仿宋_GB2312" w:hAnsi="仿宋_GB2312" w:eastAsia="仿宋_GB2312" w:cs="仿宋_GB2312"/>
          <w:bCs w:val="0"/>
          <w:sz w:val="24"/>
          <w:szCs w:val="22"/>
          <w:lang w:val="en-US" w:eastAsia="zh-CN"/>
        </w:rPr>
      </w:pPr>
      <w:r>
        <w:rPr>
          <w:rFonts w:hint="eastAsia" w:ascii="仿宋_GB2312" w:hAnsi="仿宋_GB2312" w:eastAsia="仿宋_GB2312" w:cs="仿宋_GB2312"/>
          <w:bCs w:val="0"/>
          <w:sz w:val="24"/>
          <w:szCs w:val="22"/>
          <w:lang w:val="en-US" w:eastAsia="zh-CN"/>
        </w:rPr>
        <w:t>2.具有良好的商业信誉和健全的财务会计制度；</w:t>
      </w:r>
    </w:p>
    <w:p>
      <w:pPr>
        <w:pStyle w:val="25"/>
        <w:adjustRightInd w:val="0"/>
        <w:snapToGrid w:val="0"/>
        <w:spacing w:before="80" w:after="80"/>
        <w:ind w:firstLine="480" w:firstLineChars="0"/>
        <w:rPr>
          <w:rFonts w:hint="eastAsia" w:ascii="仿宋_GB2312" w:hAnsi="仿宋_GB2312" w:eastAsia="仿宋_GB2312" w:cs="仿宋_GB2312"/>
          <w:bCs w:val="0"/>
          <w:sz w:val="24"/>
          <w:szCs w:val="22"/>
          <w:lang w:val="en-US" w:eastAsia="zh-CN"/>
        </w:rPr>
      </w:pPr>
      <w:r>
        <w:rPr>
          <w:rFonts w:hint="eastAsia" w:ascii="仿宋_GB2312" w:hAnsi="仿宋_GB2312" w:eastAsia="仿宋_GB2312" w:cs="仿宋_GB2312"/>
          <w:bCs w:val="0"/>
          <w:sz w:val="24"/>
          <w:szCs w:val="22"/>
          <w:lang w:val="en-US" w:eastAsia="zh-CN"/>
        </w:rPr>
        <w:t>3.具有履行合同所必需的设备和专业技术能力；</w:t>
      </w:r>
    </w:p>
    <w:p>
      <w:pPr>
        <w:pStyle w:val="25"/>
        <w:adjustRightInd w:val="0"/>
        <w:snapToGrid w:val="0"/>
        <w:spacing w:before="80" w:after="80"/>
        <w:ind w:firstLine="480" w:firstLineChars="0"/>
        <w:rPr>
          <w:rFonts w:hint="eastAsia" w:ascii="仿宋_GB2312" w:hAnsi="仿宋_GB2312" w:eastAsia="仿宋_GB2312" w:cs="仿宋_GB2312"/>
          <w:bCs w:val="0"/>
          <w:sz w:val="24"/>
          <w:szCs w:val="22"/>
          <w:lang w:val="en-US" w:eastAsia="zh-CN"/>
        </w:rPr>
      </w:pPr>
      <w:r>
        <w:rPr>
          <w:rFonts w:hint="eastAsia" w:ascii="仿宋_GB2312" w:hAnsi="仿宋_GB2312" w:eastAsia="仿宋_GB2312" w:cs="仿宋_GB2312"/>
          <w:bCs w:val="0"/>
          <w:sz w:val="24"/>
          <w:szCs w:val="22"/>
          <w:lang w:val="en-US" w:eastAsia="zh-CN"/>
        </w:rPr>
        <w:t>4.有依法缴纳税收和社会保障资金的良好记录；</w:t>
      </w:r>
    </w:p>
    <w:p>
      <w:pPr>
        <w:pStyle w:val="25"/>
        <w:adjustRightInd w:val="0"/>
        <w:snapToGrid w:val="0"/>
        <w:spacing w:before="80" w:after="80"/>
        <w:ind w:firstLine="480" w:firstLineChars="0"/>
        <w:rPr>
          <w:rFonts w:hint="eastAsia" w:ascii="仿宋_GB2312" w:hAnsi="仿宋_GB2312" w:eastAsia="仿宋_GB2312" w:cs="仿宋_GB2312"/>
          <w:bCs w:val="0"/>
          <w:sz w:val="24"/>
          <w:szCs w:val="22"/>
          <w:lang w:val="en-US" w:eastAsia="zh-CN"/>
        </w:rPr>
      </w:pPr>
      <w:r>
        <w:rPr>
          <w:rFonts w:hint="eastAsia" w:ascii="仿宋_GB2312" w:hAnsi="仿宋_GB2312" w:eastAsia="仿宋_GB2312" w:cs="仿宋_GB2312"/>
          <w:bCs w:val="0"/>
          <w:sz w:val="24"/>
          <w:szCs w:val="22"/>
          <w:lang w:val="en-US" w:eastAsia="zh-CN"/>
        </w:rPr>
        <w:t>5.参加本采购活动前三年内，在经营活动中没有重大违法记录（成立不足三年的，从成立之日起计算）；</w:t>
      </w:r>
    </w:p>
    <w:p>
      <w:pPr>
        <w:pStyle w:val="25"/>
        <w:adjustRightInd w:val="0"/>
        <w:snapToGrid w:val="0"/>
        <w:spacing w:before="80" w:after="80"/>
        <w:ind w:firstLine="480" w:firstLineChars="0"/>
        <w:rPr>
          <w:rFonts w:hint="eastAsia" w:ascii="仿宋_GB2312" w:hAnsi="仿宋_GB2312" w:eastAsia="仿宋_GB2312" w:cs="仿宋_GB2312"/>
          <w:bCs w:val="0"/>
          <w:sz w:val="24"/>
          <w:szCs w:val="22"/>
          <w:lang w:val="en-US" w:eastAsia="zh-CN"/>
        </w:rPr>
      </w:pPr>
      <w:r>
        <w:rPr>
          <w:rFonts w:hint="eastAsia" w:ascii="仿宋_GB2312" w:hAnsi="仿宋_GB2312" w:eastAsia="仿宋_GB2312" w:cs="仿宋_GB2312"/>
          <w:bCs w:val="0"/>
          <w:sz w:val="24"/>
          <w:szCs w:val="22"/>
          <w:lang w:val="en-US" w:eastAsia="zh-CN"/>
        </w:rPr>
        <w:t>6.符合法律、行政法规规定的其他条件；</w:t>
      </w:r>
    </w:p>
    <w:p>
      <w:pPr>
        <w:pStyle w:val="25"/>
        <w:adjustRightInd w:val="0"/>
        <w:snapToGrid w:val="0"/>
        <w:spacing w:before="80" w:after="80"/>
        <w:ind w:firstLine="480" w:firstLineChars="0"/>
        <w:rPr>
          <w:rFonts w:hint="eastAsia" w:ascii="仿宋_GB2312" w:hAnsi="仿宋_GB2312" w:eastAsia="仿宋_GB2312" w:cs="仿宋_GB2312"/>
          <w:bCs w:val="0"/>
          <w:sz w:val="24"/>
          <w:szCs w:val="22"/>
          <w:lang w:val="en-US" w:eastAsia="zh-CN"/>
        </w:rPr>
      </w:pPr>
      <w:r>
        <w:rPr>
          <w:rFonts w:hint="eastAsia" w:ascii="仿宋_GB2312" w:hAnsi="仿宋_GB2312" w:eastAsia="仿宋_GB2312" w:cs="仿宋_GB2312"/>
          <w:bCs w:val="0"/>
          <w:sz w:val="24"/>
          <w:szCs w:val="22"/>
          <w:lang w:val="en-US" w:eastAsia="zh-CN"/>
        </w:rPr>
        <w:t>7.参会供应商单位及其现任法定代表人、主要负责人不具有行贿犯罪记录；</w:t>
      </w:r>
    </w:p>
    <w:p>
      <w:pPr>
        <w:pStyle w:val="25"/>
        <w:adjustRightInd w:val="0"/>
        <w:snapToGrid w:val="0"/>
        <w:spacing w:before="80" w:after="80"/>
        <w:ind w:firstLine="480" w:firstLineChars="0"/>
        <w:rPr>
          <w:rFonts w:hint="eastAsia" w:ascii="仿宋_GB2312" w:hAnsi="仿宋_GB2312" w:eastAsia="仿宋_GB2312" w:cs="仿宋_GB2312"/>
          <w:bCs w:val="0"/>
          <w:sz w:val="24"/>
          <w:szCs w:val="22"/>
          <w:lang w:val="en-US" w:eastAsia="zh-CN"/>
        </w:rPr>
      </w:pPr>
      <w:r>
        <w:rPr>
          <w:rFonts w:hint="eastAsia" w:ascii="仿宋_GB2312" w:hAnsi="仿宋_GB2312" w:eastAsia="仿宋_GB2312" w:cs="仿宋_GB2312"/>
          <w:bCs w:val="0"/>
          <w:sz w:val="24"/>
          <w:szCs w:val="22"/>
          <w:lang w:val="en-US" w:eastAsia="zh-CN"/>
        </w:rPr>
        <w:t>8.截止参会时间前一个工作日，在“信用中国”“中国政府采购网”网站上未被列入失信被执行人、重大税收违法案件当事人名单以及政府采购严重违法失信行为记录名单的投标供应商；</w:t>
      </w:r>
    </w:p>
    <w:p>
      <w:pPr>
        <w:pStyle w:val="25"/>
        <w:adjustRightInd w:val="0"/>
        <w:snapToGrid w:val="0"/>
        <w:spacing w:before="80" w:after="80"/>
        <w:ind w:firstLine="480" w:firstLineChars="0"/>
        <w:rPr>
          <w:rFonts w:hint="eastAsia" w:ascii="仿宋_GB2312" w:hAnsi="仿宋_GB2312" w:eastAsia="仿宋_GB2312" w:cs="仿宋_GB2312"/>
          <w:bCs w:val="0"/>
          <w:sz w:val="24"/>
          <w:szCs w:val="22"/>
          <w:lang w:val="en-US" w:eastAsia="zh-CN"/>
        </w:rPr>
      </w:pPr>
      <w:r>
        <w:rPr>
          <w:rFonts w:hint="eastAsia" w:ascii="仿宋_GB2312" w:hAnsi="仿宋_GB2312" w:eastAsia="仿宋_GB2312" w:cs="仿宋_GB2312"/>
          <w:bCs w:val="0"/>
          <w:sz w:val="24"/>
          <w:szCs w:val="22"/>
          <w:lang w:val="en-US" w:eastAsia="zh-CN"/>
        </w:rPr>
        <w:t>9.提供法定代表人授权书；</w:t>
      </w:r>
    </w:p>
    <w:p>
      <w:pPr>
        <w:pStyle w:val="25"/>
        <w:adjustRightInd w:val="0"/>
        <w:snapToGrid w:val="0"/>
        <w:spacing w:before="80" w:after="80"/>
        <w:ind w:firstLine="480" w:firstLineChars="0"/>
        <w:rPr>
          <w:rFonts w:hint="eastAsia" w:ascii="仿宋_GB2312" w:hAnsi="仿宋_GB2312" w:eastAsia="仿宋_GB2312" w:cs="仿宋_GB2312"/>
          <w:bCs w:val="0"/>
          <w:sz w:val="24"/>
          <w:szCs w:val="22"/>
          <w:lang w:val="en-US" w:eastAsia="zh-CN"/>
        </w:rPr>
      </w:pPr>
      <w:r>
        <w:rPr>
          <w:rFonts w:hint="eastAsia" w:ascii="仿宋_GB2312" w:hAnsi="仿宋_GB2312" w:eastAsia="仿宋_GB2312" w:cs="仿宋_GB2312"/>
          <w:bCs w:val="0"/>
          <w:sz w:val="24"/>
          <w:szCs w:val="22"/>
          <w:lang w:val="en-US" w:eastAsia="zh-CN"/>
        </w:rPr>
        <w:t>10.参会供应商认为应当提供的符合招标文件规定的资格、资质性及其他具有类似效力要求的相关证明材料。</w:t>
      </w:r>
    </w:p>
    <w:p>
      <w:pPr>
        <w:pStyle w:val="25"/>
        <w:adjustRightInd w:val="0"/>
        <w:snapToGrid w:val="0"/>
        <w:spacing w:before="80" w:after="80"/>
        <w:ind w:firstLine="480" w:firstLineChars="0"/>
        <w:rPr>
          <w:rFonts w:hint="eastAsia" w:ascii="仿宋_GB2312" w:hAnsi="仿宋_GB2312" w:eastAsia="仿宋_GB2312" w:cs="仿宋_GB2312"/>
          <w:bCs w:val="0"/>
          <w:sz w:val="24"/>
          <w:szCs w:val="22"/>
          <w:lang w:val="en-US" w:eastAsia="zh-CN"/>
        </w:rPr>
      </w:pPr>
      <w:r>
        <w:rPr>
          <w:rFonts w:hint="eastAsia" w:ascii="仿宋_GB2312" w:hAnsi="仿宋_GB2312" w:eastAsia="仿宋_GB2312" w:cs="仿宋_GB2312"/>
          <w:bCs w:val="0"/>
          <w:sz w:val="24"/>
          <w:szCs w:val="22"/>
          <w:lang w:val="en-US" w:eastAsia="zh-CN"/>
        </w:rPr>
        <w:t>11.本项目不允许联合体参与投标。</w:t>
      </w:r>
    </w:p>
    <w:p>
      <w:pPr>
        <w:pStyle w:val="25"/>
        <w:adjustRightInd w:val="0"/>
        <w:snapToGrid w:val="0"/>
        <w:spacing w:before="80" w:after="80"/>
        <w:ind w:firstLine="480" w:firstLineChars="0"/>
        <w:rPr>
          <w:rFonts w:hint="default" w:ascii="仿宋_GB2312" w:hAnsi="仿宋_GB2312" w:eastAsia="仿宋_GB2312" w:cs="仿宋_GB2312"/>
          <w:bCs w:val="0"/>
          <w:sz w:val="24"/>
          <w:szCs w:val="22"/>
          <w:lang w:val="en-US" w:eastAsia="zh-CN"/>
        </w:rPr>
      </w:pPr>
      <w:r>
        <w:rPr>
          <w:rFonts w:hint="eastAsia" w:ascii="仿宋_GB2312" w:hAnsi="仿宋_GB2312" w:eastAsia="仿宋_GB2312" w:cs="仿宋_GB2312"/>
          <w:bCs w:val="0"/>
          <w:sz w:val="24"/>
          <w:szCs w:val="22"/>
          <w:lang w:val="en-US" w:eastAsia="zh-CN"/>
        </w:rPr>
        <w:t>12.施工单位具备建设行政主管部门颁发建筑机电安装工程专业承包资质三级（或以上）施工资质和输变电工程专业承包三级（或以上）资质；具备有效的安全生产许可证。</w:t>
      </w:r>
    </w:p>
    <w:p>
      <w:pPr>
        <w:pStyle w:val="25"/>
        <w:adjustRightInd w:val="0"/>
        <w:snapToGrid w:val="0"/>
        <w:spacing w:before="80" w:after="80"/>
        <w:ind w:firstLine="480" w:firstLineChars="0"/>
        <w:rPr>
          <w:rFonts w:hint="eastAsia" w:ascii="仿宋_GB2312" w:hAnsi="仿宋_GB2312" w:eastAsia="仿宋_GB2312" w:cs="仿宋_GB2312"/>
          <w:bCs w:val="0"/>
          <w:sz w:val="24"/>
          <w:szCs w:val="22"/>
          <w:lang w:eastAsia="zh-CN"/>
        </w:rPr>
      </w:pPr>
      <w:r>
        <w:rPr>
          <w:rFonts w:hint="eastAsia" w:ascii="仿宋_GB2312" w:hAnsi="仿宋_GB2312" w:eastAsia="仿宋_GB2312" w:cs="仿宋_GB2312"/>
          <w:bCs w:val="0"/>
          <w:sz w:val="24"/>
          <w:szCs w:val="22"/>
          <w:lang w:val="en-US" w:eastAsia="zh-CN"/>
        </w:rPr>
        <w:t>13.企业注册地不在四川省行政区域内的省外企业须提供在有效期内的四川省住房和城乡建设厅官网已公开的入川信息网页截图。</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480" w:firstLineChars="200"/>
        <w:jc w:val="both"/>
        <w:textAlignment w:val="auto"/>
        <w:rPr>
          <w:rFonts w:hint="eastAsia" w:ascii="仿宋_GB2312" w:hAnsi="仿宋_GB2312" w:eastAsia="仿宋_GB2312" w:cs="仿宋_GB2312"/>
          <w:b/>
          <w:bCs/>
          <w:sz w:val="24"/>
          <w:szCs w:val="24"/>
          <w:highlight w:val="none"/>
        </w:rPr>
      </w:pPr>
      <w:r>
        <w:rPr>
          <w:rFonts w:hint="eastAsia" w:ascii="楷体_GB2312" w:hAnsi="楷体_GB2312" w:eastAsia="楷体_GB2312" w:cs="楷体_GB2312"/>
          <w:b w:val="0"/>
          <w:bCs w:val="0"/>
          <w:sz w:val="24"/>
          <w:szCs w:val="24"/>
          <w:highlight w:val="none"/>
        </w:rPr>
        <w:t>本章中的条款为本项目的实质性要求条款</w:t>
      </w:r>
      <w:r>
        <w:rPr>
          <w:rFonts w:hint="eastAsia" w:ascii="楷体_GB2312" w:hAnsi="楷体_GB2312" w:eastAsia="楷体_GB2312" w:cs="楷体_GB2312"/>
          <w:b w:val="0"/>
          <w:bCs w:val="0"/>
          <w:sz w:val="24"/>
          <w:szCs w:val="24"/>
          <w:highlight w:val="none"/>
          <w:lang w:eastAsia="zh-CN"/>
        </w:rPr>
        <w:t>（</w:t>
      </w:r>
      <w:r>
        <w:rPr>
          <w:rFonts w:hint="eastAsia" w:ascii="楷体_GB2312" w:hAnsi="楷体_GB2312" w:eastAsia="楷体_GB2312" w:cs="楷体_GB2312"/>
          <w:b w:val="0"/>
          <w:bCs w:val="0"/>
          <w:sz w:val="24"/>
          <w:szCs w:val="24"/>
          <w:highlight w:val="none"/>
        </w:rPr>
        <w:t>★</w:t>
      </w:r>
      <w:r>
        <w:rPr>
          <w:rFonts w:hint="eastAsia" w:ascii="楷体_GB2312" w:hAnsi="楷体_GB2312" w:eastAsia="楷体_GB2312" w:cs="楷体_GB2312"/>
          <w:b w:val="0"/>
          <w:bCs w:val="0"/>
          <w:sz w:val="24"/>
          <w:szCs w:val="24"/>
          <w:highlight w:val="none"/>
          <w:lang w:eastAsia="zh-CN"/>
        </w:rPr>
        <w:t>）</w:t>
      </w:r>
      <w:r>
        <w:rPr>
          <w:rFonts w:hint="eastAsia" w:ascii="楷体_GB2312" w:hAnsi="楷体_GB2312" w:eastAsia="楷体_GB2312" w:cs="楷体_GB2312"/>
          <w:b w:val="0"/>
          <w:bCs w:val="0"/>
          <w:sz w:val="24"/>
          <w:szCs w:val="24"/>
          <w:highlight w:val="none"/>
        </w:rPr>
        <w:t>，供应商应全部满足，否则其投标文件作无效处理。</w:t>
      </w:r>
    </w:p>
    <w:p>
      <w:pPr>
        <w:pStyle w:val="9"/>
        <w:keepLines w:val="0"/>
        <w:pageBreakBefore w:val="0"/>
        <w:kinsoku/>
        <w:overflowPunct/>
        <w:topLinePunct w:val="0"/>
        <w:autoSpaceDE/>
        <w:autoSpaceDN/>
        <w:bidi w:val="0"/>
        <w:snapToGrid w:val="0"/>
        <w:spacing w:line="360" w:lineRule="auto"/>
        <w:ind w:left="0" w:leftChars="0" w:firstLine="0" w:firstLineChars="0"/>
        <w:jc w:val="left"/>
        <w:rPr>
          <w:rFonts w:hint="eastAsia" w:ascii="宋体" w:hAnsi="宋体" w:eastAsia="宋体" w:cs="宋体"/>
          <w:b/>
          <w:bCs/>
          <w:sz w:val="24"/>
          <w:szCs w:val="24"/>
          <w:lang w:val="en-US" w:eastAsia="zh-CN"/>
        </w:rPr>
      </w:pPr>
      <w:r>
        <w:rPr>
          <w:rFonts w:hint="eastAsia" w:hAnsi="宋体" w:eastAsia="宋体" w:cs="宋体"/>
          <w:b/>
          <w:bCs/>
          <w:sz w:val="24"/>
          <w:szCs w:val="24"/>
          <w:lang w:val="en-US" w:eastAsia="zh-CN"/>
        </w:rPr>
        <w:t>三</w:t>
      </w:r>
      <w:r>
        <w:rPr>
          <w:rFonts w:hint="eastAsia" w:ascii="宋体" w:hAnsi="宋体" w:eastAsia="宋体" w:cs="宋体"/>
          <w:b/>
          <w:bCs/>
          <w:sz w:val="24"/>
          <w:szCs w:val="24"/>
          <w:lang w:val="en-US" w:eastAsia="zh-CN"/>
        </w:rPr>
        <w:t>、评分标准</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3"/>
        <w:gridCol w:w="1650"/>
        <w:gridCol w:w="1062"/>
        <w:gridCol w:w="3510"/>
        <w:gridCol w:w="1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8522" w:type="dxa"/>
            <w:gridSpan w:val="5"/>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黑体" w:hAnsi="黑体" w:eastAsia="黑体"/>
                <w:color w:val="000000"/>
                <w:sz w:val="24"/>
                <w:szCs w:val="24"/>
                <w:vertAlign w:val="baseline"/>
                <w:lang w:val="en-US" w:eastAsia="zh-CN"/>
              </w:rPr>
            </w:pPr>
            <w:r>
              <w:rPr>
                <w:rFonts w:hint="eastAsia" w:ascii="黑体" w:hAnsi="黑体" w:eastAsia="黑体"/>
                <w:color w:val="000000"/>
                <w:sz w:val="24"/>
                <w:szCs w:val="24"/>
                <w:vertAlign w:val="baseline"/>
                <w:lang w:val="en-US" w:eastAsia="zh-CN"/>
              </w:rPr>
              <w:t>评分实施细则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3" w:type="dxa"/>
            <w:noWrap w:val="0"/>
            <w:vAlign w:val="center"/>
          </w:tcPr>
          <w:p>
            <w:pPr>
              <w:wordWrap w:val="0"/>
              <w:overflowPunct w:val="0"/>
              <w:topLinePunct/>
              <w:spacing w:line="360" w:lineRule="auto"/>
              <w:jc w:val="center"/>
              <w:textAlignment w:val="center"/>
              <w:rPr>
                <w:rFonts w:hint="default" w:ascii="黑体" w:hAnsi="黑体" w:eastAsia="黑体"/>
                <w:color w:val="000000"/>
                <w:sz w:val="24"/>
                <w:szCs w:val="24"/>
                <w:vertAlign w:val="baseline"/>
                <w:lang w:val="en-US" w:eastAsia="zh-CN"/>
              </w:rPr>
            </w:pPr>
            <w:r>
              <w:rPr>
                <w:rFonts w:hint="eastAsia" w:ascii="黑体" w:hAnsi="黑体" w:eastAsia="黑体" w:cs="黑体"/>
                <w:bCs/>
                <w:szCs w:val="21"/>
              </w:rPr>
              <w:t>序号</w:t>
            </w:r>
          </w:p>
        </w:tc>
        <w:tc>
          <w:tcPr>
            <w:tcW w:w="1650" w:type="dxa"/>
            <w:noWrap w:val="0"/>
            <w:vAlign w:val="center"/>
          </w:tcPr>
          <w:p>
            <w:pPr>
              <w:wordWrap w:val="0"/>
              <w:overflowPunct w:val="0"/>
              <w:topLinePunct/>
              <w:spacing w:line="360" w:lineRule="auto"/>
              <w:jc w:val="center"/>
              <w:textAlignment w:val="center"/>
              <w:rPr>
                <w:rFonts w:hint="default" w:ascii="黑体" w:hAnsi="黑体" w:eastAsia="黑体"/>
                <w:color w:val="000000"/>
                <w:sz w:val="24"/>
                <w:szCs w:val="24"/>
                <w:vertAlign w:val="baseline"/>
                <w:lang w:val="en-US" w:eastAsia="zh-CN"/>
              </w:rPr>
            </w:pPr>
            <w:r>
              <w:rPr>
                <w:rFonts w:hint="eastAsia" w:ascii="黑体" w:hAnsi="黑体" w:eastAsia="黑体" w:cs="黑体"/>
                <w:bCs/>
                <w:szCs w:val="21"/>
              </w:rPr>
              <w:t>评分因素</w:t>
            </w:r>
          </w:p>
        </w:tc>
        <w:tc>
          <w:tcPr>
            <w:tcW w:w="1062" w:type="dxa"/>
            <w:noWrap w:val="0"/>
            <w:vAlign w:val="center"/>
          </w:tcPr>
          <w:p>
            <w:pPr>
              <w:wordWrap w:val="0"/>
              <w:overflowPunct w:val="0"/>
              <w:topLinePunct/>
              <w:spacing w:line="360" w:lineRule="auto"/>
              <w:jc w:val="center"/>
              <w:textAlignment w:val="center"/>
              <w:rPr>
                <w:rFonts w:hint="default" w:ascii="黑体" w:hAnsi="黑体" w:eastAsia="黑体"/>
                <w:color w:val="000000"/>
                <w:sz w:val="24"/>
                <w:szCs w:val="24"/>
                <w:vertAlign w:val="baseline"/>
                <w:lang w:val="en-US" w:eastAsia="zh-CN"/>
              </w:rPr>
            </w:pPr>
            <w:r>
              <w:rPr>
                <w:rFonts w:hint="eastAsia" w:ascii="黑体" w:hAnsi="黑体" w:eastAsia="黑体" w:cs="黑体"/>
                <w:bCs/>
                <w:szCs w:val="21"/>
              </w:rPr>
              <w:t>分值</w:t>
            </w:r>
          </w:p>
        </w:tc>
        <w:tc>
          <w:tcPr>
            <w:tcW w:w="3510" w:type="dxa"/>
            <w:noWrap w:val="0"/>
            <w:vAlign w:val="center"/>
          </w:tcPr>
          <w:p>
            <w:pPr>
              <w:wordWrap w:val="0"/>
              <w:overflowPunct w:val="0"/>
              <w:topLinePunct/>
              <w:spacing w:line="360" w:lineRule="auto"/>
              <w:jc w:val="center"/>
              <w:textAlignment w:val="center"/>
              <w:rPr>
                <w:rFonts w:hint="default" w:ascii="仿宋" w:hAnsi="仿宋" w:eastAsia="仿宋" w:cs="仿宋"/>
                <w:b/>
                <w:color w:val="auto"/>
                <w:sz w:val="24"/>
                <w:szCs w:val="24"/>
                <w:highlight w:val="none"/>
                <w:lang w:val="en-US" w:eastAsia="zh-CN"/>
              </w:rPr>
            </w:pPr>
            <w:r>
              <w:rPr>
                <w:rFonts w:hint="eastAsia" w:ascii="黑体" w:hAnsi="黑体" w:eastAsia="黑体" w:cs="黑体"/>
                <w:bCs/>
                <w:szCs w:val="21"/>
              </w:rPr>
              <w:t>评分标准</w:t>
            </w:r>
          </w:p>
        </w:tc>
        <w:tc>
          <w:tcPr>
            <w:tcW w:w="1587" w:type="dxa"/>
            <w:noWrap w:val="0"/>
            <w:vAlign w:val="center"/>
          </w:tcPr>
          <w:p>
            <w:pPr>
              <w:wordWrap w:val="0"/>
              <w:overflowPunct w:val="0"/>
              <w:topLinePunct/>
              <w:spacing w:line="360" w:lineRule="auto"/>
              <w:jc w:val="center"/>
              <w:textAlignment w:val="center"/>
              <w:rPr>
                <w:rFonts w:hint="default" w:ascii="仿宋" w:hAnsi="仿宋" w:eastAsia="仿宋" w:cs="仿宋"/>
                <w:b/>
                <w:color w:val="auto"/>
                <w:sz w:val="24"/>
                <w:szCs w:val="24"/>
                <w:highlight w:val="none"/>
                <w:lang w:val="en-US" w:eastAsia="zh-CN"/>
              </w:rPr>
            </w:pPr>
            <w:r>
              <w:rPr>
                <w:rFonts w:hint="eastAsia" w:ascii="黑体" w:hAnsi="黑体" w:eastAsia="黑体" w:cs="黑体"/>
                <w:bCs/>
                <w:szCs w:val="21"/>
              </w:rPr>
              <w:t>主/客观分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3" w:type="dxa"/>
            <w:noWrap w:val="0"/>
            <w:vAlign w:val="center"/>
          </w:tcPr>
          <w:p>
            <w:pPr>
              <w:spacing w:line="360" w:lineRule="auto"/>
              <w:ind w:firstLine="28" w:firstLineChars="0"/>
              <w:jc w:val="center"/>
              <w:rPr>
                <w:rFonts w:hint="eastAsia" w:ascii="宋体" w:hAnsi="宋体" w:eastAsia="宋体" w:cs="Times New Roman"/>
                <w:szCs w:val="21"/>
                <w:lang w:val="en-US" w:eastAsia="zh-CN"/>
              </w:rPr>
            </w:pPr>
            <w:r>
              <w:rPr>
                <w:rFonts w:hint="eastAsia" w:ascii="黑体" w:hAnsi="黑体" w:eastAsia="黑体" w:cs="黑体"/>
                <w:szCs w:val="21"/>
              </w:rPr>
              <w:t>1</w:t>
            </w:r>
          </w:p>
        </w:tc>
        <w:tc>
          <w:tcPr>
            <w:tcW w:w="1650" w:type="dxa"/>
            <w:noWrap w:val="0"/>
            <w:vAlign w:val="center"/>
          </w:tcPr>
          <w:p>
            <w:pPr>
              <w:spacing w:line="360" w:lineRule="auto"/>
              <w:jc w:val="center"/>
              <w:rPr>
                <w:rFonts w:hint="eastAsia" w:ascii="宋体" w:hAnsi="宋体" w:eastAsia="宋体" w:cs="Times New Roman"/>
                <w:szCs w:val="21"/>
                <w:lang w:val="en-US" w:eastAsia="zh-CN"/>
              </w:rPr>
            </w:pPr>
            <w:r>
              <w:rPr>
                <w:rFonts w:hint="eastAsia" w:ascii="仿宋_GB2312" w:hAnsi="仿宋_GB2312" w:eastAsia="仿宋_GB2312" w:cs="仿宋_GB2312"/>
                <w:szCs w:val="21"/>
              </w:rPr>
              <w:t>报价</w:t>
            </w:r>
          </w:p>
        </w:tc>
        <w:tc>
          <w:tcPr>
            <w:tcW w:w="1062" w:type="dxa"/>
            <w:noWrap w:val="0"/>
            <w:vAlign w:val="center"/>
          </w:tcPr>
          <w:p>
            <w:pPr>
              <w:spacing w:line="360" w:lineRule="auto"/>
              <w:jc w:val="center"/>
              <w:rPr>
                <w:rFonts w:hint="default" w:ascii="宋体" w:hAnsi="宋体" w:eastAsia="宋体" w:cs="Times New Roman"/>
                <w:szCs w:val="21"/>
                <w:lang w:val="en-US" w:eastAsia="zh-CN"/>
              </w:rPr>
            </w:pPr>
            <w:r>
              <w:rPr>
                <w:rFonts w:hint="eastAsia" w:ascii="仿宋_GB2312" w:hAnsi="仿宋_GB2312" w:eastAsia="仿宋_GB2312" w:cs="仿宋_GB2312"/>
                <w:szCs w:val="21"/>
              </w:rPr>
              <w:t>60</w:t>
            </w:r>
          </w:p>
        </w:tc>
        <w:tc>
          <w:tcPr>
            <w:tcW w:w="3510" w:type="dxa"/>
            <w:noWrap w:val="0"/>
            <w:vAlign w:val="center"/>
          </w:tcPr>
          <w:p>
            <w:pPr>
              <w:spacing w:line="360" w:lineRule="auto"/>
              <w:jc w:val="center"/>
              <w:rPr>
                <w:rFonts w:hint="eastAsia" w:ascii="仿宋" w:hAnsi="仿宋" w:eastAsia="仿宋" w:cs="仿宋"/>
                <w:b/>
                <w:color w:val="auto"/>
                <w:sz w:val="24"/>
                <w:szCs w:val="24"/>
                <w:highlight w:val="none"/>
              </w:rPr>
            </w:pPr>
            <w:r>
              <w:rPr>
                <w:rFonts w:hint="eastAsia" w:ascii="仿宋_GB2312" w:hAnsi="仿宋_GB2312" w:eastAsia="仿宋_GB2312" w:cs="仿宋_GB2312"/>
                <w:szCs w:val="21"/>
              </w:rPr>
              <w:t>本项目采用外电线路改造费用、电缆综合利用收益、变压器改造费用分项报价，以电缆综合利用收益-外电线路改造费用-变压器改造费用的最终评审报价的最高价作为评审基准价，其价格分为60分满分。其他供应商的价格分统一按照下列公式计算：报价得分=(投标报价/评审基准价)×60分。</w:t>
            </w:r>
          </w:p>
        </w:tc>
        <w:tc>
          <w:tcPr>
            <w:tcW w:w="1587" w:type="dxa"/>
            <w:noWrap w:val="0"/>
            <w:vAlign w:val="center"/>
          </w:tcPr>
          <w:p>
            <w:pPr>
              <w:spacing w:line="360" w:lineRule="auto"/>
              <w:jc w:val="center"/>
              <w:rPr>
                <w:rFonts w:hint="eastAsia" w:ascii="仿宋" w:hAnsi="仿宋" w:eastAsia="仿宋" w:cs="仿宋"/>
                <w:b/>
                <w:bCs/>
                <w:color w:val="auto"/>
                <w:sz w:val="24"/>
                <w:szCs w:val="24"/>
                <w:highlight w:val="none"/>
              </w:rPr>
            </w:pPr>
            <w:r>
              <w:rPr>
                <w:rFonts w:hint="eastAsia" w:ascii="仿宋_GB2312" w:hAnsi="仿宋_GB2312" w:eastAsia="仿宋_GB2312" w:cs="仿宋_GB2312"/>
                <w:szCs w:val="21"/>
              </w:rPr>
              <w:t>客观分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3" w:type="dxa"/>
            <w:noWrap w:val="0"/>
            <w:vAlign w:val="center"/>
          </w:tcPr>
          <w:p>
            <w:pPr>
              <w:spacing w:line="360" w:lineRule="auto"/>
              <w:ind w:firstLine="28" w:firstLineChars="0"/>
              <w:jc w:val="center"/>
              <w:rPr>
                <w:rFonts w:hint="eastAsia" w:ascii="宋体" w:hAnsi="宋体" w:eastAsia="宋体" w:cs="Times New Roman"/>
                <w:szCs w:val="21"/>
                <w:lang w:val="en-US" w:eastAsia="zh-CN"/>
              </w:rPr>
            </w:pPr>
            <w:r>
              <w:rPr>
                <w:rFonts w:hint="eastAsia" w:ascii="黑体" w:hAnsi="黑体" w:eastAsia="黑体" w:cs="黑体"/>
                <w:szCs w:val="21"/>
              </w:rPr>
              <w:t>2</w:t>
            </w:r>
          </w:p>
        </w:tc>
        <w:tc>
          <w:tcPr>
            <w:tcW w:w="1650" w:type="dxa"/>
            <w:noWrap w:val="0"/>
            <w:vAlign w:val="center"/>
          </w:tcPr>
          <w:p>
            <w:pPr>
              <w:spacing w:line="360" w:lineRule="auto"/>
              <w:jc w:val="center"/>
              <w:rPr>
                <w:rFonts w:hint="default" w:ascii="宋体" w:hAnsi="宋体" w:eastAsia="宋体" w:cs="Times New Roman"/>
                <w:szCs w:val="21"/>
                <w:lang w:val="en-US" w:eastAsia="zh-CN"/>
              </w:rPr>
            </w:pPr>
            <w:r>
              <w:rPr>
                <w:rFonts w:hint="eastAsia" w:ascii="仿宋_GB2312" w:hAnsi="仿宋_GB2312" w:eastAsia="仿宋_GB2312" w:cs="仿宋_GB2312"/>
                <w:szCs w:val="21"/>
              </w:rPr>
              <w:t>履约能力</w:t>
            </w:r>
          </w:p>
        </w:tc>
        <w:tc>
          <w:tcPr>
            <w:tcW w:w="1062" w:type="dxa"/>
            <w:noWrap w:val="0"/>
            <w:vAlign w:val="center"/>
          </w:tcPr>
          <w:p>
            <w:pPr>
              <w:spacing w:line="360" w:lineRule="auto"/>
              <w:jc w:val="center"/>
              <w:rPr>
                <w:rFonts w:hint="default" w:ascii="宋体" w:hAnsi="宋体" w:eastAsia="宋体" w:cs="Times New Roman"/>
                <w:szCs w:val="21"/>
                <w:lang w:val="en-US" w:eastAsia="zh-CN"/>
              </w:rPr>
            </w:pPr>
            <w:r>
              <w:rPr>
                <w:rFonts w:hint="eastAsia" w:ascii="仿宋_GB2312" w:hAnsi="仿宋_GB2312" w:eastAsia="仿宋_GB2312" w:cs="仿宋_GB2312"/>
                <w:szCs w:val="21"/>
              </w:rPr>
              <w:t>20</w:t>
            </w:r>
          </w:p>
        </w:tc>
        <w:tc>
          <w:tcPr>
            <w:tcW w:w="3510" w:type="dxa"/>
            <w:noWrap w:val="0"/>
            <w:vAlign w:val="center"/>
          </w:tcPr>
          <w:p>
            <w:pPr>
              <w:spacing w:line="360" w:lineRule="auto"/>
              <w:rPr>
                <w:rFonts w:hint="eastAsia" w:ascii="仿宋" w:hAnsi="仿宋" w:eastAsia="仿宋" w:cs="仿宋"/>
                <w:b/>
                <w:color w:val="auto"/>
                <w:sz w:val="24"/>
                <w:szCs w:val="24"/>
                <w:highlight w:val="none"/>
              </w:rPr>
            </w:pPr>
            <w:r>
              <w:rPr>
                <w:rFonts w:hint="eastAsia" w:ascii="仿宋_GB2312" w:hAnsi="仿宋_GB2312" w:eastAsia="仿宋_GB2312" w:cs="仿宋_GB2312"/>
                <w:szCs w:val="21"/>
              </w:rPr>
              <w:t>供应商提供自2022年1月1日起至响应文件递交截止日的已完成类似项目业绩的，每提供一个得4分，最高20分。</w:t>
            </w:r>
            <w:r>
              <w:rPr>
                <w:rFonts w:hint="eastAsia" w:ascii="仿宋_GB2312" w:hAnsi="仿宋_GB2312" w:eastAsia="仿宋_GB2312" w:cs="仿宋_GB2312"/>
                <w:szCs w:val="21"/>
              </w:rPr>
              <w:br w:type="textWrapping"/>
            </w:r>
            <w:r>
              <w:rPr>
                <w:rFonts w:hint="eastAsia" w:ascii="仿宋_GB2312" w:hAnsi="仿宋_GB2312" w:eastAsia="仿宋_GB2312" w:cs="仿宋_GB2312"/>
                <w:szCs w:val="21"/>
              </w:rPr>
              <w:t>说明：1、类似业绩须提供合同扫描件并加盖公章，不提供的不得分。2、类似业绩是指电力工程施工项目业绩，时间以合同签订日期为准。</w:t>
            </w:r>
          </w:p>
        </w:tc>
        <w:tc>
          <w:tcPr>
            <w:tcW w:w="1587" w:type="dxa"/>
            <w:noWrap w:val="0"/>
            <w:vAlign w:val="center"/>
          </w:tcPr>
          <w:p>
            <w:pPr>
              <w:spacing w:line="360" w:lineRule="auto"/>
              <w:jc w:val="center"/>
              <w:rPr>
                <w:rFonts w:hint="eastAsia" w:ascii="仿宋" w:hAnsi="仿宋" w:eastAsia="仿宋" w:cs="仿宋"/>
                <w:b/>
                <w:bCs/>
                <w:color w:val="auto"/>
                <w:sz w:val="24"/>
                <w:szCs w:val="24"/>
                <w:highlight w:val="none"/>
              </w:rPr>
            </w:pPr>
            <w:r>
              <w:rPr>
                <w:rFonts w:hint="eastAsia" w:ascii="仿宋_GB2312" w:hAnsi="仿宋_GB2312" w:eastAsia="仿宋_GB2312" w:cs="仿宋_GB2312"/>
                <w:szCs w:val="21"/>
              </w:rPr>
              <w:t>客观分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3" w:type="dxa"/>
            <w:vMerge w:val="restart"/>
            <w:noWrap w:val="0"/>
            <w:vAlign w:val="center"/>
          </w:tcPr>
          <w:p>
            <w:pPr>
              <w:spacing w:line="360" w:lineRule="auto"/>
              <w:ind w:firstLine="28" w:firstLineChars="0"/>
              <w:jc w:val="center"/>
              <w:rPr>
                <w:rFonts w:hint="eastAsia" w:ascii="宋体" w:hAnsi="宋体" w:eastAsia="宋体" w:cs="Times New Roman"/>
                <w:szCs w:val="21"/>
                <w:lang w:val="en-US" w:eastAsia="zh-CN"/>
              </w:rPr>
            </w:pPr>
            <w:r>
              <w:rPr>
                <w:rFonts w:hint="eastAsia" w:ascii="黑体" w:hAnsi="黑体" w:eastAsia="黑体" w:cs="黑体"/>
                <w:bCs/>
                <w:sz w:val="24"/>
                <w:szCs w:val="24"/>
              </w:rPr>
              <w:t>3</w:t>
            </w:r>
          </w:p>
        </w:tc>
        <w:tc>
          <w:tcPr>
            <w:tcW w:w="1650" w:type="dxa"/>
            <w:vMerge w:val="restart"/>
            <w:noWrap w:val="0"/>
            <w:vAlign w:val="center"/>
          </w:tcPr>
          <w:p>
            <w:pPr>
              <w:spacing w:line="360" w:lineRule="auto"/>
              <w:jc w:val="center"/>
              <w:rPr>
                <w:rFonts w:hint="eastAsia" w:ascii="宋体" w:hAnsi="宋体" w:eastAsia="宋体" w:cs="Times New Roman"/>
                <w:szCs w:val="21"/>
              </w:rPr>
            </w:pPr>
            <w:r>
              <w:rPr>
                <w:rFonts w:hint="eastAsia" w:ascii="仿宋_GB2312" w:hAnsi="仿宋_GB2312" w:eastAsia="仿宋_GB2312" w:cs="仿宋_GB2312"/>
                <w:szCs w:val="21"/>
              </w:rPr>
              <w:t>人员配备</w:t>
            </w:r>
          </w:p>
        </w:tc>
        <w:tc>
          <w:tcPr>
            <w:tcW w:w="1062" w:type="dxa"/>
            <w:vMerge w:val="restart"/>
            <w:noWrap w:val="0"/>
            <w:vAlign w:val="center"/>
          </w:tcPr>
          <w:p>
            <w:pPr>
              <w:spacing w:line="360" w:lineRule="auto"/>
              <w:jc w:val="center"/>
              <w:rPr>
                <w:rFonts w:hint="default" w:ascii="宋体" w:hAnsi="宋体" w:eastAsia="宋体" w:cs="Times New Roman"/>
                <w:szCs w:val="21"/>
                <w:lang w:val="en-US" w:eastAsia="zh-CN"/>
              </w:rPr>
            </w:pPr>
            <w:r>
              <w:rPr>
                <w:rFonts w:hint="eastAsia" w:ascii="仿宋_GB2312" w:hAnsi="仿宋_GB2312" w:eastAsia="仿宋_GB2312" w:cs="仿宋_GB2312"/>
                <w:szCs w:val="21"/>
              </w:rPr>
              <w:t>10</w:t>
            </w:r>
          </w:p>
        </w:tc>
        <w:tc>
          <w:tcPr>
            <w:tcW w:w="3510" w:type="dxa"/>
            <w:noWrap w:val="0"/>
            <w:vAlign w:val="center"/>
          </w:tcPr>
          <w:p>
            <w:pPr>
              <w:spacing w:line="360" w:lineRule="auto"/>
              <w:rPr>
                <w:rFonts w:hint="eastAsia" w:ascii="仿宋" w:hAnsi="仿宋" w:eastAsia="仿宋" w:cs="仿宋"/>
                <w:b/>
                <w:color w:val="auto"/>
                <w:sz w:val="24"/>
                <w:szCs w:val="24"/>
                <w:highlight w:val="none"/>
              </w:rPr>
            </w:pPr>
            <w:r>
              <w:rPr>
                <w:rFonts w:hint="eastAsia" w:ascii="仿宋_GB2312" w:hAnsi="仿宋_GB2312" w:eastAsia="仿宋_GB2312" w:cs="仿宋_GB2312"/>
                <w:szCs w:val="21"/>
              </w:rPr>
              <w:t>1.拟投入本项目中的项目负责人：具有行业主管部门颁发的且在有效期内的机电工程二级建造师证书的得2分，有效期内的机电工程一级建造师证书的得3分；同时具备电气或电力相关专业中级职称的加2分，具备电气或电力相关专业高级职称的加3分。此项最高6分（供应商须提供证书复印件并加盖公章，不提供不得分）</w:t>
            </w:r>
          </w:p>
        </w:tc>
        <w:tc>
          <w:tcPr>
            <w:tcW w:w="1587" w:type="dxa"/>
            <w:noWrap w:val="0"/>
            <w:vAlign w:val="center"/>
          </w:tcPr>
          <w:p>
            <w:pPr>
              <w:tabs>
                <w:tab w:val="left" w:pos="395"/>
              </w:tabs>
              <w:spacing w:line="360" w:lineRule="auto"/>
              <w:jc w:val="center"/>
              <w:rPr>
                <w:rFonts w:hint="eastAsia" w:ascii="仿宋" w:hAnsi="仿宋" w:eastAsia="仿宋" w:cs="仿宋"/>
                <w:b/>
                <w:bCs/>
                <w:color w:val="auto"/>
                <w:sz w:val="24"/>
                <w:szCs w:val="24"/>
                <w:highlight w:val="none"/>
              </w:rPr>
            </w:pPr>
            <w:r>
              <w:rPr>
                <w:rFonts w:hint="eastAsia" w:ascii="仿宋_GB2312" w:hAnsi="仿宋_GB2312" w:eastAsia="仿宋_GB2312" w:cs="仿宋_GB2312"/>
                <w:szCs w:val="21"/>
              </w:rPr>
              <w:t>客观分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3" w:type="dxa"/>
            <w:vMerge w:val="continue"/>
            <w:noWrap w:val="0"/>
            <w:vAlign w:val="center"/>
          </w:tcPr>
          <w:p>
            <w:pPr>
              <w:spacing w:line="360" w:lineRule="auto"/>
              <w:ind w:firstLine="28" w:firstLineChars="0"/>
              <w:jc w:val="center"/>
              <w:rPr>
                <w:rFonts w:hint="default" w:ascii="宋体" w:hAnsi="宋体" w:eastAsia="宋体" w:cs="Times New Roman"/>
                <w:szCs w:val="21"/>
                <w:lang w:val="en-US" w:eastAsia="zh-CN"/>
              </w:rPr>
            </w:pPr>
          </w:p>
        </w:tc>
        <w:tc>
          <w:tcPr>
            <w:tcW w:w="1650" w:type="dxa"/>
            <w:vMerge w:val="continue"/>
            <w:noWrap w:val="0"/>
            <w:vAlign w:val="center"/>
          </w:tcPr>
          <w:p>
            <w:pPr>
              <w:spacing w:line="360" w:lineRule="auto"/>
              <w:jc w:val="center"/>
              <w:rPr>
                <w:rFonts w:hint="eastAsia" w:ascii="宋体" w:hAnsi="宋体" w:eastAsia="宋体" w:cs="Times New Roman"/>
                <w:szCs w:val="21"/>
              </w:rPr>
            </w:pPr>
          </w:p>
        </w:tc>
        <w:tc>
          <w:tcPr>
            <w:tcW w:w="1062" w:type="dxa"/>
            <w:vMerge w:val="continue"/>
            <w:noWrap w:val="0"/>
            <w:vAlign w:val="center"/>
          </w:tcPr>
          <w:p>
            <w:pPr>
              <w:spacing w:line="360" w:lineRule="auto"/>
              <w:jc w:val="center"/>
              <w:rPr>
                <w:rFonts w:hint="default" w:ascii="宋体" w:hAnsi="宋体" w:eastAsia="宋体" w:cs="Times New Roman"/>
                <w:szCs w:val="21"/>
                <w:lang w:val="en-US" w:eastAsia="zh-CN"/>
              </w:rPr>
            </w:pPr>
          </w:p>
        </w:tc>
        <w:tc>
          <w:tcPr>
            <w:tcW w:w="3510" w:type="dxa"/>
            <w:noWrap w:val="0"/>
            <w:vAlign w:val="center"/>
          </w:tcPr>
          <w:p>
            <w:pPr>
              <w:spacing w:line="360" w:lineRule="auto"/>
              <w:rPr>
                <w:rFonts w:hint="eastAsia" w:ascii="仿宋" w:hAnsi="仿宋" w:eastAsia="仿宋" w:cs="仿宋"/>
                <w:b/>
                <w:color w:val="auto"/>
                <w:sz w:val="24"/>
                <w:szCs w:val="24"/>
                <w:highlight w:val="none"/>
              </w:rPr>
            </w:pPr>
            <w:r>
              <w:rPr>
                <w:rFonts w:hint="eastAsia" w:ascii="仿宋_GB2312" w:hAnsi="仿宋_GB2312" w:eastAsia="仿宋_GB2312" w:cs="仿宋_GB2312"/>
                <w:szCs w:val="21"/>
              </w:rPr>
              <w:t>2.拟派入本项目技术人员具有特种作业操作证：电缆作业；继电保护作业证每有一人得1分，最高4分（供应商须提供证书复印件并加盖公章，不提供不得分）</w:t>
            </w:r>
          </w:p>
        </w:tc>
        <w:tc>
          <w:tcPr>
            <w:tcW w:w="1587" w:type="dxa"/>
            <w:noWrap w:val="0"/>
            <w:vAlign w:val="center"/>
          </w:tcPr>
          <w:p>
            <w:pPr>
              <w:spacing w:line="360" w:lineRule="auto"/>
              <w:jc w:val="center"/>
              <w:rPr>
                <w:rFonts w:hint="eastAsia" w:ascii="仿宋" w:hAnsi="仿宋" w:eastAsia="仿宋" w:cs="仿宋"/>
                <w:b/>
                <w:bCs/>
                <w:color w:val="auto"/>
                <w:sz w:val="24"/>
                <w:szCs w:val="24"/>
                <w:highlight w:val="none"/>
              </w:rPr>
            </w:pPr>
            <w:r>
              <w:rPr>
                <w:rFonts w:hint="eastAsia" w:ascii="仿宋_GB2312" w:hAnsi="仿宋_GB2312" w:eastAsia="仿宋_GB2312" w:cs="仿宋_GB2312"/>
                <w:szCs w:val="21"/>
              </w:rPr>
              <w:t>客观分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3" w:type="dxa"/>
            <w:vMerge w:val="continue"/>
            <w:noWrap w:val="0"/>
            <w:vAlign w:val="center"/>
          </w:tcPr>
          <w:p>
            <w:pPr>
              <w:spacing w:line="360" w:lineRule="auto"/>
              <w:ind w:firstLine="28" w:firstLineChars="0"/>
              <w:jc w:val="center"/>
              <w:rPr>
                <w:rFonts w:hint="default" w:ascii="宋体" w:hAnsi="宋体" w:eastAsia="宋体" w:cs="Times New Roman"/>
                <w:szCs w:val="21"/>
                <w:lang w:val="en-US" w:eastAsia="zh-CN"/>
              </w:rPr>
            </w:pPr>
          </w:p>
        </w:tc>
        <w:tc>
          <w:tcPr>
            <w:tcW w:w="1650" w:type="dxa"/>
            <w:vMerge w:val="continue"/>
            <w:noWrap w:val="0"/>
            <w:vAlign w:val="center"/>
          </w:tcPr>
          <w:p>
            <w:pPr>
              <w:spacing w:line="360" w:lineRule="auto"/>
              <w:jc w:val="center"/>
              <w:rPr>
                <w:rFonts w:hint="eastAsia" w:ascii="宋体" w:hAnsi="宋体" w:eastAsia="宋体"/>
                <w:szCs w:val="21"/>
                <w:lang w:val="en-US" w:eastAsia="zh-CN"/>
              </w:rPr>
            </w:pPr>
          </w:p>
        </w:tc>
        <w:tc>
          <w:tcPr>
            <w:tcW w:w="1062" w:type="dxa"/>
            <w:vMerge w:val="continue"/>
            <w:noWrap w:val="0"/>
            <w:vAlign w:val="center"/>
          </w:tcPr>
          <w:p>
            <w:pPr>
              <w:spacing w:line="360" w:lineRule="auto"/>
              <w:jc w:val="center"/>
              <w:rPr>
                <w:rFonts w:hint="default" w:ascii="宋体" w:hAnsi="宋体" w:eastAsia="宋体" w:cs="Times New Roman"/>
                <w:szCs w:val="21"/>
                <w:lang w:val="en-US" w:eastAsia="zh-CN"/>
              </w:rPr>
            </w:pPr>
          </w:p>
        </w:tc>
        <w:tc>
          <w:tcPr>
            <w:tcW w:w="3510" w:type="dxa"/>
            <w:noWrap w:val="0"/>
            <w:vAlign w:val="center"/>
          </w:tcPr>
          <w:p>
            <w:pPr>
              <w:spacing w:line="360" w:lineRule="auto"/>
              <w:rPr>
                <w:rFonts w:hint="eastAsia" w:ascii="仿宋" w:hAnsi="仿宋" w:eastAsia="仿宋" w:cs="仿宋"/>
                <w:b/>
                <w:color w:val="auto"/>
                <w:sz w:val="24"/>
                <w:szCs w:val="24"/>
                <w:highlight w:val="none"/>
              </w:rPr>
            </w:pPr>
            <w:r>
              <w:rPr>
                <w:rFonts w:hint="eastAsia" w:ascii="仿宋_GB2312" w:hAnsi="仿宋_GB2312" w:eastAsia="仿宋_GB2312" w:cs="仿宋_GB2312"/>
                <w:szCs w:val="21"/>
              </w:rPr>
              <w:t>注：以上人员不得重复得分，提供有效的资格证、职称证、操作证、作业证等相关证明文件的复印件，以上人员提供本单位社保证明材料，未提供者不得分。</w:t>
            </w:r>
          </w:p>
        </w:tc>
        <w:tc>
          <w:tcPr>
            <w:tcW w:w="1587" w:type="dxa"/>
            <w:noWrap w:val="0"/>
            <w:vAlign w:val="center"/>
          </w:tcPr>
          <w:p>
            <w:pPr>
              <w:spacing w:line="360" w:lineRule="auto"/>
              <w:jc w:val="center"/>
              <w:rPr>
                <w:rFonts w:hint="eastAsia"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3" w:type="dxa"/>
            <w:noWrap w:val="0"/>
            <w:vAlign w:val="center"/>
          </w:tcPr>
          <w:p>
            <w:pPr>
              <w:spacing w:line="360" w:lineRule="auto"/>
              <w:ind w:firstLine="28" w:firstLineChars="0"/>
              <w:jc w:val="center"/>
              <w:rPr>
                <w:rFonts w:hint="default" w:ascii="宋体" w:hAnsi="宋体" w:eastAsia="宋体" w:cs="Times New Roman"/>
                <w:szCs w:val="21"/>
                <w:lang w:val="en-US" w:eastAsia="zh-CN"/>
              </w:rPr>
            </w:pPr>
            <w:r>
              <w:rPr>
                <w:rFonts w:hint="eastAsia" w:ascii="黑体" w:hAnsi="黑体" w:eastAsia="黑体" w:cs="黑体"/>
                <w:bCs/>
                <w:sz w:val="24"/>
                <w:szCs w:val="24"/>
              </w:rPr>
              <w:t>4</w:t>
            </w:r>
          </w:p>
        </w:tc>
        <w:tc>
          <w:tcPr>
            <w:tcW w:w="1650" w:type="dxa"/>
            <w:noWrap w:val="0"/>
            <w:vAlign w:val="center"/>
          </w:tcPr>
          <w:p>
            <w:pPr>
              <w:spacing w:line="360" w:lineRule="auto"/>
              <w:jc w:val="center"/>
              <w:rPr>
                <w:rFonts w:hint="eastAsia" w:ascii="宋体" w:hAnsi="宋体" w:eastAsia="宋体"/>
                <w:szCs w:val="21"/>
                <w:lang w:val="en-US" w:eastAsia="zh-CN"/>
              </w:rPr>
            </w:pPr>
            <w:r>
              <w:rPr>
                <w:rFonts w:hint="eastAsia" w:ascii="仿宋_GB2312" w:hAnsi="仿宋_GB2312" w:eastAsia="仿宋_GB2312" w:cs="仿宋_GB2312"/>
                <w:szCs w:val="21"/>
              </w:rPr>
              <w:t>施工方案</w:t>
            </w:r>
          </w:p>
        </w:tc>
        <w:tc>
          <w:tcPr>
            <w:tcW w:w="1062" w:type="dxa"/>
            <w:noWrap w:val="0"/>
            <w:vAlign w:val="center"/>
          </w:tcPr>
          <w:p>
            <w:pPr>
              <w:spacing w:line="360" w:lineRule="auto"/>
              <w:jc w:val="center"/>
              <w:rPr>
                <w:rFonts w:hint="default" w:ascii="宋体" w:hAnsi="宋体" w:eastAsia="宋体" w:cs="Times New Roman"/>
                <w:szCs w:val="21"/>
                <w:lang w:val="en-US" w:eastAsia="zh-CN"/>
              </w:rPr>
            </w:pPr>
            <w:r>
              <w:rPr>
                <w:rFonts w:hint="eastAsia" w:ascii="仿宋_GB2312" w:hAnsi="仿宋_GB2312" w:eastAsia="仿宋_GB2312" w:cs="仿宋_GB2312"/>
                <w:szCs w:val="21"/>
              </w:rPr>
              <w:t>6</w:t>
            </w:r>
          </w:p>
        </w:tc>
        <w:tc>
          <w:tcPr>
            <w:tcW w:w="3510" w:type="dxa"/>
            <w:noWrap w:val="0"/>
            <w:vAlign w:val="center"/>
          </w:tcPr>
          <w:p>
            <w:pPr>
              <w:spacing w:line="360" w:lineRule="auto"/>
              <w:rPr>
                <w:rFonts w:hint="eastAsia" w:ascii="仿宋_GB2312" w:hAnsi="仿宋_GB2312" w:eastAsia="仿宋_GB2312" w:cs="仿宋_GB2312"/>
                <w:szCs w:val="21"/>
              </w:rPr>
            </w:pPr>
            <w:r>
              <w:rPr>
                <w:rFonts w:hint="eastAsia" w:ascii="仿宋_GB2312" w:hAnsi="仿宋_GB2312" w:eastAsia="仿宋_GB2312" w:cs="仿宋_GB2312"/>
                <w:szCs w:val="21"/>
              </w:rPr>
              <w:t xml:space="preserve">1.施工组织与技术保障措施方案根据供应商提供的施工组织与技术保障措施方案进行综合评分： 供应商提供的施工组织与技术保障措施方案包括项目建设重点难点分析、关键施工技术、各分部分项工程的关键工序。供应商内容表述清楚、逻辑清晰且符合项目实际情况的得 3分；每缺一小项扣1分，每小项每有一处缺陷扣0.5 分，本小项扣完为止。未提供的不得分。注：“缺陷”是指：包括但不限于数据、名称、专业术语及符号、文字表述错误与逻辑冲突等；存在项目名称、服务期限等描述错误的内容；方案中存在与本项目现场情况无关内容；描述有歧义或逻辑有漏洞或表述不清；内容不完整等。 </w:t>
            </w:r>
            <w:r>
              <w:rPr>
                <w:rFonts w:hint="eastAsia" w:ascii="仿宋_GB2312" w:hAnsi="仿宋_GB2312" w:eastAsia="仿宋_GB2312" w:cs="仿宋_GB2312"/>
                <w:szCs w:val="21"/>
              </w:rPr>
              <w:br w:type="textWrapping"/>
            </w:r>
            <w:r>
              <w:rPr>
                <w:rFonts w:hint="eastAsia" w:ascii="仿宋_GB2312" w:hAnsi="仿宋_GB2312" w:eastAsia="仿宋_GB2312" w:cs="仿宋_GB2312"/>
                <w:szCs w:val="21"/>
              </w:rPr>
              <w:t>2.质量保证措施方案根据供应商提供的质量保证措施方案进行综合评分： 供应商提供的质量保证措施方案包括质量保证体系、质量保证措施、质量管理制度及检查制度。供应商内容表述清楚、逻辑清晰且符合项目实际情况的得 3分；每缺一小项扣1分，每小项每有一处缺陷扣0.5 分，本小项扣完为止。未提供的不得分。注：“缺陷”是指：包括但不限于数据、名称、专业术语及符号、文字表述错误与逻辑冲突等；存在项目名称、服务期限等描述错误的内容；方案中存在与本项目现场情况无关内容；描述有歧义或逻辑有漏洞或表述不清；内容不完整等。</w:t>
            </w:r>
          </w:p>
        </w:tc>
        <w:tc>
          <w:tcPr>
            <w:tcW w:w="1587" w:type="dxa"/>
            <w:noWrap w:val="0"/>
            <w:vAlign w:val="center"/>
          </w:tcPr>
          <w:p>
            <w:pPr>
              <w:spacing w:line="360" w:lineRule="auto"/>
              <w:jc w:val="center"/>
              <w:rPr>
                <w:rFonts w:hint="eastAsia" w:ascii="仿宋" w:hAnsi="仿宋" w:eastAsia="仿宋" w:cs="仿宋"/>
                <w:b/>
                <w:bCs/>
                <w:color w:val="auto"/>
                <w:sz w:val="24"/>
                <w:szCs w:val="24"/>
                <w:highlight w:val="none"/>
              </w:rPr>
            </w:pPr>
            <w:r>
              <w:rPr>
                <w:rFonts w:hint="eastAsia" w:ascii="仿宋_GB2312" w:hAnsi="仿宋_GB2312" w:eastAsia="仿宋_GB2312" w:cs="仿宋_GB2312"/>
                <w:szCs w:val="21"/>
              </w:rPr>
              <w:t>主观分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3" w:type="dxa"/>
            <w:noWrap w:val="0"/>
            <w:vAlign w:val="center"/>
          </w:tcPr>
          <w:p>
            <w:pPr>
              <w:spacing w:line="360" w:lineRule="auto"/>
              <w:ind w:firstLine="28" w:firstLineChars="0"/>
              <w:jc w:val="center"/>
              <w:rPr>
                <w:rFonts w:hint="eastAsia" w:ascii="黑体" w:hAnsi="黑体" w:eastAsia="黑体" w:cs="黑体"/>
                <w:bCs/>
                <w:sz w:val="24"/>
                <w:szCs w:val="24"/>
              </w:rPr>
            </w:pPr>
            <w:r>
              <w:rPr>
                <w:rFonts w:hint="eastAsia" w:ascii="黑体" w:hAnsi="黑体" w:eastAsia="黑体" w:cs="黑体"/>
                <w:bCs/>
                <w:sz w:val="24"/>
                <w:szCs w:val="24"/>
              </w:rPr>
              <w:t>5</w:t>
            </w:r>
          </w:p>
        </w:tc>
        <w:tc>
          <w:tcPr>
            <w:tcW w:w="1650" w:type="dxa"/>
            <w:noWrap w:val="0"/>
            <w:vAlign w:val="center"/>
          </w:tcPr>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安全应急</w:t>
            </w:r>
          </w:p>
          <w:p>
            <w:pPr>
              <w:spacing w:line="360" w:lineRule="auto"/>
              <w:jc w:val="center"/>
              <w:rPr>
                <w:rFonts w:hint="eastAsia" w:ascii="仿宋_GB2312" w:hAnsi="仿宋_GB2312" w:eastAsia="仿宋_GB2312" w:cs="仿宋_GB2312"/>
                <w:szCs w:val="21"/>
              </w:rPr>
            </w:pPr>
            <w:r>
              <w:rPr>
                <w:rFonts w:hint="eastAsia" w:ascii="仿宋_GB2312" w:hAnsi="仿宋_GB2312" w:eastAsia="仿宋_GB2312" w:cs="仿宋_GB2312"/>
                <w:szCs w:val="21"/>
              </w:rPr>
              <w:t>预案</w:t>
            </w:r>
          </w:p>
        </w:tc>
        <w:tc>
          <w:tcPr>
            <w:tcW w:w="1062" w:type="dxa"/>
            <w:noWrap w:val="0"/>
            <w:vAlign w:val="center"/>
          </w:tcPr>
          <w:p>
            <w:pPr>
              <w:spacing w:line="360" w:lineRule="auto"/>
              <w:jc w:val="center"/>
              <w:rPr>
                <w:rFonts w:hint="eastAsia" w:ascii="仿宋_GB2312" w:hAnsi="仿宋_GB2312" w:eastAsia="仿宋_GB2312" w:cs="仿宋_GB2312"/>
                <w:szCs w:val="21"/>
              </w:rPr>
            </w:pPr>
            <w:r>
              <w:rPr>
                <w:rFonts w:hint="eastAsia" w:ascii="仿宋_GB2312" w:hAnsi="仿宋_GB2312" w:eastAsia="仿宋_GB2312" w:cs="仿宋_GB2312"/>
                <w:szCs w:val="21"/>
              </w:rPr>
              <w:t>4</w:t>
            </w:r>
          </w:p>
        </w:tc>
        <w:tc>
          <w:tcPr>
            <w:tcW w:w="3510" w:type="dxa"/>
            <w:noWrap w:val="0"/>
            <w:vAlign w:val="center"/>
          </w:tcPr>
          <w:p>
            <w:pPr>
              <w:spacing w:line="360" w:lineRule="auto"/>
              <w:rPr>
                <w:rFonts w:hint="eastAsia" w:ascii="仿宋_GB2312" w:hAnsi="仿宋_GB2312" w:eastAsia="仿宋_GB2312" w:cs="仿宋_GB2312"/>
                <w:szCs w:val="21"/>
              </w:rPr>
            </w:pPr>
            <w:r>
              <w:rPr>
                <w:rFonts w:hint="eastAsia" w:ascii="仿宋_GB2312" w:hAnsi="仿宋_GB2312" w:eastAsia="仿宋_GB2312" w:cs="仿宋_GB2312"/>
                <w:szCs w:val="21"/>
              </w:rPr>
              <w:t>供应商提供安全应急预案，内容包括: ①现场可能出现的紧急情况分析； ②现场施工安全保障措施；③应急情况处理措施；④应急响应时效与应急响应管理。方案具备以上全部内容且内容详细可行、具有针对性、完全满足采购人需求得4分，若方案内容不完善或描述简单、无针对性或不能满足采购人需求、缺少一项或存在其他不足之处的，每有一处扣1分，扣完为止。</w:t>
            </w:r>
            <w:r>
              <w:rPr>
                <w:rFonts w:hint="eastAsia" w:ascii="仿宋_GB2312" w:hAnsi="仿宋_GB2312" w:eastAsia="仿宋_GB2312" w:cs="仿宋_GB2312"/>
                <w:szCs w:val="21"/>
              </w:rPr>
              <w:br w:type="textWrapping"/>
            </w:r>
            <w:r>
              <w:rPr>
                <w:rFonts w:hint="eastAsia" w:ascii="仿宋_GB2312" w:hAnsi="仿宋_GB2312" w:eastAsia="仿宋_GB2312" w:cs="仿宋_GB2312"/>
                <w:szCs w:val="21"/>
              </w:rPr>
              <w:t>注：其他不足之处是指内容套用或错用、照搬照抄、凭空编造、科学原理错误以及不可能实现的夸大情形等。内容具有明显缺陷，只有单纯的文字描述，前后内容无法连贯；方案内容矛盾；仅有框架或标题；明显复制其他项目内容；不满足实际情况指内容脱离了实际情况不具备实施的可能性或套用其他项目方案或引用科学原理错误或前后内容互相矛盾或存在与本项目无关的内容。</w:t>
            </w:r>
          </w:p>
        </w:tc>
        <w:tc>
          <w:tcPr>
            <w:tcW w:w="1587" w:type="dxa"/>
            <w:noWrap w:val="0"/>
            <w:vAlign w:val="center"/>
          </w:tcPr>
          <w:p>
            <w:pPr>
              <w:spacing w:line="360" w:lineRule="auto"/>
              <w:jc w:val="center"/>
              <w:rPr>
                <w:rFonts w:hint="eastAsia" w:ascii="仿宋_GB2312" w:hAnsi="仿宋_GB2312" w:eastAsia="仿宋_GB2312" w:cs="仿宋_GB2312"/>
                <w:szCs w:val="21"/>
              </w:rPr>
            </w:pPr>
            <w:r>
              <w:rPr>
                <w:rFonts w:hint="eastAsia" w:ascii="仿宋_GB2312" w:hAnsi="仿宋_GB2312" w:eastAsia="仿宋_GB2312" w:cs="仿宋_GB2312"/>
                <w:szCs w:val="21"/>
              </w:rPr>
              <w:t>主观分</w:t>
            </w:r>
          </w:p>
        </w:tc>
      </w:tr>
    </w:tbl>
    <w:p>
      <w:pPr>
        <w:rPr>
          <w:rFonts w:hint="eastAsia" w:ascii="宋体" w:hAnsi="宋体" w:eastAsia="宋体" w:cs="宋体"/>
          <w:b/>
          <w:bCs/>
          <w:i w:val="0"/>
          <w:caps w:val="0"/>
          <w:color w:val="auto"/>
          <w:spacing w:val="0"/>
          <w:w w:val="100"/>
          <w:sz w:val="24"/>
          <w:szCs w:val="24"/>
          <w:highlight w:val="none"/>
        </w:rPr>
      </w:pPr>
      <w:r>
        <w:rPr>
          <w:rFonts w:hint="eastAsia" w:ascii="宋体" w:hAnsi="宋体" w:eastAsia="宋体" w:cs="宋体"/>
          <w:b/>
          <w:bCs/>
          <w:i w:val="0"/>
          <w:caps w:val="0"/>
          <w:color w:val="auto"/>
          <w:spacing w:val="0"/>
          <w:w w:val="100"/>
          <w:sz w:val="24"/>
          <w:szCs w:val="24"/>
          <w:highlight w:val="none"/>
        </w:rPr>
        <w:br w:type="page"/>
      </w:r>
    </w:p>
    <w:p>
      <w:pPr>
        <w:keepNext w:val="0"/>
        <w:keepLines w:val="0"/>
        <w:pageBreakBefore w:val="0"/>
        <w:kinsoku/>
        <w:wordWrap/>
        <w:overflowPunct/>
        <w:topLinePunct w:val="0"/>
        <w:autoSpaceDE/>
        <w:autoSpaceDN/>
        <w:bidi w:val="0"/>
        <w:snapToGrid w:val="0"/>
        <w:spacing w:before="0" w:beforeAutospacing="0" w:after="0" w:afterAutospacing="0" w:line="360" w:lineRule="auto"/>
        <w:jc w:val="both"/>
        <w:textAlignment w:val="baseline"/>
        <w:rPr>
          <w:rFonts w:hint="eastAsia" w:ascii="宋体" w:hAnsi="宋体" w:eastAsia="宋体" w:cs="宋体"/>
          <w:b/>
          <w:bCs/>
          <w:i w:val="0"/>
          <w:caps w:val="0"/>
          <w:color w:val="auto"/>
          <w:spacing w:val="0"/>
          <w:w w:val="100"/>
          <w:sz w:val="24"/>
          <w:szCs w:val="24"/>
          <w:highlight w:val="none"/>
          <w:lang w:val="en-US" w:eastAsia="zh-CN"/>
        </w:rPr>
      </w:pPr>
      <w:r>
        <w:rPr>
          <w:rFonts w:hint="eastAsia" w:ascii="宋体" w:hAnsi="宋体" w:eastAsia="宋体" w:cs="宋体"/>
          <w:b/>
          <w:bCs/>
          <w:i w:val="0"/>
          <w:caps w:val="0"/>
          <w:color w:val="auto"/>
          <w:spacing w:val="0"/>
          <w:w w:val="100"/>
          <w:sz w:val="24"/>
          <w:szCs w:val="24"/>
          <w:highlight w:val="none"/>
        </w:rPr>
        <w:t>附件</w:t>
      </w:r>
      <w:r>
        <w:rPr>
          <w:rFonts w:hint="eastAsia" w:ascii="宋体" w:hAnsi="宋体" w:eastAsia="宋体" w:cs="宋体"/>
          <w:b/>
          <w:bCs/>
          <w:i w:val="0"/>
          <w:caps w:val="0"/>
          <w:color w:val="auto"/>
          <w:spacing w:val="0"/>
          <w:w w:val="100"/>
          <w:sz w:val="24"/>
          <w:szCs w:val="24"/>
          <w:highlight w:val="none"/>
          <w:lang w:val="en-US" w:eastAsia="zh-CN"/>
        </w:rPr>
        <w:t>2 主要表格</w:t>
      </w:r>
    </w:p>
    <w:p>
      <w:pPr>
        <w:keepNext w:val="0"/>
        <w:keepLines w:val="0"/>
        <w:pageBreakBefore w:val="0"/>
        <w:kinsoku/>
        <w:wordWrap/>
        <w:overflowPunct/>
        <w:topLinePunct w:val="0"/>
        <w:autoSpaceDE/>
        <w:autoSpaceDN/>
        <w:bidi w:val="0"/>
        <w:snapToGrid w:val="0"/>
        <w:spacing w:before="0" w:beforeAutospacing="0" w:after="0" w:afterAutospacing="0" w:line="360" w:lineRule="auto"/>
        <w:jc w:val="both"/>
        <w:textAlignment w:val="baseline"/>
        <w:rPr>
          <w:rFonts w:hint="eastAsia" w:ascii="宋体" w:hAnsi="宋体" w:eastAsia="宋体" w:cs="宋体"/>
          <w:b/>
          <w:bCs/>
          <w:i w:val="0"/>
          <w:caps w:val="0"/>
          <w:color w:val="auto"/>
          <w:spacing w:val="0"/>
          <w:w w:val="100"/>
          <w:sz w:val="24"/>
          <w:szCs w:val="24"/>
          <w:highlight w:val="none"/>
          <w:lang w:val="en-US" w:eastAsia="zh-CN"/>
        </w:rPr>
      </w:pPr>
      <w:r>
        <w:rPr>
          <w:rFonts w:hint="eastAsia" w:ascii="宋体" w:hAnsi="宋体" w:eastAsia="宋体" w:cs="宋体"/>
          <w:b/>
          <w:bCs/>
          <w:i w:val="0"/>
          <w:caps w:val="0"/>
          <w:color w:val="auto"/>
          <w:spacing w:val="0"/>
          <w:w w:val="100"/>
          <w:sz w:val="24"/>
          <w:szCs w:val="24"/>
          <w:highlight w:val="none"/>
          <w:lang w:val="en-US" w:eastAsia="zh-CN"/>
        </w:rPr>
        <w:t>2-1</w:t>
      </w:r>
    </w:p>
    <w:p>
      <w:pPr>
        <w:pStyle w:val="8"/>
        <w:keepNext w:val="0"/>
        <w:keepLines w:val="0"/>
        <w:pageBreakBefore w:val="0"/>
        <w:kinsoku/>
        <w:wordWrap/>
        <w:overflowPunct/>
        <w:topLinePunct w:val="0"/>
        <w:autoSpaceDE/>
        <w:autoSpaceDN/>
        <w:bidi w:val="0"/>
        <w:spacing w:line="360" w:lineRule="auto"/>
        <w:jc w:val="center"/>
        <w:rPr>
          <w:rFonts w:hint="eastAsia" w:ascii="宋体" w:hAnsi="宋体" w:eastAsia="宋体" w:cs="宋体"/>
          <w:sz w:val="28"/>
          <w:szCs w:val="28"/>
          <w:lang w:val="en-US"/>
        </w:rPr>
      </w:pPr>
      <w:r>
        <w:rPr>
          <w:rFonts w:hint="eastAsia" w:ascii="宋体" w:hAnsi="宋体" w:eastAsia="宋体" w:cs="宋体"/>
          <w:color w:val="auto"/>
          <w:kern w:val="0"/>
          <w:sz w:val="28"/>
          <w:szCs w:val="28"/>
          <w:highlight w:val="none"/>
          <w:lang w:val="en-US" w:eastAsia="zh-CN"/>
        </w:rPr>
        <w:t>报价一览表</w:t>
      </w:r>
    </w:p>
    <w:tbl>
      <w:tblPr>
        <w:tblStyle w:val="17"/>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
        <w:gridCol w:w="2533"/>
        <w:gridCol w:w="2250"/>
        <w:gridCol w:w="1234"/>
        <w:gridCol w:w="31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432"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序号</w:t>
            </w:r>
          </w:p>
        </w:tc>
        <w:tc>
          <w:tcPr>
            <w:tcW w:w="2533"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2250" w:type="dxa"/>
            <w:vAlign w:val="center"/>
          </w:tcPr>
          <w:p>
            <w:pPr>
              <w:jc w:val="center"/>
              <w:rPr>
                <w:rFonts w:hint="default" w:ascii="宋体" w:hAnsi="宋体" w:eastAsia="宋体" w:cs="宋体"/>
                <w:sz w:val="24"/>
                <w:szCs w:val="24"/>
                <w:lang w:val="en-US"/>
              </w:rPr>
            </w:pPr>
            <w:r>
              <w:rPr>
                <w:rFonts w:hint="eastAsia" w:ascii="宋体" w:hAnsi="宋体" w:cs="宋体"/>
                <w:sz w:val="24"/>
                <w:szCs w:val="24"/>
                <w:lang w:val="en-US" w:eastAsia="zh-CN"/>
              </w:rPr>
              <w:t>服务内容</w:t>
            </w:r>
          </w:p>
        </w:tc>
        <w:tc>
          <w:tcPr>
            <w:tcW w:w="1234" w:type="dxa"/>
            <w:vAlign w:val="center"/>
          </w:tcPr>
          <w:p>
            <w:pPr>
              <w:jc w:val="center"/>
              <w:rPr>
                <w:rFonts w:hint="eastAsia" w:ascii="宋体" w:hAnsi="宋体" w:eastAsia="宋体" w:cs="宋体"/>
                <w:color w:val="auto"/>
                <w:sz w:val="24"/>
                <w:szCs w:val="24"/>
              </w:rPr>
            </w:pPr>
            <w:r>
              <w:rPr>
                <w:rFonts w:hint="eastAsia" w:ascii="宋体" w:hAnsi="宋体" w:eastAsia="宋体" w:cs="宋体"/>
                <w:color w:val="auto"/>
                <w:sz w:val="24"/>
                <w:szCs w:val="24"/>
              </w:rPr>
              <w:t>数量</w:t>
            </w:r>
          </w:p>
        </w:tc>
        <w:tc>
          <w:tcPr>
            <w:tcW w:w="3189" w:type="dxa"/>
            <w:vAlign w:val="center"/>
          </w:tcPr>
          <w:p>
            <w:pPr>
              <w:jc w:val="cente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报价</w:t>
            </w:r>
            <w:r>
              <w:rPr>
                <w:rFonts w:hint="eastAsia" w:ascii="宋体" w:hAnsi="宋体" w:eastAsia="宋体" w:cs="宋体"/>
                <w:color w:val="auto"/>
                <w:sz w:val="24"/>
                <w:szCs w:val="24"/>
                <w:lang w:eastAsia="zh-CN"/>
              </w:rPr>
              <w:t>（</w:t>
            </w:r>
            <w:r>
              <w:rPr>
                <w:rFonts w:hint="eastAsia" w:ascii="宋体" w:hAnsi="宋体" w:cs="宋体"/>
                <w:color w:val="auto"/>
                <w:sz w:val="24"/>
                <w:szCs w:val="24"/>
                <w:lang w:eastAsia="zh-CN"/>
              </w:rPr>
              <w:t>万</w:t>
            </w:r>
            <w:r>
              <w:rPr>
                <w:rFonts w:hint="eastAsia" w:ascii="宋体" w:hAnsi="宋体" w:eastAsia="宋体" w:cs="宋体"/>
                <w:color w:val="auto"/>
                <w:sz w:val="24"/>
                <w:szCs w:val="24"/>
                <w:lang w:val="en-US" w:eastAsia="zh-CN"/>
              </w:rPr>
              <w:t>元</w:t>
            </w:r>
            <w:r>
              <w:rPr>
                <w:rFonts w:hint="eastAsia" w:ascii="宋体" w:hAnsi="宋体" w:eastAsia="宋体" w:cs="宋体"/>
                <w:color w:val="auto"/>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6" w:hRule="atLeast"/>
          <w:jc w:val="center"/>
        </w:trPr>
        <w:tc>
          <w:tcPr>
            <w:tcW w:w="432" w:type="dxa"/>
            <w:vAlign w:val="center"/>
          </w:tcPr>
          <w:p>
            <w:pPr>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1</w:t>
            </w:r>
          </w:p>
        </w:tc>
        <w:tc>
          <w:tcPr>
            <w:tcW w:w="2533"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四川省妇幼保健院天府院区外电改道及综合利用工程项目</w:t>
            </w:r>
          </w:p>
        </w:tc>
        <w:tc>
          <w:tcPr>
            <w:tcW w:w="2250" w:type="dxa"/>
            <w:vAlign w:val="center"/>
          </w:tcPr>
          <w:p>
            <w:pPr>
              <w:jc w:val="center"/>
              <w:rPr>
                <w:rFonts w:hint="eastAsia" w:ascii="宋体" w:hAnsi="宋体" w:eastAsia="宋体" w:cs="宋体"/>
                <w:sz w:val="24"/>
                <w:szCs w:val="24"/>
              </w:rPr>
            </w:pPr>
          </w:p>
        </w:tc>
        <w:tc>
          <w:tcPr>
            <w:tcW w:w="1234" w:type="dxa"/>
            <w:vAlign w:val="center"/>
          </w:tcPr>
          <w:p>
            <w:pPr>
              <w:jc w:val="center"/>
              <w:rPr>
                <w:rFonts w:hint="eastAsia" w:ascii="宋体" w:hAnsi="宋体" w:eastAsia="宋体" w:cs="宋体"/>
                <w:kern w:val="2"/>
                <w:sz w:val="24"/>
                <w:szCs w:val="24"/>
                <w:lang w:val="en-US" w:eastAsia="zh-CN" w:bidi="ar-SA"/>
              </w:rPr>
            </w:pPr>
          </w:p>
        </w:tc>
        <w:tc>
          <w:tcPr>
            <w:tcW w:w="3189" w:type="dxa"/>
            <w:vAlign w:val="center"/>
          </w:tcPr>
          <w:p>
            <w:pPr>
              <w:jc w:val="both"/>
              <w:rPr>
                <w:rFonts w:hint="eastAsia" w:ascii="宋体" w:hAnsi="宋体" w:cs="宋体"/>
                <w:sz w:val="24"/>
                <w:szCs w:val="24"/>
                <w:lang w:eastAsia="zh-CN"/>
              </w:rPr>
            </w:pPr>
            <w:r>
              <w:rPr>
                <w:rFonts w:hint="eastAsia" w:ascii="宋体" w:hAnsi="宋体" w:cs="宋体"/>
                <w:sz w:val="24"/>
                <w:szCs w:val="24"/>
                <w:lang w:eastAsia="zh-CN"/>
              </w:rPr>
              <w:t>小写：</w:t>
            </w:r>
          </w:p>
          <w:p>
            <w:pPr>
              <w:jc w:val="both"/>
              <w:rPr>
                <w:rFonts w:hint="eastAsia"/>
                <w:lang w:eastAsia="zh-CN"/>
              </w:rPr>
            </w:pPr>
            <w:r>
              <w:rPr>
                <w:rFonts w:hint="eastAsia" w:ascii="宋体" w:hAnsi="宋体" w:cs="宋体"/>
                <w:sz w:val="24"/>
                <w:szCs w:val="24"/>
                <w:lang w:eastAsia="zh-CN"/>
              </w:rPr>
              <w:t>大写：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432" w:type="dxa"/>
          </w:tcPr>
          <w:p>
            <w:pPr>
              <w:jc w:val="center"/>
              <w:rPr>
                <w:rFonts w:hint="eastAsia" w:ascii="宋体" w:hAnsi="宋体" w:eastAsia="宋体" w:cs="宋体"/>
                <w:sz w:val="24"/>
                <w:szCs w:val="24"/>
                <w:lang w:eastAsia="zh-CN"/>
              </w:rPr>
            </w:pPr>
            <w:r>
              <w:rPr>
                <w:rFonts w:hint="eastAsia" w:ascii="宋体" w:hAnsi="宋体" w:cs="宋体"/>
                <w:sz w:val="24"/>
                <w:szCs w:val="24"/>
                <w:lang w:eastAsia="zh-CN"/>
              </w:rPr>
              <w:t>备注</w:t>
            </w:r>
          </w:p>
        </w:tc>
        <w:tc>
          <w:tcPr>
            <w:tcW w:w="9206" w:type="dxa"/>
            <w:gridSpan w:val="4"/>
          </w:tcPr>
          <w:p>
            <w:pPr>
              <w:jc w:val="center"/>
              <w:rPr>
                <w:rFonts w:hint="eastAsia" w:ascii="宋体" w:hAnsi="宋体" w:eastAsia="宋体" w:cs="宋体"/>
                <w:b/>
                <w:bCs/>
                <w:sz w:val="24"/>
                <w:szCs w:val="24"/>
              </w:rPr>
            </w:pPr>
          </w:p>
        </w:tc>
      </w:tr>
    </w:tbl>
    <w:p>
      <w:pPr>
        <w:keepNext w:val="0"/>
        <w:keepLines w:val="0"/>
        <w:pageBreakBefore w:val="0"/>
        <w:widowControl/>
        <w:kinsoku/>
        <w:wordWrap/>
        <w:overflowPunct/>
        <w:topLinePunct w:val="0"/>
        <w:autoSpaceDE/>
        <w:autoSpaceDN/>
        <w:bidi w:val="0"/>
        <w:snapToGrid/>
        <w:spacing w:beforeAutospacing="0" w:afterAutospacing="0" w:line="360" w:lineRule="auto"/>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注：</w:t>
      </w:r>
      <w:r>
        <w:rPr>
          <w:rFonts w:hint="eastAsia" w:ascii="宋体" w:hAnsi="宋体" w:eastAsia="宋体" w:cs="宋体"/>
          <w:color w:val="auto"/>
          <w:kern w:val="0"/>
          <w:sz w:val="24"/>
          <w:szCs w:val="24"/>
          <w:highlight w:val="none"/>
          <w:lang w:val="en-US" w:eastAsia="zh-CN"/>
        </w:rPr>
        <w:t xml:space="preserve">  </w:t>
      </w:r>
    </w:p>
    <w:p>
      <w:pPr>
        <w:keepNext w:val="0"/>
        <w:keepLines w:val="0"/>
        <w:pageBreakBefore w:val="0"/>
        <w:widowControl/>
        <w:numPr>
          <w:ilvl w:val="0"/>
          <w:numId w:val="0"/>
        </w:numPr>
        <w:kinsoku/>
        <w:wordWrap/>
        <w:overflowPunct/>
        <w:topLinePunct w:val="0"/>
        <w:autoSpaceDE/>
        <w:autoSpaceDN/>
        <w:bidi w:val="0"/>
        <w:snapToGrid/>
        <w:spacing w:beforeAutospacing="0" w:afterAutospacing="0" w:line="360" w:lineRule="auto"/>
        <w:ind w:leftChars="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b/>
          <w:bCs/>
          <w:i w:val="0"/>
          <w:caps w:val="0"/>
          <w:color w:val="000000"/>
          <w:spacing w:val="0"/>
          <w:sz w:val="24"/>
          <w:szCs w:val="24"/>
          <w:lang w:val="en-US" w:eastAsia="zh-CN"/>
        </w:rPr>
        <w:t>1.本次报价</w:t>
      </w:r>
      <w:r>
        <w:rPr>
          <w:rFonts w:hint="eastAsia" w:ascii="宋体" w:hAnsi="宋体" w:eastAsia="宋体" w:cs="宋体"/>
          <w:b/>
          <w:bCs/>
          <w:color w:val="auto"/>
          <w:kern w:val="0"/>
          <w:sz w:val="24"/>
          <w:szCs w:val="24"/>
          <w:highlight w:val="none"/>
          <w:lang w:val="en-US" w:eastAsia="zh-CN"/>
        </w:rPr>
        <w:t>不得超过最高限价。</w:t>
      </w:r>
    </w:p>
    <w:p>
      <w:pPr>
        <w:keepNext w:val="0"/>
        <w:keepLines w:val="0"/>
        <w:pageBreakBefore w:val="0"/>
        <w:widowControl/>
        <w:numPr>
          <w:ilvl w:val="0"/>
          <w:numId w:val="0"/>
        </w:numPr>
        <w:kinsoku/>
        <w:wordWrap/>
        <w:overflowPunct/>
        <w:topLinePunct w:val="0"/>
        <w:autoSpaceDE/>
        <w:autoSpaceDN/>
        <w:bidi w:val="0"/>
        <w:snapToGrid/>
        <w:spacing w:beforeAutospacing="0" w:afterAutospacing="0" w:line="360" w:lineRule="auto"/>
        <w:ind w:leftChars="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“报价一览表”为多页的，每页均需由法定代表人或授权代表签字并盖投标人印章。</w:t>
      </w:r>
    </w:p>
    <w:p>
      <w:pPr>
        <w:keepNext w:val="0"/>
        <w:keepLines w:val="0"/>
        <w:pageBreakBefore w:val="0"/>
        <w:widowControl/>
        <w:numPr>
          <w:ilvl w:val="0"/>
          <w:numId w:val="0"/>
        </w:numPr>
        <w:kinsoku/>
        <w:wordWrap/>
        <w:overflowPunct/>
        <w:topLinePunct w:val="0"/>
        <w:autoSpaceDE/>
        <w:autoSpaceDN/>
        <w:bidi w:val="0"/>
        <w:snapToGrid/>
        <w:spacing w:beforeAutospacing="0" w:afterAutospacing="0" w:line="360" w:lineRule="auto"/>
        <w:ind w:leftChars="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“报价一览表”需单独密封。</w:t>
      </w:r>
    </w:p>
    <w:p>
      <w:pPr>
        <w:keepNext w:val="0"/>
        <w:keepLines w:val="0"/>
        <w:pageBreakBefore w:val="0"/>
        <w:widowControl/>
        <w:numPr>
          <w:ilvl w:val="0"/>
          <w:numId w:val="0"/>
        </w:numPr>
        <w:kinsoku/>
        <w:wordWrap/>
        <w:overflowPunct/>
        <w:topLinePunct w:val="0"/>
        <w:autoSpaceDE/>
        <w:autoSpaceDN/>
        <w:bidi w:val="0"/>
        <w:snapToGrid/>
        <w:spacing w:beforeAutospacing="0" w:afterAutospacing="0" w:line="360" w:lineRule="auto"/>
        <w:ind w:leftChars="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 xml:space="preserve">4.如无品牌，可以不提供。 </w:t>
      </w:r>
    </w:p>
    <w:p>
      <w:pPr>
        <w:keepNext w:val="0"/>
        <w:keepLines w:val="0"/>
        <w:pageBreakBefore w:val="0"/>
        <w:widowControl/>
        <w:numPr>
          <w:ilvl w:val="0"/>
          <w:numId w:val="0"/>
        </w:numPr>
        <w:kinsoku/>
        <w:wordWrap/>
        <w:overflowPunct/>
        <w:topLinePunct w:val="0"/>
        <w:autoSpaceDE/>
        <w:autoSpaceDN/>
        <w:bidi w:val="0"/>
        <w:snapToGrid/>
        <w:spacing w:beforeAutospacing="0" w:afterAutospacing="0" w:line="360" w:lineRule="auto"/>
        <w:ind w:leftChars="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供应商名称（盖章）：        </w:t>
      </w:r>
    </w:p>
    <w:p>
      <w:pPr>
        <w:keepNext w:val="0"/>
        <w:keepLines w:val="0"/>
        <w:pageBreakBefore w:val="0"/>
        <w:widowControl/>
        <w:kinsoku/>
        <w:wordWrap/>
        <w:overflowPunct/>
        <w:topLinePunct w:val="0"/>
        <w:autoSpaceDE/>
        <w:autoSpaceDN/>
        <w:bidi w:val="0"/>
        <w:snapToGrid/>
        <w:spacing w:beforeAutospacing="0" w:afterAutospacing="0" w:line="360" w:lineRule="auto"/>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法定代表人或授权代表（签字）：     </w:t>
      </w:r>
    </w:p>
    <w:p>
      <w:pPr>
        <w:keepNext w:val="0"/>
        <w:keepLines w:val="0"/>
        <w:pageBreakBefore w:val="0"/>
        <w:widowControl/>
        <w:kinsoku/>
        <w:wordWrap/>
        <w:overflowPunct/>
        <w:topLinePunct w:val="0"/>
        <w:autoSpaceDE/>
        <w:autoSpaceDN/>
        <w:bidi w:val="0"/>
        <w:snapToGrid/>
        <w:spacing w:beforeAutospacing="0" w:afterAutospacing="0" w:line="360" w:lineRule="auto"/>
        <w:ind w:firstLine="48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日期：</w:t>
      </w:r>
    </w:p>
    <w:p>
      <w:pPr>
        <w:keepNext w:val="0"/>
        <w:keepLines w:val="0"/>
        <w:pageBreakBefore w:val="0"/>
        <w:widowControl/>
        <w:kinsoku/>
        <w:wordWrap/>
        <w:overflowPunct/>
        <w:topLinePunct w:val="0"/>
        <w:autoSpaceDE/>
        <w:autoSpaceDN/>
        <w:bidi w:val="0"/>
        <w:snapToGrid/>
        <w:spacing w:beforeAutospacing="0" w:afterAutospacing="0" w:line="360" w:lineRule="auto"/>
        <w:jc w:val="left"/>
        <w:textAlignment w:val="auto"/>
        <w:rPr>
          <w:rFonts w:hint="eastAsia" w:ascii="宋体" w:hAnsi="宋体" w:eastAsia="宋体" w:cs="宋体"/>
          <w:color w:val="auto"/>
          <w:kern w:val="0"/>
          <w:sz w:val="24"/>
          <w:szCs w:val="24"/>
          <w:highlight w:val="none"/>
        </w:rPr>
      </w:pPr>
    </w:p>
    <w:p>
      <w:pPr>
        <w:keepNext w:val="0"/>
        <w:keepLines w:val="0"/>
        <w:pageBreakBefore w:val="0"/>
        <w:widowControl/>
        <w:kinsoku/>
        <w:wordWrap/>
        <w:overflowPunct/>
        <w:topLinePunct w:val="0"/>
        <w:autoSpaceDE/>
        <w:autoSpaceDN/>
        <w:bidi w:val="0"/>
        <w:snapToGrid/>
        <w:spacing w:beforeAutospacing="0" w:afterAutospacing="0" w:line="360" w:lineRule="auto"/>
        <w:jc w:val="left"/>
        <w:textAlignment w:val="auto"/>
        <w:rPr>
          <w:rFonts w:hint="eastAsia" w:ascii="宋体" w:hAnsi="宋体" w:eastAsia="宋体" w:cs="宋体"/>
          <w:color w:val="auto"/>
          <w:kern w:val="0"/>
          <w:sz w:val="24"/>
          <w:szCs w:val="24"/>
          <w:highlight w:val="none"/>
        </w:rPr>
      </w:pPr>
    </w:p>
    <w:p>
      <w:pPr>
        <w:keepNext w:val="0"/>
        <w:keepLines w:val="0"/>
        <w:pageBreakBefore w:val="0"/>
        <w:widowControl/>
        <w:kinsoku/>
        <w:wordWrap/>
        <w:overflowPunct/>
        <w:topLinePunct w:val="0"/>
        <w:autoSpaceDE/>
        <w:autoSpaceDN/>
        <w:bidi w:val="0"/>
        <w:snapToGrid/>
        <w:spacing w:beforeAutospacing="0" w:afterAutospacing="0" w:line="240" w:lineRule="auto"/>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br w:type="page"/>
      </w:r>
    </w:p>
    <w:p>
      <w:pPr>
        <w:keepNext w:val="0"/>
        <w:keepLines w:val="0"/>
        <w:pageBreakBefore w:val="0"/>
        <w:widowControl/>
        <w:kinsoku/>
        <w:wordWrap/>
        <w:overflowPunct/>
        <w:topLinePunct w:val="0"/>
        <w:autoSpaceDE/>
        <w:autoSpaceDN/>
        <w:bidi w:val="0"/>
        <w:snapToGrid/>
        <w:spacing w:beforeAutospacing="0" w:afterAutospacing="0" w:line="360"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color w:val="auto"/>
          <w:kern w:val="0"/>
          <w:sz w:val="24"/>
          <w:szCs w:val="24"/>
          <w:highlight w:val="none"/>
        </w:rPr>
        <w:t xml:space="preserve"> </w:t>
      </w:r>
      <w:r>
        <w:rPr>
          <w:rFonts w:hint="eastAsia" w:ascii="宋体" w:hAnsi="宋体" w:eastAsia="宋体" w:cs="宋体"/>
          <w:b/>
          <w:bCs/>
          <w:sz w:val="24"/>
          <w:szCs w:val="24"/>
          <w:lang w:val="en-US" w:eastAsia="zh-CN"/>
        </w:rPr>
        <w:t>2-2</w:t>
      </w:r>
    </w:p>
    <w:p>
      <w:pPr>
        <w:pStyle w:val="4"/>
        <w:keepNext w:val="0"/>
        <w:keepLines w:val="0"/>
        <w:pageBreakBefore w:val="0"/>
        <w:tabs>
          <w:tab w:val="left" w:pos="540"/>
        </w:tabs>
        <w:kinsoku/>
        <w:wordWrap/>
        <w:overflowPunct/>
        <w:topLinePunct w:val="0"/>
        <w:autoSpaceDE/>
        <w:autoSpaceDN/>
        <w:bidi w:val="0"/>
        <w:snapToGrid/>
        <w:spacing w:beforeAutospacing="0" w:afterAutospacing="0" w:line="360" w:lineRule="auto"/>
        <w:ind w:left="720" w:hanging="720"/>
        <w:jc w:val="center"/>
        <w:textAlignment w:val="auto"/>
        <w:rPr>
          <w:rFonts w:hint="eastAsia" w:ascii="宋体" w:hAnsi="宋体" w:eastAsia="宋体" w:cs="宋体"/>
          <w:b/>
          <w:bCs w:val="0"/>
          <w:color w:val="auto"/>
          <w:sz w:val="24"/>
          <w:szCs w:val="24"/>
          <w:highlight w:val="none"/>
          <w:lang w:val="zh-CN"/>
        </w:rPr>
      </w:pPr>
      <w:r>
        <w:rPr>
          <w:rFonts w:hint="eastAsia" w:ascii="宋体" w:hAnsi="宋体" w:eastAsia="宋体" w:cs="宋体"/>
          <w:b/>
          <w:bCs w:val="0"/>
          <w:color w:val="auto"/>
          <w:sz w:val="24"/>
          <w:szCs w:val="24"/>
          <w:highlight w:val="none"/>
          <w:lang w:val="zh-CN"/>
        </w:rPr>
        <w:t>法定代表人身份授权书</w:t>
      </w:r>
    </w:p>
    <w:p>
      <w:pPr>
        <w:keepNext w:val="0"/>
        <w:keepLines w:val="0"/>
        <w:pageBreakBefore w:val="0"/>
        <w:kinsoku/>
        <w:wordWrap/>
        <w:overflowPunct/>
        <w:topLinePunct w:val="0"/>
        <w:autoSpaceDE/>
        <w:autoSpaceDN/>
        <w:bidi w:val="0"/>
        <w:snapToGrid/>
        <w:spacing w:beforeAutospacing="0" w:afterAutospacing="0" w:line="360" w:lineRule="auto"/>
        <w:textAlignment w:val="auto"/>
        <w:rPr>
          <w:rFonts w:hint="eastAsia" w:ascii="宋体" w:hAnsi="宋体" w:eastAsia="宋体" w:cs="宋体"/>
          <w:color w:val="auto"/>
          <w:sz w:val="24"/>
          <w:szCs w:val="24"/>
          <w:highlight w:val="none"/>
          <w:lang w:val="zh-CN"/>
        </w:rPr>
      </w:pPr>
    </w:p>
    <w:p>
      <w:pPr>
        <w:keepNext w:val="0"/>
        <w:keepLines w:val="0"/>
        <w:pageBreakBefore w:val="0"/>
        <w:tabs>
          <w:tab w:val="left" w:pos="6300"/>
        </w:tabs>
        <w:kinsoku/>
        <w:wordWrap/>
        <w:overflowPunct/>
        <w:topLinePunct w:val="0"/>
        <w:autoSpaceDE/>
        <w:autoSpaceDN/>
        <w:bidi w:val="0"/>
        <w:snapToGrid/>
        <w:spacing w:beforeAutospacing="0" w:afterAutospacing="0" w:line="360" w:lineRule="auto"/>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u w:val="single"/>
          <w:lang w:val="en-US" w:eastAsia="zh-CN"/>
        </w:rPr>
        <w:t xml:space="preserve">四川省妇幼保健院 </w:t>
      </w:r>
      <w:r>
        <w:rPr>
          <w:rFonts w:hint="eastAsia" w:ascii="宋体" w:hAnsi="宋体" w:eastAsia="宋体" w:cs="宋体"/>
          <w:color w:val="auto"/>
          <w:sz w:val="24"/>
          <w:szCs w:val="24"/>
          <w:highlight w:val="none"/>
          <w:lang w:val="zh-CN"/>
        </w:rPr>
        <w:t>：</w:t>
      </w:r>
    </w:p>
    <w:p>
      <w:pPr>
        <w:keepNext w:val="0"/>
        <w:keepLines w:val="0"/>
        <w:pageBreakBefore w:val="0"/>
        <w:tabs>
          <w:tab w:val="left" w:pos="720"/>
          <w:tab w:val="left" w:pos="6300"/>
        </w:tabs>
        <w:kinsoku/>
        <w:wordWrap/>
        <w:overflowPunct/>
        <w:topLinePunct w:val="0"/>
        <w:autoSpaceDE/>
        <w:autoSpaceDN/>
        <w:bidi w:val="0"/>
        <w:snapToGrid/>
        <w:spacing w:beforeAutospacing="0" w:afterAutospacing="0" w:line="360" w:lineRule="auto"/>
        <w:ind w:firstLine="573"/>
        <w:textAlignment w:val="auto"/>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lang w:val="zh-CN"/>
        </w:rPr>
        <w:t xml:space="preserve">   本授权声明：</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（投标人名称）</w:t>
      </w:r>
      <w:r>
        <w:rPr>
          <w:rFonts w:hint="eastAsia" w:ascii="宋体" w:hAnsi="宋体" w:eastAsia="宋体" w:cs="宋体"/>
          <w:color w:val="auto"/>
          <w:sz w:val="24"/>
          <w:szCs w:val="24"/>
          <w:highlight w:val="none"/>
          <w:u w:val="single"/>
          <w:lang w:val="zh-CN"/>
        </w:rPr>
        <w:t xml:space="preserve">           </w:t>
      </w:r>
    </w:p>
    <w:p>
      <w:pPr>
        <w:keepNext w:val="0"/>
        <w:keepLines w:val="0"/>
        <w:pageBreakBefore w:val="0"/>
        <w:tabs>
          <w:tab w:val="left" w:pos="720"/>
          <w:tab w:val="left" w:pos="6300"/>
        </w:tabs>
        <w:kinsoku/>
        <w:wordWrap/>
        <w:overflowPunct/>
        <w:topLinePunct w:val="0"/>
        <w:autoSpaceDE/>
        <w:autoSpaceDN/>
        <w:bidi w:val="0"/>
        <w:snapToGrid/>
        <w:spacing w:beforeAutospacing="0"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（法定代表人姓名、职务）授权</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（被授权人姓名、职务）为我方</w:t>
      </w:r>
      <w:r>
        <w:rPr>
          <w:rFonts w:hint="eastAsia" w:ascii="宋体" w:hAnsi="宋体" w:eastAsia="宋体" w:cs="宋体"/>
          <w:color w:val="auto"/>
          <w:sz w:val="24"/>
          <w:szCs w:val="24"/>
          <w:highlight w:val="none"/>
          <w:u w:val="single"/>
          <w:lang w:val="zh-CN"/>
        </w:rPr>
        <w:t xml:space="preserve"> “                                          ”</w:t>
      </w:r>
      <w:r>
        <w:rPr>
          <w:rFonts w:hint="eastAsia" w:ascii="宋体" w:hAnsi="宋体" w:eastAsia="宋体" w:cs="宋体"/>
          <w:color w:val="auto"/>
          <w:sz w:val="24"/>
          <w:szCs w:val="24"/>
          <w:highlight w:val="none"/>
          <w:lang w:val="zh-CN"/>
        </w:rPr>
        <w:t>项目投标活动的合法代表，以我方名义全权处理该项目有关投标、签订合同以及执行合同等一切事宜。</w:t>
      </w:r>
    </w:p>
    <w:p>
      <w:pPr>
        <w:keepNext w:val="0"/>
        <w:keepLines w:val="0"/>
        <w:pageBreakBefore w:val="0"/>
        <w:tabs>
          <w:tab w:val="left" w:pos="6300"/>
        </w:tabs>
        <w:kinsoku/>
        <w:wordWrap/>
        <w:overflowPunct/>
        <w:topLinePunct w:val="0"/>
        <w:autoSpaceDE/>
        <w:autoSpaceDN/>
        <w:bidi w:val="0"/>
        <w:snapToGrid/>
        <w:spacing w:beforeAutospacing="0" w:afterAutospacing="0" w:line="360" w:lineRule="auto"/>
        <w:ind w:firstLine="573"/>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pPr>
        <w:keepNext w:val="0"/>
        <w:keepLines w:val="0"/>
        <w:pageBreakBefore w:val="0"/>
        <w:tabs>
          <w:tab w:val="left" w:pos="6300"/>
        </w:tabs>
        <w:kinsoku/>
        <w:wordWrap/>
        <w:overflowPunct/>
        <w:topLinePunct w:val="0"/>
        <w:autoSpaceDE/>
        <w:autoSpaceDN/>
        <w:bidi w:val="0"/>
        <w:snapToGrid/>
        <w:spacing w:beforeAutospacing="0" w:afterAutospacing="0" w:line="360" w:lineRule="auto"/>
        <w:ind w:firstLine="573"/>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w:t>
      </w:r>
      <w:r>
        <w:rPr>
          <w:rFonts w:hint="eastAsia" w:ascii="宋体" w:hAnsi="宋体" w:eastAsia="宋体" w:cs="宋体"/>
          <w:color w:val="auto"/>
          <w:sz w:val="24"/>
          <w:szCs w:val="24"/>
          <w:highlight w:val="none"/>
          <w:lang w:val="en-US" w:eastAsia="zh-CN"/>
        </w:rPr>
        <w:t>或盖章</w:t>
      </w:r>
      <w:r>
        <w:rPr>
          <w:rFonts w:hint="eastAsia" w:ascii="宋体" w:hAnsi="宋体" w:eastAsia="宋体" w:cs="宋体"/>
          <w:color w:val="auto"/>
          <w:sz w:val="24"/>
          <w:szCs w:val="24"/>
          <w:highlight w:val="none"/>
        </w:rPr>
        <w:t>：</w:t>
      </w:r>
    </w:p>
    <w:p>
      <w:pPr>
        <w:keepNext w:val="0"/>
        <w:keepLines w:val="0"/>
        <w:pageBreakBefore w:val="0"/>
        <w:tabs>
          <w:tab w:val="left" w:pos="6300"/>
        </w:tabs>
        <w:kinsoku/>
        <w:wordWrap/>
        <w:overflowPunct/>
        <w:topLinePunct w:val="0"/>
        <w:autoSpaceDE/>
        <w:autoSpaceDN/>
        <w:bidi w:val="0"/>
        <w:snapToGrid/>
        <w:spacing w:beforeAutospacing="0" w:afterAutospacing="0" w:line="360" w:lineRule="auto"/>
        <w:ind w:firstLine="573"/>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授权代表</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签字</w:t>
      </w:r>
      <w:r>
        <w:rPr>
          <w:rFonts w:hint="eastAsia" w:ascii="宋体" w:hAnsi="宋体" w:eastAsia="宋体" w:cs="宋体"/>
          <w:color w:val="auto"/>
          <w:sz w:val="24"/>
          <w:szCs w:val="24"/>
          <w:highlight w:val="none"/>
          <w:lang w:val="en-US" w:eastAsia="zh-CN"/>
        </w:rPr>
        <w:t>或盖章</w:t>
      </w:r>
      <w:r>
        <w:rPr>
          <w:rFonts w:hint="eastAsia" w:ascii="宋体" w:hAnsi="宋体" w:eastAsia="宋体" w:cs="宋体"/>
          <w:color w:val="auto"/>
          <w:sz w:val="24"/>
          <w:szCs w:val="24"/>
          <w:highlight w:val="none"/>
        </w:rPr>
        <w:t>：</w:t>
      </w:r>
    </w:p>
    <w:p>
      <w:pPr>
        <w:keepNext w:val="0"/>
        <w:keepLines w:val="0"/>
        <w:pageBreakBefore w:val="0"/>
        <w:kinsoku/>
        <w:wordWrap/>
        <w:overflowPunct/>
        <w:topLinePunct w:val="0"/>
        <w:autoSpaceDE/>
        <w:autoSpaceDN/>
        <w:bidi w:val="0"/>
        <w:snapToGrid/>
        <w:spacing w:beforeAutospacing="0"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 xml:space="preserve">      （加盖公章）</w:t>
      </w:r>
    </w:p>
    <w:p>
      <w:pPr>
        <w:keepNext w:val="0"/>
        <w:keepLines w:val="0"/>
        <w:pageBreakBefore w:val="0"/>
        <w:kinsoku/>
        <w:wordWrap/>
        <w:overflowPunct/>
        <w:topLinePunct w:val="0"/>
        <w:autoSpaceDE/>
        <w:autoSpaceDN/>
        <w:bidi w:val="0"/>
        <w:snapToGrid/>
        <w:spacing w:beforeAutospacing="0"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pPr>
        <w:keepNext w:val="0"/>
        <w:keepLines w:val="0"/>
        <w:pageBreakBefore w:val="0"/>
        <w:numPr>
          <w:ilvl w:val="0"/>
          <w:numId w:val="3"/>
        </w:numPr>
        <w:tabs>
          <w:tab w:val="left" w:pos="6300"/>
        </w:tabs>
        <w:kinsoku/>
        <w:wordWrap/>
        <w:overflowPunct/>
        <w:topLinePunct w:val="0"/>
        <w:autoSpaceDE/>
        <w:autoSpaceDN/>
        <w:bidi w:val="0"/>
        <w:snapToGrid/>
        <w:spacing w:beforeAutospacing="0" w:after="0"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说明：上述证明文件</w:t>
      </w:r>
      <w:r>
        <w:rPr>
          <w:rFonts w:hint="eastAsia" w:ascii="宋体" w:hAnsi="宋体" w:eastAsia="宋体" w:cs="宋体"/>
          <w:color w:val="auto"/>
          <w:sz w:val="24"/>
          <w:szCs w:val="24"/>
          <w:highlight w:val="none"/>
          <w:lang w:val="en-US" w:eastAsia="zh-CN"/>
        </w:rPr>
        <w:t>须</w:t>
      </w:r>
      <w:r>
        <w:rPr>
          <w:rFonts w:hint="eastAsia" w:ascii="宋体" w:hAnsi="宋体" w:eastAsia="宋体" w:cs="宋体"/>
          <w:color w:val="auto"/>
          <w:sz w:val="24"/>
          <w:szCs w:val="24"/>
          <w:highlight w:val="none"/>
        </w:rPr>
        <w:t>附法定代表人、被授权代表身份证复印件（加盖公章）时才能生效。</w:t>
      </w:r>
    </w:p>
    <w:p>
      <w:pPr>
        <w:keepNext w:val="0"/>
        <w:keepLines w:val="0"/>
        <w:pageBreakBefore w:val="0"/>
        <w:widowControl/>
        <w:kinsoku/>
        <w:wordWrap/>
        <w:overflowPunct/>
        <w:topLinePunct w:val="0"/>
        <w:autoSpaceDE/>
        <w:autoSpaceDN/>
        <w:bidi w:val="0"/>
        <w:snapToGrid/>
        <w:spacing w:beforeAutospacing="0" w:afterAutospacing="0" w:line="360" w:lineRule="auto"/>
        <w:ind w:firstLine="640"/>
        <w:jc w:val="left"/>
        <w:textAlignment w:val="auto"/>
        <w:rPr>
          <w:rFonts w:hint="eastAsia" w:ascii="宋体" w:hAnsi="宋体" w:eastAsia="宋体" w:cs="宋体"/>
          <w:color w:val="auto"/>
          <w:kern w:val="0"/>
          <w:sz w:val="24"/>
          <w:szCs w:val="24"/>
          <w:highlight w:val="none"/>
        </w:rPr>
      </w:pPr>
    </w:p>
    <w:p>
      <w:pPr>
        <w:keepNext w:val="0"/>
        <w:keepLines w:val="0"/>
        <w:pageBreakBefore w:val="0"/>
        <w:widowControl/>
        <w:kinsoku/>
        <w:wordWrap/>
        <w:overflowPunct/>
        <w:topLinePunct w:val="0"/>
        <w:autoSpaceDE/>
        <w:autoSpaceDN/>
        <w:bidi w:val="0"/>
        <w:snapToGrid/>
        <w:spacing w:beforeAutospacing="0" w:afterAutospacing="0" w:line="360" w:lineRule="auto"/>
        <w:ind w:firstLine="640"/>
        <w:jc w:val="left"/>
        <w:textAlignment w:val="auto"/>
        <w:rPr>
          <w:rFonts w:hint="eastAsia" w:ascii="宋体" w:hAnsi="宋体" w:eastAsia="宋体" w:cs="宋体"/>
          <w:color w:val="auto"/>
          <w:kern w:val="0"/>
          <w:sz w:val="24"/>
          <w:szCs w:val="24"/>
          <w:highlight w:val="none"/>
        </w:rPr>
      </w:pPr>
    </w:p>
    <w:p>
      <w:pPr>
        <w:pStyle w:val="9"/>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color w:val="auto"/>
          <w:kern w:val="0"/>
          <w:sz w:val="24"/>
          <w:szCs w:val="24"/>
          <w:highlight w:val="none"/>
        </w:rPr>
      </w:pPr>
    </w:p>
    <w:p>
      <w:pPr>
        <w:pStyle w:val="9"/>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color w:val="auto"/>
          <w:kern w:val="0"/>
          <w:sz w:val="24"/>
          <w:szCs w:val="24"/>
          <w:highlight w:val="none"/>
        </w:rPr>
      </w:pPr>
    </w:p>
    <w:p>
      <w:pPr>
        <w:pStyle w:val="9"/>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color w:val="auto"/>
          <w:kern w:val="0"/>
          <w:sz w:val="24"/>
          <w:szCs w:val="24"/>
          <w:highlight w:val="none"/>
        </w:rPr>
      </w:pPr>
    </w:p>
    <w:p>
      <w:pPr>
        <w:pStyle w:val="8"/>
        <w:keepNext w:val="0"/>
        <w:keepLines w:val="0"/>
        <w:pageBreakBefore w:val="0"/>
        <w:kinsoku/>
        <w:wordWrap/>
        <w:overflowPunct/>
        <w:topLinePunct w:val="0"/>
        <w:autoSpaceDE/>
        <w:autoSpaceDN/>
        <w:bidi w:val="0"/>
        <w:spacing w:beforeAutospacing="0" w:afterAutospacing="0" w:line="360" w:lineRule="auto"/>
        <w:jc w:val="both"/>
        <w:rPr>
          <w:rFonts w:hint="eastAsia" w:ascii="宋体" w:hAnsi="宋体" w:eastAsia="宋体" w:cs="宋体"/>
          <w:b/>
          <w:bCs/>
          <w:color w:val="auto"/>
          <w:sz w:val="24"/>
          <w:szCs w:val="24"/>
          <w:highlight w:val="none"/>
          <w:lang w:val="en-US" w:eastAsia="zh-CN"/>
        </w:rPr>
      </w:pPr>
    </w:p>
    <w:p>
      <w:pPr>
        <w:keepNext w:val="0"/>
        <w:keepLines w:val="0"/>
        <w:pageBreakBefore w:val="0"/>
        <w:kinsoku/>
        <w:wordWrap/>
        <w:overflowPunct/>
        <w:topLinePunct w:val="0"/>
        <w:autoSpaceDE/>
        <w:autoSpaceDN/>
        <w:bidi w:val="0"/>
        <w:spacing w:beforeAutospacing="0" w:line="360" w:lineRule="auto"/>
        <w:rPr>
          <w:rFonts w:hint="eastAsia" w:ascii="宋体" w:hAnsi="宋体" w:eastAsia="宋体" w:cs="宋体"/>
          <w:b/>
          <w:bCs/>
          <w:color w:val="auto"/>
          <w:sz w:val="24"/>
          <w:szCs w:val="24"/>
          <w:highlight w:val="none"/>
          <w:lang w:val="en-US" w:eastAsia="zh-CN"/>
        </w:rPr>
      </w:pPr>
    </w:p>
    <w:p>
      <w:pPr>
        <w:pStyle w:val="8"/>
        <w:keepNext w:val="0"/>
        <w:keepLines w:val="0"/>
        <w:pageBreakBefore w:val="0"/>
        <w:kinsoku/>
        <w:wordWrap/>
        <w:overflowPunct/>
        <w:topLinePunct w:val="0"/>
        <w:autoSpaceDE/>
        <w:autoSpaceDN/>
        <w:bidi w:val="0"/>
        <w:spacing w:beforeAutospacing="0" w:afterAutospacing="0" w:line="360" w:lineRule="auto"/>
        <w:jc w:val="center"/>
        <w:rPr>
          <w:rFonts w:hint="eastAsia" w:ascii="宋体" w:hAnsi="宋体" w:eastAsia="宋体" w:cs="宋体"/>
          <w:b/>
          <w:bCs/>
          <w:color w:val="auto"/>
          <w:sz w:val="24"/>
          <w:szCs w:val="24"/>
          <w:highlight w:val="none"/>
          <w:lang w:val="en-US" w:eastAsia="zh-CN"/>
        </w:rPr>
      </w:pPr>
    </w:p>
    <w:p>
      <w:pPr>
        <w:pStyle w:val="8"/>
        <w:keepNext w:val="0"/>
        <w:keepLines w:val="0"/>
        <w:pageBreakBefore w:val="0"/>
        <w:kinsoku/>
        <w:wordWrap/>
        <w:overflowPunct/>
        <w:topLinePunct w:val="0"/>
        <w:autoSpaceDE/>
        <w:autoSpaceDN/>
        <w:bidi w:val="0"/>
        <w:spacing w:beforeAutospacing="0" w:afterAutospacing="0" w:line="360" w:lineRule="auto"/>
        <w:jc w:val="center"/>
        <w:rPr>
          <w:rFonts w:hint="eastAsia" w:ascii="宋体" w:hAnsi="宋体" w:eastAsia="宋体" w:cs="宋体"/>
          <w:b/>
          <w:bCs/>
          <w:color w:val="auto"/>
          <w:sz w:val="24"/>
          <w:szCs w:val="24"/>
          <w:highlight w:val="none"/>
          <w:lang w:val="en-US" w:eastAsia="zh-CN"/>
        </w:rPr>
      </w:pPr>
    </w:p>
    <w:p>
      <w:pPr>
        <w:pStyle w:val="8"/>
        <w:keepNext w:val="0"/>
        <w:keepLines w:val="0"/>
        <w:pageBreakBefore w:val="0"/>
        <w:kinsoku/>
        <w:wordWrap/>
        <w:overflowPunct/>
        <w:topLinePunct w:val="0"/>
        <w:autoSpaceDE/>
        <w:autoSpaceDN/>
        <w:bidi w:val="0"/>
        <w:spacing w:beforeAutospacing="0" w:afterAutospacing="0" w:line="360" w:lineRule="auto"/>
        <w:jc w:val="center"/>
        <w:rPr>
          <w:rFonts w:hint="eastAsia" w:ascii="宋体" w:hAnsi="宋体" w:eastAsia="宋体" w:cs="宋体"/>
          <w:b/>
          <w:bCs/>
          <w:color w:val="auto"/>
          <w:sz w:val="24"/>
          <w:szCs w:val="24"/>
          <w:highlight w:val="none"/>
          <w:lang w:val="en-US" w:eastAsia="zh-CN"/>
        </w:rPr>
      </w:pPr>
    </w:p>
    <w:p>
      <w:pPr>
        <w:pStyle w:val="8"/>
        <w:keepNext w:val="0"/>
        <w:keepLines w:val="0"/>
        <w:pageBreakBefore w:val="0"/>
        <w:kinsoku/>
        <w:wordWrap/>
        <w:overflowPunct/>
        <w:topLinePunct w:val="0"/>
        <w:autoSpaceDE/>
        <w:autoSpaceDN/>
        <w:bidi w:val="0"/>
        <w:spacing w:beforeAutospacing="0" w:afterAutospacing="0" w:line="360" w:lineRule="auto"/>
        <w:jc w:val="left"/>
        <w:rPr>
          <w:rFonts w:hint="eastAsia" w:ascii="宋体" w:hAnsi="宋体" w:eastAsia="宋体" w:cs="宋体"/>
          <w:b/>
          <w:bCs/>
          <w:color w:val="auto"/>
          <w:sz w:val="24"/>
          <w:szCs w:val="24"/>
          <w:highlight w:val="none"/>
          <w:lang w:val="en-US" w:eastAsia="zh-CN"/>
        </w:rPr>
      </w:pPr>
    </w:p>
    <w:p>
      <w:pPr>
        <w:pStyle w:val="8"/>
        <w:keepNext w:val="0"/>
        <w:keepLines w:val="0"/>
        <w:pageBreakBefore w:val="0"/>
        <w:kinsoku/>
        <w:wordWrap/>
        <w:overflowPunct/>
        <w:topLinePunct w:val="0"/>
        <w:autoSpaceDE/>
        <w:autoSpaceDN/>
        <w:bidi w:val="0"/>
        <w:spacing w:beforeAutospacing="0" w:afterAutospacing="0" w:line="360" w:lineRule="auto"/>
        <w:jc w:val="left"/>
        <w:rPr>
          <w:rFonts w:hint="eastAsia" w:ascii="宋体" w:hAnsi="宋体" w:eastAsia="宋体" w:cs="宋体"/>
          <w:b/>
          <w:bCs/>
          <w:color w:val="auto"/>
          <w:sz w:val="24"/>
          <w:szCs w:val="24"/>
          <w:highlight w:val="none"/>
          <w:lang w:val="en-US" w:eastAsia="zh-CN"/>
        </w:rPr>
      </w:pPr>
    </w:p>
    <w:p>
      <w:pPr>
        <w:pStyle w:val="8"/>
        <w:keepNext w:val="0"/>
        <w:keepLines w:val="0"/>
        <w:pageBreakBefore w:val="0"/>
        <w:kinsoku/>
        <w:wordWrap/>
        <w:overflowPunct/>
        <w:topLinePunct w:val="0"/>
        <w:autoSpaceDE/>
        <w:autoSpaceDN/>
        <w:bidi w:val="0"/>
        <w:spacing w:beforeAutospacing="0" w:afterAutospacing="0" w:line="360" w:lineRule="auto"/>
        <w:jc w:val="left"/>
        <w:rPr>
          <w:rFonts w:hint="eastAsia" w:ascii="宋体" w:hAnsi="宋体" w:eastAsia="宋体" w:cs="宋体"/>
          <w:b/>
          <w:bCs/>
          <w:color w:val="auto"/>
          <w:sz w:val="24"/>
          <w:szCs w:val="24"/>
          <w:highlight w:val="none"/>
          <w:lang w:val="en-US" w:eastAsia="zh-CN"/>
        </w:rPr>
      </w:pPr>
    </w:p>
    <w:p>
      <w:pPr>
        <w:pStyle w:val="8"/>
        <w:keepNext w:val="0"/>
        <w:keepLines w:val="0"/>
        <w:pageBreakBefore w:val="0"/>
        <w:kinsoku/>
        <w:wordWrap/>
        <w:overflowPunct/>
        <w:topLinePunct w:val="0"/>
        <w:autoSpaceDE/>
        <w:autoSpaceDN/>
        <w:bidi w:val="0"/>
        <w:spacing w:beforeAutospacing="0" w:afterAutospacing="0" w:line="360" w:lineRule="auto"/>
        <w:jc w:val="left"/>
        <w:rPr>
          <w:rFonts w:hint="eastAsia" w:ascii="宋体" w:hAnsi="宋体" w:eastAsia="宋体" w:cs="宋体"/>
          <w:b/>
          <w:bCs/>
          <w:color w:val="auto"/>
          <w:sz w:val="24"/>
          <w:szCs w:val="24"/>
          <w:highlight w:val="none"/>
          <w:lang w:val="en-US" w:eastAsia="zh-CN"/>
        </w:rPr>
      </w:pPr>
    </w:p>
    <w:p>
      <w:pPr>
        <w:pStyle w:val="8"/>
        <w:keepNext w:val="0"/>
        <w:keepLines w:val="0"/>
        <w:pageBreakBefore w:val="0"/>
        <w:kinsoku/>
        <w:wordWrap/>
        <w:overflowPunct/>
        <w:topLinePunct w:val="0"/>
        <w:autoSpaceDE/>
        <w:autoSpaceDN/>
        <w:bidi w:val="0"/>
        <w:spacing w:beforeAutospacing="0" w:afterAutospacing="0" w:line="360" w:lineRule="auto"/>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2-3</w:t>
      </w:r>
    </w:p>
    <w:p>
      <w:pPr>
        <w:pStyle w:val="8"/>
        <w:keepNext w:val="0"/>
        <w:keepLines w:val="0"/>
        <w:pageBreakBefore w:val="0"/>
        <w:kinsoku/>
        <w:wordWrap/>
        <w:overflowPunct/>
        <w:topLinePunct w:val="0"/>
        <w:autoSpaceDE/>
        <w:autoSpaceDN/>
        <w:bidi w:val="0"/>
        <w:spacing w:beforeAutospacing="0" w:afterAutospacing="0"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无围标、串标行为承诺书</w:t>
      </w:r>
    </w:p>
    <w:p>
      <w:pPr>
        <w:keepNext w:val="0"/>
        <w:keepLines w:val="0"/>
        <w:pageBreakBefore w:val="0"/>
        <w:kinsoku/>
        <w:wordWrap/>
        <w:overflowPunct/>
        <w:topLinePunct w:val="0"/>
        <w:autoSpaceDE/>
        <w:autoSpaceDN/>
        <w:bidi w:val="0"/>
        <w:spacing w:beforeAutospacing="0" w:afterAutospacing="0" w:line="360" w:lineRule="auto"/>
        <w:ind w:firstLine="64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本公司郑重承诺：我公司自觉遵守《中华人民共和国政府采购法》和《中华人民共和国政府采购法实施条例》的有关规定，我公司在参加本次项目（项目名称：XXXXXXX）采购活动中，无以下围标、串标行为：</w:t>
      </w:r>
    </w:p>
    <w:p>
      <w:pPr>
        <w:pStyle w:val="8"/>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1.不同供应商的投标文件由同一单位或者个人编制；</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2.不同供应商委托同一单位或者个人办理投标事宜；</w:t>
      </w:r>
    </w:p>
    <w:p>
      <w:pPr>
        <w:pStyle w:val="8"/>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3.不同供应商的投标文件载明的项目管理成员或者联系人员为同一人；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4.不同供应商的投标文件异常一致或者投标报价呈规律性差异；</w:t>
      </w:r>
    </w:p>
    <w:p>
      <w:pPr>
        <w:pStyle w:val="8"/>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5.不同供应商的投标文件相互混装；</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6.不同供应商的投标保证金从同一单位或者个人的账户转出；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7.不同供应商的董事、监事、高管、单位负责人为同一人或者存在控股、管理关系的不同单位参加同一采购项目；</w:t>
      </w:r>
    </w:p>
    <w:p>
      <w:pPr>
        <w:pStyle w:val="8"/>
        <w:keepNext w:val="0"/>
        <w:keepLines w:val="0"/>
        <w:pageBreakBefore w:val="0"/>
        <w:kinsoku/>
        <w:wordWrap/>
        <w:overflowPunct/>
        <w:topLinePunct w:val="0"/>
        <w:autoSpaceDE/>
        <w:autoSpaceDN/>
        <w:bidi w:val="0"/>
        <w:spacing w:beforeAutospacing="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8.供应商之间事先约定由某一特定供应商中标、成交；</w:t>
      </w:r>
    </w:p>
    <w:p>
      <w:pPr>
        <w:keepNext w:val="0"/>
        <w:keepLines w:val="0"/>
        <w:pageBreakBefore w:val="0"/>
        <w:kinsoku/>
        <w:wordWrap/>
        <w:overflowPunct/>
        <w:topLinePunct w:val="0"/>
        <w:autoSpaceDE/>
        <w:autoSpaceDN/>
        <w:bidi w:val="0"/>
        <w:spacing w:beforeAutospacing="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9.供应商之间商定部分供应商放弃参加采购活动或者放弃中标、成交；</w:t>
      </w:r>
    </w:p>
    <w:p>
      <w:pPr>
        <w:keepNext w:val="0"/>
        <w:keepLines w:val="0"/>
        <w:pageBreakBefore w:val="0"/>
        <w:kinsoku/>
        <w:wordWrap/>
        <w:overflowPunct/>
        <w:topLinePunct w:val="0"/>
        <w:autoSpaceDE/>
        <w:autoSpaceDN/>
        <w:bidi w:val="0"/>
        <w:spacing w:beforeAutospacing="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10.法律法规界定的其他围标串标行为。</w:t>
      </w:r>
    </w:p>
    <w:p>
      <w:pPr>
        <w:keepNext w:val="0"/>
        <w:keepLines w:val="0"/>
        <w:pageBreakBefore w:val="0"/>
        <w:numPr>
          <w:ilvl w:val="0"/>
          <w:numId w:val="0"/>
        </w:numPr>
        <w:kinsoku/>
        <w:wordWrap/>
        <w:overflowPunct/>
        <w:topLinePunct w:val="0"/>
        <w:autoSpaceDE/>
        <w:autoSpaceDN/>
        <w:bidi w:val="0"/>
        <w:spacing w:beforeAutospacing="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我公司承诺在本项目采购活动中，与采购人不存在关联关系，与其他投标单位不存在关联关系。如被查实在本项目采购活动中存在围标、串标的，本公司将承担法律责任，接受相应的法律法规处罚。</w:t>
      </w:r>
    </w:p>
    <w:p>
      <w:pPr>
        <w:pStyle w:val="8"/>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color w:val="auto"/>
          <w:sz w:val="24"/>
          <w:szCs w:val="24"/>
          <w:highlight w:val="none"/>
          <w:lang w:val="en-US" w:eastAsia="zh-CN"/>
        </w:rPr>
      </w:pPr>
    </w:p>
    <w:p>
      <w:pPr>
        <w:pStyle w:val="8"/>
        <w:keepNext w:val="0"/>
        <w:keepLines w:val="0"/>
        <w:pageBreakBefore w:val="0"/>
        <w:kinsoku/>
        <w:wordWrap/>
        <w:overflowPunct/>
        <w:topLinePunct w:val="0"/>
        <w:autoSpaceDE/>
        <w:autoSpaceDN/>
        <w:bidi w:val="0"/>
        <w:spacing w:beforeAutospacing="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投标供应商法人代表或委托代理人（承诺人） ：</w:t>
      </w:r>
    </w:p>
    <w:p>
      <w:pPr>
        <w:pStyle w:val="8"/>
        <w:keepNext w:val="0"/>
        <w:keepLines w:val="0"/>
        <w:pageBreakBefore w:val="0"/>
        <w:kinsoku/>
        <w:wordWrap/>
        <w:overflowPunct/>
        <w:topLinePunct w:val="0"/>
        <w:autoSpaceDE/>
        <w:autoSpaceDN/>
        <w:bidi w:val="0"/>
        <w:spacing w:beforeAutospacing="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投标供应商：（公章）  </w:t>
      </w:r>
    </w:p>
    <w:p>
      <w:pPr>
        <w:pStyle w:val="8"/>
        <w:keepNext w:val="0"/>
        <w:keepLines w:val="0"/>
        <w:pageBreakBefore w:val="0"/>
        <w:kinsoku/>
        <w:wordWrap/>
        <w:overflowPunct/>
        <w:topLinePunct w:val="0"/>
        <w:autoSpaceDE/>
        <w:autoSpaceDN/>
        <w:bidi w:val="0"/>
        <w:spacing w:beforeAutospacing="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日期：   年    月    日</w:t>
      </w:r>
    </w:p>
    <w:p>
      <w:pPr>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b/>
          <w:bCs/>
          <w:color w:val="auto"/>
          <w:sz w:val="24"/>
          <w:szCs w:val="24"/>
          <w:highlight w:val="none"/>
        </w:rPr>
      </w:pPr>
    </w:p>
    <w:p>
      <w:pPr>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b/>
          <w:bCs/>
          <w:color w:val="auto"/>
          <w:sz w:val="24"/>
          <w:szCs w:val="24"/>
          <w:highlight w:val="none"/>
        </w:rPr>
      </w:pPr>
    </w:p>
    <w:p>
      <w:pPr>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b/>
          <w:bCs/>
          <w:color w:val="auto"/>
          <w:sz w:val="24"/>
          <w:szCs w:val="24"/>
          <w:highlight w:val="none"/>
        </w:rPr>
      </w:pPr>
    </w:p>
    <w:p>
      <w:pPr>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b/>
          <w:bCs/>
          <w:color w:val="auto"/>
          <w:sz w:val="24"/>
          <w:szCs w:val="24"/>
          <w:highlight w:val="none"/>
        </w:rPr>
      </w:pPr>
    </w:p>
    <w:p>
      <w:pPr>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b/>
          <w:bCs/>
          <w:color w:val="auto"/>
          <w:sz w:val="24"/>
          <w:szCs w:val="24"/>
          <w:highlight w:val="none"/>
        </w:rPr>
      </w:pPr>
    </w:p>
    <w:p>
      <w:pPr>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b/>
          <w:bCs/>
          <w:color w:val="auto"/>
          <w:sz w:val="24"/>
          <w:szCs w:val="24"/>
          <w:highlight w:val="none"/>
        </w:rPr>
      </w:pPr>
    </w:p>
    <w:p>
      <w:pPr>
        <w:rPr>
          <w:rFonts w:hint="eastAsia" w:ascii="宋体" w:hAnsi="宋体" w:eastAsia="宋体" w:cs="宋体"/>
          <w:b/>
          <w:bCs/>
          <w:color w:val="auto"/>
          <w:sz w:val="24"/>
          <w:szCs w:val="24"/>
          <w:highlight w:val="none"/>
          <w:lang w:val="en-US" w:eastAsia="zh-CN"/>
        </w:rPr>
      </w:pPr>
    </w:p>
    <w:p>
      <w:pPr>
        <w:rPr>
          <w:rFonts w:hint="eastAsia" w:ascii="宋体" w:hAnsi="宋体" w:eastAsia="宋体" w:cs="宋体"/>
          <w:sz w:val="24"/>
          <w:szCs w:val="24"/>
        </w:rPr>
      </w:pPr>
      <w:r>
        <w:rPr>
          <w:rFonts w:hint="eastAsia" w:ascii="宋体" w:hAnsi="宋体" w:eastAsia="宋体" w:cs="宋体"/>
          <w:b/>
          <w:bCs/>
          <w:color w:val="auto"/>
          <w:sz w:val="24"/>
          <w:szCs w:val="24"/>
          <w:highlight w:val="none"/>
          <w:lang w:val="en-US" w:eastAsia="zh-CN"/>
        </w:rPr>
        <w:t>2-4</w:t>
      </w:r>
      <w:r>
        <w:rPr>
          <w:rFonts w:hint="eastAsia" w:ascii="宋体" w:hAnsi="宋体" w:cs="宋体"/>
          <w:b/>
          <w:bCs/>
          <w:color w:val="auto"/>
          <w:sz w:val="24"/>
          <w:szCs w:val="24"/>
          <w:highlight w:val="none"/>
          <w:lang w:val="en-US" w:eastAsia="zh-CN"/>
        </w:rPr>
        <w:t xml:space="preserve">                              </w:t>
      </w:r>
      <w:r>
        <w:rPr>
          <w:rFonts w:hint="eastAsia" w:ascii="宋体" w:hAnsi="宋体" w:eastAsia="宋体" w:cs="宋体"/>
          <w:sz w:val="24"/>
          <w:szCs w:val="24"/>
          <w:shd w:val="clear" w:color="auto" w:fill="FFFFFF"/>
        </w:rPr>
        <w:t>承诺函</w:t>
      </w:r>
    </w:p>
    <w:p>
      <w:pPr>
        <w:pageBreakBefore w:val="0"/>
        <w:tabs>
          <w:tab w:val="left" w:pos="0"/>
        </w:tabs>
        <w:kinsoku/>
        <w:overflowPunct/>
        <w:topLinePunct w:val="0"/>
        <w:autoSpaceDE/>
        <w:autoSpaceDN/>
        <w:bidi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四川省妇幼保健院：</w:t>
      </w:r>
    </w:p>
    <w:p>
      <w:pPr>
        <w:pageBreakBefore w:val="0"/>
        <w:kinsoku/>
        <w:overflowPunct/>
        <w:topLinePunct w:val="0"/>
        <w:autoSpaceDE/>
        <w:autoSpaceDN/>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本供应商</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（供应商全称）</w:t>
      </w:r>
      <w:r>
        <w:rPr>
          <w:rFonts w:hint="eastAsia" w:ascii="宋体" w:hAnsi="宋体" w:eastAsia="宋体" w:cs="宋体"/>
          <w:sz w:val="24"/>
          <w:szCs w:val="24"/>
        </w:rPr>
        <w:t>参加</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（项目编号</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）的磋商活动，现郑重承诺：</w:t>
      </w:r>
    </w:p>
    <w:p>
      <w:pPr>
        <w:pageBreakBefore w:val="0"/>
        <w:kinsoku/>
        <w:overflowPunct/>
        <w:topLinePunct w:val="0"/>
        <w:autoSpaceDE/>
        <w:autoSpaceDN/>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一、具备本项目规定的条件：</w:t>
      </w:r>
    </w:p>
    <w:p>
      <w:pPr>
        <w:pageBreakBefore w:val="0"/>
        <w:kinsoku/>
        <w:overflowPunct/>
        <w:topLinePunct w:val="0"/>
        <w:autoSpaceDE/>
        <w:autoSpaceDN/>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（一）具有独立承担民事责任的能力； </w:t>
      </w:r>
    </w:p>
    <w:p>
      <w:pPr>
        <w:pageBreakBefore w:val="0"/>
        <w:kinsoku/>
        <w:overflowPunct/>
        <w:topLinePunct w:val="0"/>
        <w:autoSpaceDE/>
        <w:autoSpaceDN/>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（二）具有良好的商业信誉和健全的财务会计制度； </w:t>
      </w:r>
    </w:p>
    <w:p>
      <w:pPr>
        <w:pageBreakBefore w:val="0"/>
        <w:kinsoku/>
        <w:overflowPunct/>
        <w:topLinePunct w:val="0"/>
        <w:autoSpaceDE/>
        <w:autoSpaceDN/>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（三）具有履行合同所必需的设备和专业技术能力； </w:t>
      </w:r>
    </w:p>
    <w:p>
      <w:pPr>
        <w:pageBreakBefore w:val="0"/>
        <w:kinsoku/>
        <w:overflowPunct/>
        <w:topLinePunct w:val="0"/>
        <w:autoSpaceDE/>
        <w:autoSpaceDN/>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（四）有依法缴纳税收和社会保障资金的良好记录； </w:t>
      </w:r>
    </w:p>
    <w:p>
      <w:pPr>
        <w:pageBreakBefore w:val="0"/>
        <w:kinsoku/>
        <w:overflowPunct/>
        <w:topLinePunct w:val="0"/>
        <w:autoSpaceDE/>
        <w:autoSpaceDN/>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（五）参加采购活动前三年内，在经营活动中没有重大违法记录；</w:t>
      </w:r>
    </w:p>
    <w:p>
      <w:pPr>
        <w:pageBreakBefore w:val="0"/>
        <w:kinsoku/>
        <w:overflowPunct/>
        <w:topLinePunct w:val="0"/>
        <w:autoSpaceDE/>
        <w:autoSpaceDN/>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（六）法律、行政法规规定的其他条件；</w:t>
      </w:r>
    </w:p>
    <w:p>
      <w:pPr>
        <w:pageBreakBefore w:val="0"/>
        <w:kinsoku/>
        <w:overflowPunct/>
        <w:topLinePunct w:val="0"/>
        <w:autoSpaceDE/>
        <w:autoSpaceDN/>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完全接受和满足本项目磋商文件中规定的实质性要求，如对磋商文件有异议，已经在磋商截止时间届满前依法进行维权救济，不存在对磋商文件有异议的同时又参加磋商以求侥幸成交或者为实现其他非法目的的行为。承诺成交后签订合同前按采购人要求提交技术参数相关佐证材料。</w:t>
      </w:r>
    </w:p>
    <w:p>
      <w:pPr>
        <w:pageBreakBefore w:val="0"/>
        <w:kinsoku/>
        <w:overflowPunct/>
        <w:topLinePunct w:val="0"/>
        <w:autoSpaceDE/>
        <w:autoSpaceDN/>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参加本次磋商采购活动，不存在与单位负责人为同一人或者存在直接控股、管理关系的其他供应商参与同一合同项下的采购活动的行为。本单位未参与本采购项目前期咨询论证，不属于禁止参加本项目磋商的供应商。</w:t>
      </w:r>
    </w:p>
    <w:p>
      <w:pPr>
        <w:pageBreakBefore w:val="0"/>
        <w:kinsoku/>
        <w:overflowPunct/>
        <w:topLinePunct w:val="0"/>
        <w:autoSpaceDE/>
        <w:autoSpaceDN/>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四、参加本次磋商采购活动，不存在和其他供应商在同一合同项下的采购项目中，同时委托同一个自然人、同一家庭的人员、同一单位的人员作为代理人的行为。</w:t>
      </w:r>
    </w:p>
    <w:p>
      <w:pPr>
        <w:pageBreakBefore w:val="0"/>
        <w:kinsoku/>
        <w:overflowPunct/>
        <w:topLinePunct w:val="0"/>
        <w:autoSpaceDE/>
        <w:autoSpaceDN/>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五、本单位未被对列入按财库[2016]125号规定的失信被执行人、重大税收违法案件当事人名单、政府采购严重违法失信行为记录名单及其他不符合《中华人民共和国政府采购法》第二十二条规定条件的供应商。</w:t>
      </w:r>
    </w:p>
    <w:p>
      <w:pPr>
        <w:pageBreakBefore w:val="0"/>
        <w:kinsoku/>
        <w:overflowPunct/>
        <w:topLinePunct w:val="0"/>
        <w:autoSpaceDE/>
        <w:autoSpaceDN/>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六、国家或行业主管部门对采购产品的技术标准、质量标准和资格资质条件等有强制性规定的，我方承诺符合其要求。</w:t>
      </w:r>
    </w:p>
    <w:p>
      <w:pPr>
        <w:pageBreakBefore w:val="0"/>
        <w:kinsoku/>
        <w:overflowPunct/>
        <w:topLinePunct w:val="0"/>
        <w:autoSpaceDE/>
        <w:autoSpaceDN/>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本公司对上述承诺的内容事项真实性负责。如经查实上述承诺的内容事项存在虚假，本单位愿意接受以提供虚假材料谋取成交追究法律责任。</w:t>
      </w:r>
      <w:r>
        <w:rPr>
          <w:rFonts w:hint="eastAsia" w:ascii="宋体" w:hAnsi="宋体" w:eastAsia="宋体" w:cs="宋体"/>
          <w:sz w:val="24"/>
          <w:szCs w:val="24"/>
        </w:rPr>
        <w:tab/>
      </w:r>
      <w:r>
        <w:rPr>
          <w:rFonts w:hint="eastAsia" w:ascii="宋体" w:hAnsi="宋体" w:eastAsia="宋体" w:cs="宋体"/>
          <w:sz w:val="24"/>
          <w:szCs w:val="24"/>
        </w:rPr>
        <w:tab/>
      </w:r>
    </w:p>
    <w:p>
      <w:pPr>
        <w:pageBreakBefore w:val="0"/>
        <w:kinsoku/>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rPr>
      </w:pPr>
      <w:r>
        <w:rPr>
          <w:rFonts w:hint="eastAsia" w:ascii="宋体" w:hAnsi="宋体" w:eastAsia="宋体" w:cs="宋体"/>
          <w:sz w:val="24"/>
          <w:szCs w:val="24"/>
        </w:rPr>
        <w:t>供应商名称：        （盖章）</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rPr>
      </w:pPr>
      <w:r>
        <w:rPr>
          <w:rFonts w:hint="eastAsia" w:ascii="宋体" w:hAnsi="宋体" w:eastAsia="宋体" w:cs="宋体"/>
          <w:sz w:val="24"/>
          <w:szCs w:val="24"/>
        </w:rPr>
        <w:t>法定代表人或授权代表（</w:t>
      </w:r>
      <w:r>
        <w:rPr>
          <w:rFonts w:hint="eastAsia" w:ascii="宋体" w:hAnsi="宋体" w:eastAsia="宋体" w:cs="宋体"/>
          <w:sz w:val="24"/>
          <w:szCs w:val="24"/>
          <w:u w:val="single"/>
        </w:rPr>
        <w:t>签字或盖章</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sz w:val="24"/>
          <w:szCs w:val="24"/>
        </w:rPr>
        <w:t>日 期：</w:t>
      </w:r>
    </w:p>
    <w:p>
      <w:pPr>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附件</w:t>
      </w:r>
      <w:r>
        <w:rPr>
          <w:rFonts w:hint="eastAsia" w:ascii="宋体" w:hAnsi="宋体" w:eastAsia="宋体" w:cs="宋体"/>
          <w:b/>
          <w:bCs/>
          <w:color w:val="auto"/>
          <w:sz w:val="24"/>
          <w:szCs w:val="24"/>
          <w:highlight w:val="none"/>
          <w:lang w:val="en-US" w:eastAsia="zh-CN"/>
        </w:rPr>
        <w:t xml:space="preserve">3                         </w:t>
      </w:r>
    </w:p>
    <w:p>
      <w:pPr>
        <w:keepNext w:val="0"/>
        <w:keepLines w:val="0"/>
        <w:pageBreakBefore w:val="0"/>
        <w:kinsoku/>
        <w:wordWrap/>
        <w:overflowPunct/>
        <w:topLinePunct w:val="0"/>
        <w:autoSpaceDE/>
        <w:autoSpaceDN/>
        <w:bidi w:val="0"/>
        <w:spacing w:beforeAutospacing="0" w:afterAutospacing="0" w:line="360" w:lineRule="auto"/>
        <w:jc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采购投标文件装订顺序</w:t>
      </w:r>
    </w:p>
    <w:p>
      <w:pPr>
        <w:pStyle w:val="8"/>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color w:val="auto"/>
          <w:sz w:val="24"/>
          <w:szCs w:val="24"/>
          <w:highlight w:val="none"/>
          <w:lang w:val="en-US" w:eastAsia="zh-CN"/>
        </w:rPr>
      </w:pPr>
    </w:p>
    <w:p>
      <w:pPr>
        <w:keepNext w:val="0"/>
        <w:keepLines w:val="0"/>
        <w:pageBreakBefore w:val="0"/>
        <w:numPr>
          <w:ilvl w:val="0"/>
          <w:numId w:val="4"/>
        </w:numPr>
        <w:kinsoku/>
        <w:wordWrap/>
        <w:overflowPunct/>
        <w:topLinePunct w:val="0"/>
        <w:autoSpaceDE/>
        <w:autoSpaceDN/>
        <w:bidi w:val="0"/>
        <w:spacing w:beforeAutospacing="0" w:afterAutospacing="0" w:line="360" w:lineRule="auto"/>
        <w:ind w:left="420" w:leftChars="0" w:hanging="420" w:firstLineChars="0"/>
        <w:jc w:val="both"/>
        <w:rPr>
          <w:rFonts w:hint="eastAsia" w:ascii="宋体" w:hAnsi="宋体" w:eastAsia="宋体" w:cs="宋体"/>
          <w:bCs/>
          <w:color w:val="auto"/>
          <w:spacing w:val="8"/>
          <w:sz w:val="24"/>
          <w:szCs w:val="24"/>
          <w:highlight w:val="none"/>
        </w:rPr>
      </w:pPr>
      <w:r>
        <w:rPr>
          <w:rFonts w:hint="eastAsia" w:ascii="宋体" w:hAnsi="宋体" w:eastAsia="宋体" w:cs="宋体"/>
          <w:bCs/>
          <w:color w:val="auto"/>
          <w:spacing w:val="8"/>
          <w:sz w:val="24"/>
          <w:szCs w:val="24"/>
          <w:highlight w:val="none"/>
        </w:rPr>
        <w:t>1</w:t>
      </w:r>
      <w:r>
        <w:rPr>
          <w:rFonts w:hint="eastAsia" w:ascii="宋体" w:hAnsi="宋体" w:eastAsia="宋体" w:cs="宋体"/>
          <w:bCs/>
          <w:color w:val="auto"/>
          <w:spacing w:val="8"/>
          <w:sz w:val="24"/>
          <w:szCs w:val="24"/>
          <w:highlight w:val="none"/>
          <w:lang w:val="en-US" w:eastAsia="zh-CN"/>
        </w:rPr>
        <w:t>.</w:t>
      </w:r>
      <w:r>
        <w:rPr>
          <w:rFonts w:hint="eastAsia" w:ascii="宋体" w:hAnsi="宋体" w:eastAsia="宋体" w:cs="宋体"/>
          <w:bCs/>
          <w:color w:val="auto"/>
          <w:spacing w:val="8"/>
          <w:sz w:val="24"/>
          <w:szCs w:val="24"/>
          <w:highlight w:val="none"/>
        </w:rPr>
        <w:t>封面（公司、项目、联系人、联系方式）</w:t>
      </w:r>
    </w:p>
    <w:p>
      <w:pPr>
        <w:keepNext w:val="0"/>
        <w:keepLines w:val="0"/>
        <w:pageBreakBefore w:val="0"/>
        <w:numPr>
          <w:ilvl w:val="0"/>
          <w:numId w:val="4"/>
        </w:numPr>
        <w:kinsoku/>
        <w:wordWrap/>
        <w:overflowPunct/>
        <w:topLinePunct w:val="0"/>
        <w:autoSpaceDE/>
        <w:autoSpaceDN/>
        <w:bidi w:val="0"/>
        <w:spacing w:beforeAutospacing="0" w:afterAutospacing="0" w:line="360" w:lineRule="auto"/>
        <w:ind w:left="420" w:leftChars="0" w:hanging="420" w:firstLineChars="0"/>
        <w:jc w:val="both"/>
        <w:rPr>
          <w:rFonts w:hint="eastAsia" w:ascii="宋体" w:hAnsi="宋体" w:eastAsia="宋体" w:cs="宋体"/>
          <w:bCs/>
          <w:color w:val="auto"/>
          <w:spacing w:val="8"/>
          <w:sz w:val="24"/>
          <w:szCs w:val="24"/>
          <w:highlight w:val="none"/>
        </w:rPr>
      </w:pPr>
      <w:r>
        <w:rPr>
          <w:rFonts w:hint="eastAsia" w:ascii="宋体" w:hAnsi="宋体" w:eastAsia="宋体" w:cs="宋体"/>
          <w:bCs/>
          <w:color w:val="auto"/>
          <w:spacing w:val="8"/>
          <w:sz w:val="24"/>
          <w:szCs w:val="24"/>
          <w:highlight w:val="none"/>
        </w:rPr>
        <w:t>2</w:t>
      </w:r>
      <w:r>
        <w:rPr>
          <w:rFonts w:hint="eastAsia" w:ascii="宋体" w:hAnsi="宋体" w:eastAsia="宋体" w:cs="宋体"/>
          <w:bCs/>
          <w:color w:val="auto"/>
          <w:spacing w:val="8"/>
          <w:sz w:val="24"/>
          <w:szCs w:val="24"/>
          <w:highlight w:val="none"/>
          <w:lang w:val="en-US" w:eastAsia="zh-CN"/>
        </w:rPr>
        <w:t>.</w:t>
      </w:r>
      <w:r>
        <w:rPr>
          <w:rFonts w:hint="eastAsia" w:ascii="宋体" w:hAnsi="宋体" w:eastAsia="宋体" w:cs="宋体"/>
          <w:bCs/>
          <w:color w:val="auto"/>
          <w:spacing w:val="8"/>
          <w:sz w:val="24"/>
          <w:szCs w:val="24"/>
          <w:highlight w:val="none"/>
        </w:rPr>
        <w:t>目录</w:t>
      </w:r>
    </w:p>
    <w:p>
      <w:pPr>
        <w:keepNext w:val="0"/>
        <w:keepLines w:val="0"/>
        <w:pageBreakBefore w:val="0"/>
        <w:numPr>
          <w:ilvl w:val="0"/>
          <w:numId w:val="4"/>
        </w:numPr>
        <w:kinsoku/>
        <w:wordWrap/>
        <w:overflowPunct/>
        <w:topLinePunct w:val="0"/>
        <w:autoSpaceDE/>
        <w:autoSpaceDN/>
        <w:bidi w:val="0"/>
        <w:adjustRightInd w:val="0"/>
        <w:spacing w:beforeAutospacing="0" w:afterAutospacing="0" w:line="360" w:lineRule="auto"/>
        <w:ind w:left="420" w:leftChars="0" w:hanging="420" w:firstLineChars="0"/>
        <w:jc w:val="both"/>
        <w:rPr>
          <w:rFonts w:hint="eastAsia" w:ascii="宋体" w:hAnsi="宋体" w:eastAsia="宋体" w:cs="宋体"/>
          <w:b/>
          <w:color w:val="auto"/>
          <w:sz w:val="24"/>
          <w:szCs w:val="24"/>
          <w:highlight w:val="none"/>
        </w:rPr>
      </w:pPr>
      <w:r>
        <w:rPr>
          <w:rFonts w:hint="eastAsia" w:ascii="宋体" w:hAnsi="宋体" w:eastAsia="宋体" w:cs="宋体"/>
          <w:bCs/>
          <w:color w:val="auto"/>
          <w:spacing w:val="8"/>
          <w:sz w:val="24"/>
          <w:szCs w:val="24"/>
          <w:highlight w:val="none"/>
        </w:rPr>
        <w:t>3</w:t>
      </w:r>
      <w:r>
        <w:rPr>
          <w:rFonts w:hint="eastAsia" w:ascii="宋体" w:hAnsi="宋体" w:eastAsia="宋体" w:cs="宋体"/>
          <w:bCs/>
          <w:color w:val="auto"/>
          <w:spacing w:val="8"/>
          <w:sz w:val="24"/>
          <w:szCs w:val="24"/>
          <w:highlight w:val="none"/>
          <w:lang w:val="en-US" w:eastAsia="zh-CN"/>
        </w:rPr>
        <w:t>.</w:t>
      </w:r>
      <w:r>
        <w:rPr>
          <w:rFonts w:hint="eastAsia" w:ascii="宋体" w:hAnsi="宋体" w:eastAsia="宋体" w:cs="宋体"/>
          <w:color w:val="auto"/>
          <w:sz w:val="24"/>
          <w:szCs w:val="24"/>
          <w:highlight w:val="none"/>
        </w:rPr>
        <w:t>报价一览表</w:t>
      </w:r>
    </w:p>
    <w:p>
      <w:pPr>
        <w:keepNext w:val="0"/>
        <w:keepLines w:val="0"/>
        <w:pageBreakBefore w:val="0"/>
        <w:numPr>
          <w:ilvl w:val="0"/>
          <w:numId w:val="4"/>
        </w:numPr>
        <w:kinsoku/>
        <w:wordWrap/>
        <w:overflowPunct/>
        <w:topLinePunct w:val="0"/>
        <w:autoSpaceDE/>
        <w:autoSpaceDN/>
        <w:bidi w:val="0"/>
        <w:adjustRightInd w:val="0"/>
        <w:spacing w:beforeAutospacing="0" w:afterAutospacing="0" w:line="360" w:lineRule="auto"/>
        <w:ind w:left="420" w:leftChars="0" w:hanging="420" w:firstLineChars="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企业营业执照（复印件）</w:t>
      </w:r>
    </w:p>
    <w:p>
      <w:pPr>
        <w:keepNext w:val="0"/>
        <w:keepLines w:val="0"/>
        <w:pageBreakBefore w:val="0"/>
        <w:numPr>
          <w:ilvl w:val="0"/>
          <w:numId w:val="4"/>
        </w:numPr>
        <w:kinsoku/>
        <w:wordWrap/>
        <w:overflowPunct/>
        <w:topLinePunct w:val="0"/>
        <w:autoSpaceDE/>
        <w:autoSpaceDN/>
        <w:bidi w:val="0"/>
        <w:spacing w:beforeAutospacing="0" w:afterAutospacing="0" w:line="360" w:lineRule="auto"/>
        <w:ind w:left="420" w:leftChars="0" w:hanging="420" w:firstLineChars="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供应商资质</w:t>
      </w:r>
    </w:p>
    <w:p>
      <w:pPr>
        <w:keepNext w:val="0"/>
        <w:keepLines w:val="0"/>
        <w:pageBreakBefore w:val="0"/>
        <w:numPr>
          <w:ilvl w:val="0"/>
          <w:numId w:val="4"/>
        </w:numPr>
        <w:kinsoku/>
        <w:wordWrap/>
        <w:overflowPunct/>
        <w:topLinePunct w:val="0"/>
        <w:autoSpaceDE/>
        <w:autoSpaceDN/>
        <w:bidi w:val="0"/>
        <w:spacing w:beforeAutospacing="0" w:afterAutospacing="0" w:line="360" w:lineRule="auto"/>
        <w:ind w:left="420" w:leftChars="0" w:hanging="420" w:firstLineChars="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val="en-US" w:eastAsia="zh-CN"/>
        </w:rPr>
        <w:t>.禁止围标、串标情况承诺函</w:t>
      </w:r>
    </w:p>
    <w:p>
      <w:pPr>
        <w:keepNext w:val="0"/>
        <w:keepLines w:val="0"/>
        <w:pageBreakBefore w:val="0"/>
        <w:numPr>
          <w:ilvl w:val="0"/>
          <w:numId w:val="4"/>
        </w:numPr>
        <w:kinsoku/>
        <w:wordWrap/>
        <w:overflowPunct/>
        <w:topLinePunct w:val="0"/>
        <w:autoSpaceDE/>
        <w:autoSpaceDN/>
        <w:bidi w:val="0"/>
        <w:spacing w:beforeAutospacing="0" w:afterAutospacing="0" w:line="360" w:lineRule="auto"/>
        <w:ind w:left="420" w:leftChars="0" w:hanging="420" w:firstLineChars="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bCs/>
          <w:color w:val="auto"/>
          <w:sz w:val="24"/>
          <w:szCs w:val="24"/>
          <w:highlight w:val="none"/>
        </w:rPr>
        <w:t>如有</w:t>
      </w:r>
      <w:r>
        <w:rPr>
          <w:rFonts w:hint="eastAsia" w:ascii="宋体" w:hAnsi="宋体" w:eastAsia="宋体" w:cs="宋体"/>
          <w:color w:val="auto"/>
          <w:sz w:val="24"/>
          <w:szCs w:val="24"/>
          <w:highlight w:val="none"/>
        </w:rPr>
        <w:t>企业管理体系认证（考核），请提供的有效证明文件的复印或扫描件，质量管理体系认证包括FDA、CE、ISO等认证（提供中文翻译复印件）</w:t>
      </w:r>
    </w:p>
    <w:p>
      <w:pPr>
        <w:keepNext w:val="0"/>
        <w:keepLines w:val="0"/>
        <w:pageBreakBefore w:val="0"/>
        <w:numPr>
          <w:ilvl w:val="0"/>
          <w:numId w:val="4"/>
        </w:numPr>
        <w:kinsoku/>
        <w:wordWrap/>
        <w:overflowPunct/>
        <w:topLinePunct w:val="0"/>
        <w:autoSpaceDE/>
        <w:autoSpaceDN/>
        <w:bidi w:val="0"/>
        <w:spacing w:beforeAutospacing="0" w:afterAutospacing="0" w:line="360" w:lineRule="auto"/>
        <w:ind w:left="420" w:leftChars="0" w:hanging="420" w:firstLineChars="0"/>
        <w:jc w:val="both"/>
        <w:rPr>
          <w:rFonts w:hint="eastAsia" w:ascii="宋体" w:hAnsi="宋体" w:eastAsia="宋体" w:cs="宋体"/>
          <w:color w:val="auto"/>
          <w:sz w:val="24"/>
          <w:szCs w:val="24"/>
          <w:highlight w:val="none"/>
          <w:lang w:eastAsia="zh-CN"/>
        </w:rPr>
      </w:pPr>
      <w:r>
        <w:rPr>
          <w:rFonts w:hint="eastAsia" w:ascii="宋体" w:hAnsi="宋体" w:eastAsia="宋体" w:cs="宋体"/>
          <w:bCs/>
          <w:color w:val="auto"/>
          <w:sz w:val="24"/>
          <w:szCs w:val="24"/>
          <w:highlight w:val="none"/>
          <w:lang w:val="en-US" w:eastAsia="zh-CN"/>
        </w:rPr>
        <w:t>8.行业相关</w:t>
      </w:r>
      <w:r>
        <w:rPr>
          <w:rFonts w:hint="eastAsia" w:ascii="宋体" w:hAnsi="宋体" w:eastAsia="宋体" w:cs="宋体"/>
          <w:color w:val="auto"/>
          <w:sz w:val="24"/>
          <w:szCs w:val="24"/>
          <w:highlight w:val="none"/>
        </w:rPr>
        <w:t>规范或标准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如有</w:t>
      </w:r>
      <w:r>
        <w:rPr>
          <w:rFonts w:hint="eastAsia" w:ascii="宋体" w:hAnsi="宋体" w:eastAsia="宋体" w:cs="宋体"/>
          <w:color w:val="auto"/>
          <w:sz w:val="24"/>
          <w:szCs w:val="24"/>
          <w:highlight w:val="none"/>
          <w:lang w:eastAsia="zh-CN"/>
        </w:rPr>
        <w:t>）</w:t>
      </w:r>
    </w:p>
    <w:p>
      <w:pPr>
        <w:keepNext w:val="0"/>
        <w:keepLines w:val="0"/>
        <w:pageBreakBefore w:val="0"/>
        <w:numPr>
          <w:ilvl w:val="0"/>
          <w:numId w:val="4"/>
        </w:numPr>
        <w:kinsoku/>
        <w:wordWrap/>
        <w:overflowPunct/>
        <w:topLinePunct w:val="0"/>
        <w:autoSpaceDE/>
        <w:autoSpaceDN/>
        <w:bidi w:val="0"/>
        <w:spacing w:beforeAutospacing="0" w:afterAutospacing="0" w:line="360" w:lineRule="auto"/>
        <w:ind w:left="420" w:leftChars="0" w:hanging="420" w:firstLineChars="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w:t>
      </w:r>
      <w:r>
        <w:rPr>
          <w:rFonts w:hint="eastAsia" w:ascii="宋体" w:hAnsi="宋体" w:eastAsia="宋体" w:cs="宋体"/>
          <w:bCs/>
          <w:color w:val="auto"/>
          <w:spacing w:val="8"/>
          <w:sz w:val="24"/>
          <w:szCs w:val="24"/>
          <w:highlight w:val="none"/>
        </w:rPr>
        <w:t>售后</w:t>
      </w:r>
      <w:r>
        <w:rPr>
          <w:rFonts w:hint="eastAsia" w:ascii="宋体" w:hAnsi="宋体" w:eastAsia="宋体" w:cs="宋体"/>
          <w:bCs/>
          <w:color w:val="auto"/>
          <w:sz w:val="24"/>
          <w:szCs w:val="24"/>
          <w:highlight w:val="none"/>
        </w:rPr>
        <w:t>服务承诺</w:t>
      </w:r>
    </w:p>
    <w:p>
      <w:pPr>
        <w:keepNext w:val="0"/>
        <w:keepLines w:val="0"/>
        <w:pageBreakBefore w:val="0"/>
        <w:numPr>
          <w:ilvl w:val="0"/>
          <w:numId w:val="4"/>
        </w:numPr>
        <w:kinsoku/>
        <w:wordWrap/>
        <w:overflowPunct/>
        <w:topLinePunct w:val="0"/>
        <w:autoSpaceDE/>
        <w:autoSpaceDN/>
        <w:bidi w:val="0"/>
        <w:spacing w:beforeAutospacing="0" w:afterAutospacing="0" w:line="360" w:lineRule="auto"/>
        <w:ind w:left="420" w:leftChars="0" w:hanging="420" w:firstLineChars="0"/>
        <w:jc w:val="both"/>
        <w:rPr>
          <w:rFonts w:hint="eastAsia" w:ascii="宋体" w:hAnsi="宋体" w:eastAsia="宋体" w:cs="宋体"/>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10.投标人认为需要提供的其它文件</w:t>
      </w:r>
    </w:p>
    <w:p>
      <w:pPr>
        <w:keepNext w:val="0"/>
        <w:keepLines w:val="0"/>
        <w:pageBreakBefore w:val="0"/>
        <w:numPr>
          <w:ilvl w:val="0"/>
          <w:numId w:val="4"/>
        </w:numPr>
        <w:tabs>
          <w:tab w:val="left" w:pos="0"/>
        </w:tabs>
        <w:kinsoku/>
        <w:wordWrap/>
        <w:overflowPunct/>
        <w:topLinePunct w:val="0"/>
        <w:autoSpaceDE/>
        <w:autoSpaceDN/>
        <w:bidi w:val="0"/>
        <w:spacing w:beforeAutospacing="0" w:afterAutospacing="0" w:line="360" w:lineRule="auto"/>
        <w:ind w:left="420" w:leftChars="0" w:hanging="420" w:firstLineChars="0"/>
        <w:jc w:val="both"/>
        <w:rPr>
          <w:rFonts w:hint="eastAsia" w:ascii="宋体" w:hAnsi="宋体" w:eastAsia="宋体" w:cs="宋体"/>
          <w:bCs/>
          <w:color w:val="auto"/>
          <w:sz w:val="24"/>
          <w:szCs w:val="24"/>
          <w:highlight w:val="none"/>
        </w:rPr>
      </w:pPr>
      <w:r>
        <w:rPr>
          <w:rFonts w:hint="eastAsia" w:ascii="宋体" w:hAnsi="宋体" w:eastAsia="宋体" w:cs="宋体"/>
          <w:bCs/>
          <w:color w:val="auto"/>
          <w:spacing w:val="8"/>
          <w:sz w:val="24"/>
          <w:szCs w:val="24"/>
          <w:highlight w:val="none"/>
        </w:rPr>
        <w:t>1</w:t>
      </w:r>
      <w:r>
        <w:rPr>
          <w:rFonts w:hint="eastAsia" w:ascii="宋体" w:hAnsi="宋体" w:eastAsia="宋体" w:cs="宋体"/>
          <w:bCs/>
          <w:color w:val="auto"/>
          <w:spacing w:val="8"/>
          <w:sz w:val="24"/>
          <w:szCs w:val="24"/>
          <w:highlight w:val="none"/>
          <w:lang w:val="en-US" w:eastAsia="zh-CN"/>
        </w:rPr>
        <w:t>1.</w:t>
      </w:r>
      <w:r>
        <w:rPr>
          <w:rFonts w:hint="eastAsia" w:ascii="宋体" w:hAnsi="宋体" w:eastAsia="宋体" w:cs="宋体"/>
          <w:bCs/>
          <w:color w:val="auto"/>
          <w:spacing w:val="8"/>
          <w:sz w:val="24"/>
          <w:szCs w:val="24"/>
          <w:highlight w:val="none"/>
        </w:rPr>
        <w:t>封底</w:t>
      </w:r>
    </w:p>
    <w:p>
      <w:pPr>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注：请务必按以上顺序装订资料，如有非中文资料，请同时提供中文翻译件。</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7" w:firstLineChars="202"/>
        <w:jc w:val="both"/>
        <w:textAlignment w:val="baseline"/>
        <w:rPr>
          <w:rFonts w:hint="eastAsia" w:ascii="宋体" w:hAnsi="宋体" w:eastAsia="宋体" w:cs="宋体"/>
          <w:b/>
          <w:bCs/>
          <w:i w:val="0"/>
          <w:caps w:val="0"/>
          <w:color w:val="auto"/>
          <w:spacing w:val="0"/>
          <w:w w:val="100"/>
          <w:sz w:val="24"/>
          <w:szCs w:val="24"/>
          <w:highlight w:val="none"/>
        </w:rPr>
      </w:pPr>
    </w:p>
    <w:p>
      <w:pPr>
        <w:keepNext w:val="0"/>
        <w:keepLines w:val="0"/>
        <w:pageBreakBefore w:val="0"/>
        <w:widowControl w:val="0"/>
        <w:tabs>
          <w:tab w:val="left" w:pos="6645"/>
        </w:tabs>
        <w:kinsoku/>
        <w:wordWrap/>
        <w:overflowPunct/>
        <w:topLinePunct w:val="0"/>
        <w:autoSpaceDE/>
        <w:autoSpaceDN/>
        <w:bidi w:val="0"/>
        <w:adjustRightInd/>
        <w:snapToGrid w:val="0"/>
        <w:spacing w:before="0" w:beforeAutospacing="0" w:after="0" w:afterAutospacing="0" w:line="360" w:lineRule="auto"/>
        <w:jc w:val="both"/>
        <w:textAlignment w:val="baseline"/>
        <w:rPr>
          <w:rFonts w:hint="eastAsia" w:ascii="宋体" w:hAnsi="宋体" w:eastAsia="宋体" w:cs="宋体"/>
          <w:b w:val="0"/>
          <w:i w:val="0"/>
          <w:caps w:val="0"/>
          <w:color w:val="auto"/>
          <w:spacing w:val="0"/>
          <w:w w:val="100"/>
          <w:sz w:val="24"/>
          <w:szCs w:val="24"/>
          <w:highlight w:val="none"/>
        </w:rPr>
      </w:pPr>
    </w:p>
    <w:p>
      <w:pPr>
        <w:keepNext w:val="0"/>
        <w:keepLines w:val="0"/>
        <w:pageBreakBefore w:val="0"/>
        <w:widowControl w:val="0"/>
        <w:tabs>
          <w:tab w:val="left" w:pos="6645"/>
        </w:tabs>
        <w:kinsoku/>
        <w:wordWrap/>
        <w:overflowPunct/>
        <w:topLinePunct w:val="0"/>
        <w:autoSpaceDE/>
        <w:autoSpaceDN/>
        <w:bidi w:val="0"/>
        <w:adjustRightInd/>
        <w:snapToGrid w:val="0"/>
        <w:spacing w:before="0" w:beforeAutospacing="0" w:after="0" w:afterAutospacing="0" w:line="360" w:lineRule="auto"/>
        <w:jc w:val="both"/>
        <w:textAlignment w:val="baseline"/>
        <w:rPr>
          <w:rFonts w:hint="eastAsia" w:ascii="宋体" w:hAnsi="宋体" w:eastAsia="宋体" w:cs="宋体"/>
          <w:b w:val="0"/>
          <w:i w:val="0"/>
          <w:caps w:val="0"/>
          <w:color w:val="auto"/>
          <w:spacing w:val="0"/>
          <w:w w:val="100"/>
          <w:sz w:val="24"/>
          <w:szCs w:val="24"/>
          <w:highlight w:val="none"/>
        </w:rPr>
      </w:pPr>
    </w:p>
    <w:p>
      <w:pPr>
        <w:keepNext w:val="0"/>
        <w:keepLines w:val="0"/>
        <w:pageBreakBefore w:val="0"/>
        <w:widowControl w:val="0"/>
        <w:tabs>
          <w:tab w:val="left" w:pos="6645"/>
        </w:tabs>
        <w:kinsoku/>
        <w:wordWrap/>
        <w:overflowPunct/>
        <w:topLinePunct w:val="0"/>
        <w:autoSpaceDE/>
        <w:autoSpaceDN/>
        <w:bidi w:val="0"/>
        <w:adjustRightInd/>
        <w:snapToGrid w:val="0"/>
        <w:spacing w:before="0" w:beforeAutospacing="0" w:after="0" w:afterAutospacing="0" w:line="360" w:lineRule="auto"/>
        <w:jc w:val="both"/>
        <w:textAlignment w:val="baseline"/>
        <w:rPr>
          <w:rFonts w:hint="eastAsia" w:ascii="宋体" w:hAnsi="宋体" w:eastAsia="宋体" w:cs="宋体"/>
          <w:b w:val="0"/>
          <w:i w:val="0"/>
          <w:caps w:val="0"/>
          <w:color w:val="auto"/>
          <w:spacing w:val="0"/>
          <w:w w:val="100"/>
          <w:sz w:val="24"/>
          <w:szCs w:val="24"/>
          <w:highlight w:val="none"/>
        </w:rPr>
      </w:pPr>
    </w:p>
    <w:p>
      <w:pPr>
        <w:keepNext w:val="0"/>
        <w:keepLines w:val="0"/>
        <w:pageBreakBefore w:val="0"/>
        <w:widowControl w:val="0"/>
        <w:tabs>
          <w:tab w:val="left" w:pos="6645"/>
        </w:tabs>
        <w:kinsoku/>
        <w:wordWrap/>
        <w:overflowPunct/>
        <w:topLinePunct w:val="0"/>
        <w:autoSpaceDE/>
        <w:autoSpaceDN/>
        <w:bidi w:val="0"/>
        <w:adjustRightInd/>
        <w:snapToGrid w:val="0"/>
        <w:spacing w:before="0" w:beforeAutospacing="0" w:after="0" w:afterAutospacing="0" w:line="360" w:lineRule="auto"/>
        <w:jc w:val="both"/>
        <w:textAlignment w:val="baseline"/>
        <w:rPr>
          <w:rFonts w:hint="eastAsia" w:ascii="宋体" w:hAnsi="宋体" w:eastAsia="宋体" w:cs="宋体"/>
          <w:b w:val="0"/>
          <w:i w:val="0"/>
          <w:caps w:val="0"/>
          <w:color w:val="auto"/>
          <w:spacing w:val="0"/>
          <w:w w:val="100"/>
          <w:sz w:val="24"/>
          <w:szCs w:val="24"/>
          <w:highlight w:val="none"/>
        </w:rPr>
      </w:pPr>
    </w:p>
    <w:p>
      <w:pPr>
        <w:keepNext w:val="0"/>
        <w:keepLines w:val="0"/>
        <w:pageBreakBefore w:val="0"/>
        <w:widowControl w:val="0"/>
        <w:tabs>
          <w:tab w:val="left" w:pos="6645"/>
        </w:tabs>
        <w:kinsoku/>
        <w:wordWrap/>
        <w:overflowPunct/>
        <w:topLinePunct w:val="0"/>
        <w:autoSpaceDE/>
        <w:autoSpaceDN/>
        <w:bidi w:val="0"/>
        <w:adjustRightInd/>
        <w:snapToGrid w:val="0"/>
        <w:spacing w:before="0" w:beforeAutospacing="0" w:after="0" w:afterAutospacing="0" w:line="360" w:lineRule="auto"/>
        <w:jc w:val="both"/>
        <w:textAlignment w:val="baseline"/>
        <w:rPr>
          <w:rFonts w:hint="eastAsia" w:ascii="宋体" w:hAnsi="宋体" w:eastAsia="宋体" w:cs="宋体"/>
          <w:b w:val="0"/>
          <w:i w:val="0"/>
          <w:caps w:val="0"/>
          <w:color w:val="auto"/>
          <w:spacing w:val="0"/>
          <w:w w:val="100"/>
          <w:sz w:val="24"/>
          <w:szCs w:val="24"/>
          <w:highlight w:val="none"/>
        </w:rPr>
      </w:pPr>
    </w:p>
    <w:p>
      <w:pPr>
        <w:keepNext w:val="0"/>
        <w:keepLines w:val="0"/>
        <w:pageBreakBefore w:val="0"/>
        <w:widowControl w:val="0"/>
        <w:tabs>
          <w:tab w:val="left" w:pos="6645"/>
        </w:tabs>
        <w:kinsoku/>
        <w:wordWrap/>
        <w:overflowPunct/>
        <w:topLinePunct w:val="0"/>
        <w:autoSpaceDE/>
        <w:autoSpaceDN/>
        <w:bidi w:val="0"/>
        <w:adjustRightInd/>
        <w:snapToGrid w:val="0"/>
        <w:spacing w:before="0" w:beforeAutospacing="0" w:after="0" w:afterAutospacing="0" w:line="360" w:lineRule="auto"/>
        <w:jc w:val="both"/>
        <w:textAlignment w:val="baseline"/>
        <w:rPr>
          <w:rFonts w:hint="eastAsia" w:ascii="宋体" w:hAnsi="宋体" w:eastAsia="宋体" w:cs="宋体"/>
          <w:b w:val="0"/>
          <w:i w:val="0"/>
          <w:caps w:val="0"/>
          <w:color w:val="auto"/>
          <w:spacing w:val="0"/>
          <w:w w:val="100"/>
          <w:sz w:val="24"/>
          <w:szCs w:val="24"/>
          <w:highlight w:val="none"/>
        </w:rPr>
      </w:pPr>
    </w:p>
    <w:p>
      <w:pPr>
        <w:pStyle w:val="12"/>
        <w:keepNext w:val="0"/>
        <w:keepLines w:val="0"/>
        <w:pageBreakBefore w:val="0"/>
        <w:kinsoku/>
        <w:wordWrap/>
        <w:overflowPunct/>
        <w:topLinePunct w:val="0"/>
        <w:autoSpaceDE/>
        <w:autoSpaceDN/>
        <w:bidi w:val="0"/>
        <w:spacing w:line="360" w:lineRule="auto"/>
        <w:rPr>
          <w:rFonts w:hint="eastAsia" w:ascii="宋体" w:hAnsi="宋体" w:eastAsia="宋体" w:cs="宋体"/>
          <w:b w:val="0"/>
          <w:i w:val="0"/>
          <w:caps w:val="0"/>
          <w:color w:val="auto"/>
          <w:spacing w:val="0"/>
          <w:w w:val="100"/>
          <w:sz w:val="24"/>
          <w:szCs w:val="24"/>
          <w:highlight w:val="none"/>
        </w:rPr>
      </w:pPr>
    </w:p>
    <w:p>
      <w:pPr>
        <w:keepNext w:val="0"/>
        <w:keepLines w:val="0"/>
        <w:pageBreakBefore w:val="0"/>
        <w:kinsoku/>
        <w:wordWrap/>
        <w:overflowPunct/>
        <w:topLinePunct w:val="0"/>
        <w:autoSpaceDE/>
        <w:autoSpaceDN/>
        <w:bidi w:val="0"/>
        <w:spacing w:line="360" w:lineRule="auto"/>
        <w:rPr>
          <w:rFonts w:hint="eastAsia" w:ascii="宋体" w:hAnsi="宋体" w:eastAsia="宋体" w:cs="宋体"/>
          <w:b w:val="0"/>
          <w:i w:val="0"/>
          <w:caps w:val="0"/>
          <w:color w:val="auto"/>
          <w:spacing w:val="0"/>
          <w:w w:val="100"/>
          <w:sz w:val="24"/>
          <w:szCs w:val="24"/>
          <w:highlight w:val="none"/>
        </w:rPr>
      </w:pPr>
    </w:p>
    <w:p>
      <w:pPr>
        <w:pStyle w:val="12"/>
        <w:keepNext w:val="0"/>
        <w:keepLines w:val="0"/>
        <w:pageBreakBefore w:val="0"/>
        <w:kinsoku/>
        <w:wordWrap/>
        <w:overflowPunct/>
        <w:topLinePunct w:val="0"/>
        <w:autoSpaceDE/>
        <w:autoSpaceDN/>
        <w:bidi w:val="0"/>
        <w:spacing w:line="360" w:lineRule="auto"/>
        <w:rPr>
          <w:rFonts w:hint="eastAsia" w:ascii="宋体" w:hAnsi="宋体" w:eastAsia="宋体" w:cs="宋体"/>
          <w:b w:val="0"/>
          <w:i w:val="0"/>
          <w:caps w:val="0"/>
          <w:color w:val="auto"/>
          <w:spacing w:val="0"/>
          <w:w w:val="100"/>
          <w:sz w:val="24"/>
          <w:szCs w:val="24"/>
          <w:highlight w:val="none"/>
        </w:rPr>
      </w:pPr>
    </w:p>
    <w:p>
      <w:pPr>
        <w:keepNext w:val="0"/>
        <w:keepLines w:val="0"/>
        <w:pageBreakBefore w:val="0"/>
        <w:kinsoku/>
        <w:wordWrap/>
        <w:overflowPunct/>
        <w:topLinePunct w:val="0"/>
        <w:autoSpaceDE/>
        <w:autoSpaceDN/>
        <w:bidi w:val="0"/>
        <w:spacing w:line="360" w:lineRule="auto"/>
        <w:rPr>
          <w:rFonts w:hint="eastAsia" w:ascii="宋体" w:hAnsi="宋体" w:eastAsia="宋体" w:cs="宋体"/>
          <w:b w:val="0"/>
          <w:i w:val="0"/>
          <w:caps w:val="0"/>
          <w:color w:val="auto"/>
          <w:spacing w:val="0"/>
          <w:w w:val="100"/>
          <w:sz w:val="24"/>
          <w:szCs w:val="24"/>
          <w:highlight w:val="none"/>
        </w:rPr>
      </w:pPr>
    </w:p>
    <w:p>
      <w:pPr>
        <w:pStyle w:val="12"/>
        <w:keepNext w:val="0"/>
        <w:keepLines w:val="0"/>
        <w:pageBreakBefore w:val="0"/>
        <w:kinsoku/>
        <w:wordWrap/>
        <w:overflowPunct/>
        <w:topLinePunct w:val="0"/>
        <w:autoSpaceDE/>
        <w:autoSpaceDN/>
        <w:bidi w:val="0"/>
        <w:spacing w:line="360" w:lineRule="auto"/>
        <w:rPr>
          <w:rFonts w:hint="eastAsia" w:ascii="宋体" w:hAnsi="宋体" w:eastAsia="宋体" w:cs="宋体"/>
          <w:b w:val="0"/>
          <w:i w:val="0"/>
          <w:caps w:val="0"/>
          <w:color w:val="auto"/>
          <w:spacing w:val="0"/>
          <w:w w:val="100"/>
          <w:sz w:val="24"/>
          <w:szCs w:val="24"/>
          <w:highlight w:val="none"/>
        </w:rPr>
      </w:pPr>
    </w:p>
    <w:p>
      <w:pPr>
        <w:keepNext w:val="0"/>
        <w:keepLines w:val="0"/>
        <w:pageBreakBefore w:val="0"/>
        <w:kinsoku/>
        <w:wordWrap/>
        <w:overflowPunct/>
        <w:topLinePunct w:val="0"/>
        <w:autoSpaceDE/>
        <w:autoSpaceDN/>
        <w:bidi w:val="0"/>
        <w:spacing w:line="360" w:lineRule="auto"/>
        <w:rPr>
          <w:rFonts w:hint="eastAsia" w:ascii="宋体" w:hAnsi="宋体" w:eastAsia="宋体" w:cs="宋体"/>
          <w:b w:val="0"/>
          <w:i w:val="0"/>
          <w:caps w:val="0"/>
          <w:color w:val="auto"/>
          <w:spacing w:val="0"/>
          <w:w w:val="100"/>
          <w:sz w:val="24"/>
          <w:szCs w:val="24"/>
          <w:highlight w:val="none"/>
        </w:rPr>
      </w:pPr>
    </w:p>
    <w:p>
      <w:pPr>
        <w:keepNext w:val="0"/>
        <w:keepLines w:val="0"/>
        <w:pageBreakBefore w:val="0"/>
        <w:widowControl w:val="0"/>
        <w:tabs>
          <w:tab w:val="left" w:pos="6645"/>
        </w:tabs>
        <w:kinsoku/>
        <w:wordWrap/>
        <w:overflowPunct/>
        <w:topLinePunct w:val="0"/>
        <w:autoSpaceDE/>
        <w:autoSpaceDN/>
        <w:bidi w:val="0"/>
        <w:adjustRightInd/>
        <w:snapToGrid w:val="0"/>
        <w:spacing w:before="0" w:beforeAutospacing="0" w:after="0" w:afterAutospacing="0" w:line="360" w:lineRule="auto"/>
        <w:jc w:val="both"/>
        <w:textAlignment w:val="baseline"/>
        <w:rPr>
          <w:rFonts w:hint="eastAsia" w:ascii="宋体" w:hAnsi="宋体" w:eastAsia="宋体" w:cs="宋体"/>
          <w:b/>
          <w:bCs/>
          <w:i w:val="0"/>
          <w:caps w:val="0"/>
          <w:color w:val="auto"/>
          <w:spacing w:val="0"/>
          <w:w w:val="100"/>
          <w:sz w:val="24"/>
          <w:szCs w:val="24"/>
          <w:highlight w:val="none"/>
        </w:rPr>
      </w:pPr>
    </w:p>
    <w:p>
      <w:pPr>
        <w:keepNext w:val="0"/>
        <w:keepLines w:val="0"/>
        <w:pageBreakBefore w:val="0"/>
        <w:widowControl w:val="0"/>
        <w:tabs>
          <w:tab w:val="left" w:pos="6645"/>
        </w:tabs>
        <w:kinsoku/>
        <w:wordWrap/>
        <w:overflowPunct/>
        <w:topLinePunct w:val="0"/>
        <w:autoSpaceDE/>
        <w:autoSpaceDN/>
        <w:bidi w:val="0"/>
        <w:adjustRightInd/>
        <w:snapToGrid w:val="0"/>
        <w:spacing w:before="0" w:beforeAutospacing="0" w:after="0" w:afterAutospacing="0" w:line="360" w:lineRule="auto"/>
        <w:jc w:val="both"/>
        <w:textAlignment w:val="baseline"/>
        <w:rPr>
          <w:rFonts w:hint="eastAsia" w:ascii="宋体" w:hAnsi="宋体" w:eastAsia="宋体" w:cs="宋体"/>
          <w:b/>
          <w:bCs/>
          <w:i w:val="0"/>
          <w:caps w:val="0"/>
          <w:color w:val="auto"/>
          <w:spacing w:val="0"/>
          <w:w w:val="100"/>
          <w:sz w:val="24"/>
          <w:szCs w:val="24"/>
          <w:highlight w:val="none"/>
        </w:rPr>
      </w:pPr>
      <w:r>
        <w:rPr>
          <w:rFonts w:hint="eastAsia" w:ascii="宋体" w:hAnsi="宋体" w:eastAsia="宋体" w:cs="宋体"/>
          <w:b/>
          <w:bCs/>
          <w:i w:val="0"/>
          <w:caps w:val="0"/>
          <w:color w:val="auto"/>
          <w:spacing w:val="0"/>
          <w:w w:val="100"/>
          <w:sz w:val="24"/>
          <w:szCs w:val="24"/>
          <w:highlight w:val="none"/>
        </w:rPr>
        <w:t>附件4</w:t>
      </w:r>
    </w:p>
    <w:p>
      <w:pPr>
        <w:keepNext w:val="0"/>
        <w:keepLines w:val="0"/>
        <w:pageBreakBefore w:val="0"/>
        <w:widowControl w:val="0"/>
        <w:tabs>
          <w:tab w:val="left" w:pos="6645"/>
        </w:tabs>
        <w:kinsoku/>
        <w:wordWrap/>
        <w:overflowPunct/>
        <w:topLinePunct w:val="0"/>
        <w:autoSpaceDE/>
        <w:autoSpaceDN/>
        <w:bidi w:val="0"/>
        <w:adjustRightInd/>
        <w:snapToGrid w:val="0"/>
        <w:spacing w:before="0" w:beforeAutospacing="0" w:after="0" w:afterAutospacing="0" w:line="360" w:lineRule="auto"/>
        <w:jc w:val="center"/>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反商业贿赂承诺书</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为维护卫生行业的整体形象，保证药品、医疗器械、仪器设备、物资、基建工程招投标工作以及药品、试剂销售等工作的合法开展，维护贵院医疗、管理工作的正常秩序，保障广大患者的健康和利益，本厂家、商家、公司特郑重承诺如下：</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一、严格按照《招标投标法》、《药品管理法》、《反不正当竞争法》等有关法律、法规、规章、政策的规定，规范本厂家、商家、公司的药品、医疗器械、设备、物资、基建工程竞标工作以及药品准入贵院以后的销售等工作，保证做到合法竞标、正当竞争、廉洁经营。</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二、本厂家、商家、公司保证在药品、医疗器械、设备、物资、基建工程竞标工作及药品、试剂销售等工作中承诺做到：</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1</w:t>
      </w:r>
      <w:r>
        <w:rPr>
          <w:rFonts w:hint="eastAsia" w:ascii="宋体" w:hAnsi="宋体" w:eastAsia="宋体" w:cs="宋体"/>
          <w:b w:val="0"/>
          <w:i w:val="0"/>
          <w:caps w:val="0"/>
          <w:color w:val="auto"/>
          <w:spacing w:val="0"/>
          <w:w w:val="100"/>
          <w:sz w:val="24"/>
          <w:szCs w:val="24"/>
          <w:highlight w:val="none"/>
          <w:lang w:val="en-US" w:eastAsia="zh-CN"/>
        </w:rPr>
        <w:t>.</w:t>
      </w:r>
      <w:r>
        <w:rPr>
          <w:rFonts w:hint="eastAsia" w:ascii="宋体" w:hAnsi="宋体" w:eastAsia="宋体" w:cs="宋体"/>
          <w:b w:val="0"/>
          <w:i w:val="0"/>
          <w:caps w:val="0"/>
          <w:color w:val="auto"/>
          <w:spacing w:val="0"/>
          <w:w w:val="100"/>
          <w:sz w:val="24"/>
          <w:szCs w:val="24"/>
          <w:highlight w:val="none"/>
        </w:rPr>
        <w:t>不与其他投标人相互串通投标报价，损害贵院的合法权益；</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2</w:t>
      </w:r>
      <w:r>
        <w:rPr>
          <w:rFonts w:hint="eastAsia" w:ascii="宋体" w:hAnsi="宋体" w:eastAsia="宋体" w:cs="宋体"/>
          <w:b w:val="0"/>
          <w:i w:val="0"/>
          <w:caps w:val="0"/>
          <w:color w:val="auto"/>
          <w:spacing w:val="0"/>
          <w:w w:val="100"/>
          <w:sz w:val="24"/>
          <w:szCs w:val="24"/>
          <w:highlight w:val="none"/>
          <w:lang w:val="en-US" w:eastAsia="zh-CN"/>
        </w:rPr>
        <w:t>.</w:t>
      </w:r>
      <w:r>
        <w:rPr>
          <w:rFonts w:hint="eastAsia" w:ascii="宋体" w:hAnsi="宋体" w:eastAsia="宋体" w:cs="宋体"/>
          <w:b w:val="0"/>
          <w:i w:val="0"/>
          <w:caps w:val="0"/>
          <w:color w:val="auto"/>
          <w:spacing w:val="0"/>
          <w:w w:val="100"/>
          <w:sz w:val="24"/>
          <w:szCs w:val="24"/>
          <w:highlight w:val="none"/>
        </w:rPr>
        <w:t>不与招标人串通投标，损害国家利益、社会公共利益或他人的合法权益；</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3</w:t>
      </w:r>
      <w:r>
        <w:rPr>
          <w:rFonts w:hint="eastAsia" w:ascii="宋体" w:hAnsi="宋体" w:eastAsia="宋体" w:cs="宋体"/>
          <w:b w:val="0"/>
          <w:i w:val="0"/>
          <w:caps w:val="0"/>
          <w:color w:val="auto"/>
          <w:spacing w:val="0"/>
          <w:w w:val="100"/>
          <w:sz w:val="24"/>
          <w:szCs w:val="24"/>
          <w:highlight w:val="none"/>
          <w:lang w:val="en-US" w:eastAsia="zh-CN"/>
        </w:rPr>
        <w:t>.</w:t>
      </w:r>
      <w:r>
        <w:rPr>
          <w:rFonts w:hint="eastAsia" w:ascii="宋体" w:hAnsi="宋体" w:eastAsia="宋体" w:cs="宋体"/>
          <w:b w:val="0"/>
          <w:i w:val="0"/>
          <w:caps w:val="0"/>
          <w:color w:val="auto"/>
          <w:spacing w:val="0"/>
          <w:w w:val="100"/>
          <w:sz w:val="24"/>
          <w:szCs w:val="24"/>
          <w:highlight w:val="none"/>
        </w:rPr>
        <w:t>不以向招标人或者评标委员会成员行贿的手段谋取中标；</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4</w:t>
      </w:r>
      <w:r>
        <w:rPr>
          <w:rFonts w:hint="eastAsia" w:ascii="宋体" w:hAnsi="宋体" w:eastAsia="宋体" w:cs="宋体"/>
          <w:b w:val="0"/>
          <w:i w:val="0"/>
          <w:caps w:val="0"/>
          <w:color w:val="auto"/>
          <w:spacing w:val="0"/>
          <w:w w:val="100"/>
          <w:sz w:val="24"/>
          <w:szCs w:val="24"/>
          <w:highlight w:val="none"/>
          <w:lang w:val="en-US" w:eastAsia="zh-CN"/>
        </w:rPr>
        <w:t>.</w:t>
      </w:r>
      <w:r>
        <w:rPr>
          <w:rFonts w:hint="eastAsia" w:ascii="宋体" w:hAnsi="宋体" w:eastAsia="宋体" w:cs="宋体"/>
          <w:b w:val="0"/>
          <w:i w:val="0"/>
          <w:caps w:val="0"/>
          <w:color w:val="auto"/>
          <w:spacing w:val="0"/>
          <w:w w:val="100"/>
          <w:sz w:val="24"/>
          <w:szCs w:val="24"/>
          <w:highlight w:val="none"/>
        </w:rPr>
        <w:t>竞标报价不违反相关法律的规定，也不以他人名义投标或者以其他方式弄虚作假，骗取中标；</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5</w:t>
      </w:r>
      <w:r>
        <w:rPr>
          <w:rFonts w:hint="eastAsia" w:ascii="宋体" w:hAnsi="宋体" w:eastAsia="宋体" w:cs="宋体"/>
          <w:b w:val="0"/>
          <w:i w:val="0"/>
          <w:caps w:val="0"/>
          <w:color w:val="auto"/>
          <w:spacing w:val="0"/>
          <w:w w:val="100"/>
          <w:sz w:val="24"/>
          <w:szCs w:val="24"/>
          <w:highlight w:val="none"/>
          <w:lang w:val="en-US" w:eastAsia="zh-CN"/>
        </w:rPr>
        <w:t>.</w:t>
      </w:r>
      <w:r>
        <w:rPr>
          <w:rFonts w:hint="eastAsia" w:ascii="宋体" w:hAnsi="宋体" w:eastAsia="宋体" w:cs="宋体"/>
          <w:b w:val="0"/>
          <w:i w:val="0"/>
          <w:caps w:val="0"/>
          <w:color w:val="auto"/>
          <w:spacing w:val="0"/>
          <w:w w:val="100"/>
          <w:sz w:val="24"/>
          <w:szCs w:val="24"/>
          <w:highlight w:val="none"/>
        </w:rPr>
        <w:t>保证不以其他任何方式扰乱贵院的招标工作；</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6</w:t>
      </w:r>
      <w:r>
        <w:rPr>
          <w:rFonts w:hint="eastAsia" w:ascii="宋体" w:hAnsi="宋体" w:eastAsia="宋体" w:cs="宋体"/>
          <w:b w:val="0"/>
          <w:i w:val="0"/>
          <w:caps w:val="0"/>
          <w:color w:val="auto"/>
          <w:spacing w:val="0"/>
          <w:w w:val="100"/>
          <w:sz w:val="24"/>
          <w:szCs w:val="24"/>
          <w:highlight w:val="none"/>
          <w:lang w:val="en-US" w:eastAsia="zh-CN"/>
        </w:rPr>
        <w:t>.</w:t>
      </w:r>
      <w:r>
        <w:rPr>
          <w:rFonts w:hint="eastAsia" w:ascii="宋体" w:hAnsi="宋体" w:eastAsia="宋体" w:cs="宋体"/>
          <w:b w:val="0"/>
          <w:i w:val="0"/>
          <w:caps w:val="0"/>
          <w:color w:val="auto"/>
          <w:spacing w:val="0"/>
          <w:w w:val="100"/>
          <w:sz w:val="24"/>
          <w:szCs w:val="24"/>
          <w:highlight w:val="none"/>
        </w:rPr>
        <w:t>保证不在药品销售、医疗器械、设备、物资、基建工程竞标中采取账外暗中给予回扣的手段腐蚀、贿赂医护、药剂人员、干部等其他相关人员；</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7</w:t>
      </w:r>
      <w:r>
        <w:rPr>
          <w:rFonts w:hint="eastAsia" w:ascii="宋体" w:hAnsi="宋体" w:eastAsia="宋体" w:cs="宋体"/>
          <w:b w:val="0"/>
          <w:i w:val="0"/>
          <w:caps w:val="0"/>
          <w:color w:val="auto"/>
          <w:spacing w:val="0"/>
          <w:w w:val="100"/>
          <w:sz w:val="24"/>
          <w:szCs w:val="24"/>
          <w:highlight w:val="none"/>
          <w:lang w:val="en-US" w:eastAsia="zh-CN"/>
        </w:rPr>
        <w:t>.</w:t>
      </w:r>
      <w:r>
        <w:rPr>
          <w:rFonts w:hint="eastAsia" w:ascii="宋体" w:hAnsi="宋体" w:eastAsia="宋体" w:cs="宋体"/>
          <w:b w:val="0"/>
          <w:i w:val="0"/>
          <w:caps w:val="0"/>
          <w:color w:val="auto"/>
          <w:spacing w:val="0"/>
          <w:w w:val="100"/>
          <w:sz w:val="24"/>
          <w:szCs w:val="24"/>
          <w:highlight w:val="none"/>
        </w:rPr>
        <w:t>保证不以任何名义包括以宣传费、临床促销费、开单费、处方费、广告费、免费度假、考察旅游、房屋装修等任何名义给予贵院采购人员、药剂人员、医护人员、干部等有关人员以财物或者其他利益；</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8</w:t>
      </w:r>
      <w:r>
        <w:rPr>
          <w:rFonts w:hint="eastAsia" w:ascii="宋体" w:hAnsi="宋体" w:eastAsia="宋体" w:cs="宋体"/>
          <w:b w:val="0"/>
          <w:i w:val="0"/>
          <w:caps w:val="0"/>
          <w:color w:val="auto"/>
          <w:spacing w:val="0"/>
          <w:w w:val="100"/>
          <w:sz w:val="24"/>
          <w:szCs w:val="24"/>
          <w:highlight w:val="none"/>
          <w:lang w:val="en-US" w:eastAsia="zh-CN"/>
        </w:rPr>
        <w:t>.</w:t>
      </w:r>
      <w:r>
        <w:rPr>
          <w:rFonts w:hint="eastAsia" w:ascii="宋体" w:hAnsi="宋体" w:eastAsia="宋体" w:cs="宋体"/>
          <w:b w:val="0"/>
          <w:i w:val="0"/>
          <w:caps w:val="0"/>
          <w:color w:val="auto"/>
          <w:spacing w:val="0"/>
          <w:w w:val="100"/>
          <w:sz w:val="24"/>
          <w:szCs w:val="24"/>
          <w:highlight w:val="none"/>
        </w:rPr>
        <w:t>保证不让贵院临床科室、药剂部门以及有关人员登记、统计医生处方或为此提供方便，干扰贵院的正常工作秩序；</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9</w:t>
      </w:r>
      <w:r>
        <w:rPr>
          <w:rFonts w:hint="eastAsia" w:ascii="宋体" w:hAnsi="宋体" w:eastAsia="宋体" w:cs="宋体"/>
          <w:b w:val="0"/>
          <w:i w:val="0"/>
          <w:caps w:val="0"/>
          <w:color w:val="auto"/>
          <w:spacing w:val="0"/>
          <w:w w:val="100"/>
          <w:sz w:val="24"/>
          <w:szCs w:val="24"/>
          <w:highlight w:val="none"/>
          <w:lang w:val="en-US" w:eastAsia="zh-CN"/>
        </w:rPr>
        <w:t>.</w:t>
      </w:r>
      <w:r>
        <w:rPr>
          <w:rFonts w:hint="eastAsia" w:ascii="宋体" w:hAnsi="宋体" w:eastAsia="宋体" w:cs="宋体"/>
          <w:b w:val="0"/>
          <w:i w:val="0"/>
          <w:caps w:val="0"/>
          <w:color w:val="auto"/>
          <w:spacing w:val="0"/>
          <w:w w:val="100"/>
          <w:sz w:val="24"/>
          <w:szCs w:val="24"/>
          <w:highlight w:val="none"/>
        </w:rPr>
        <w:t>保证不以其他任何不正当竞争手段推销药品、医疗器械、设备、物资。</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三、 本厂家、商家、公司保证竭力维护贵院的声誉，不做任何有损贵院形象的事情。</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四、 本厂家、商家、公司保证加强对竞标、促销等工作的领导、监督和检查；加强对本厂家、商家、公司工作人员进行相关法律、法规、规章、政策等的教育工作，切实要求本厂家、商家、公司相关工作人员不得采取各类回扣手段腐蚀、贿赂采购、药剂、医护、干部等相关人员。</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五、 对本厂家、商家、公司及本厂家、商家、公司工作人员采取以上手段竞标、促销等，干扰贵院正常工作秩序，损害贵院形象的，本厂家、商家、公司保证：</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1</w:t>
      </w:r>
      <w:r>
        <w:rPr>
          <w:rFonts w:hint="eastAsia" w:ascii="宋体" w:hAnsi="宋体" w:eastAsia="宋体" w:cs="宋体"/>
          <w:b w:val="0"/>
          <w:i w:val="0"/>
          <w:caps w:val="0"/>
          <w:color w:val="auto"/>
          <w:spacing w:val="0"/>
          <w:w w:val="100"/>
          <w:sz w:val="24"/>
          <w:szCs w:val="24"/>
          <w:highlight w:val="none"/>
          <w:lang w:val="en-US" w:eastAsia="zh-CN"/>
        </w:rPr>
        <w:t>.</w:t>
      </w:r>
      <w:r>
        <w:rPr>
          <w:rFonts w:hint="eastAsia" w:ascii="宋体" w:hAnsi="宋体" w:eastAsia="宋体" w:cs="宋体"/>
          <w:b w:val="0"/>
          <w:i w:val="0"/>
          <w:caps w:val="0"/>
          <w:color w:val="auto"/>
          <w:spacing w:val="0"/>
          <w:w w:val="100"/>
          <w:sz w:val="24"/>
          <w:szCs w:val="24"/>
          <w:highlight w:val="none"/>
        </w:rPr>
        <w:t>对尚处在竞标阶段的，贵院有权取消本厂家、商家、公司的竞标资格；已经中标的，贵院有权取消中标；对已经获得准入资格的，贵院有权随时取消本厂家、商家、公司的准入资格；</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2</w:t>
      </w:r>
      <w:r>
        <w:rPr>
          <w:rFonts w:hint="eastAsia" w:ascii="宋体" w:hAnsi="宋体" w:eastAsia="宋体" w:cs="宋体"/>
          <w:b w:val="0"/>
          <w:i w:val="0"/>
          <w:caps w:val="0"/>
          <w:color w:val="auto"/>
          <w:spacing w:val="0"/>
          <w:w w:val="100"/>
          <w:sz w:val="24"/>
          <w:szCs w:val="24"/>
          <w:highlight w:val="none"/>
          <w:lang w:val="en-US" w:eastAsia="zh-CN"/>
        </w:rPr>
        <w:t>.</w:t>
      </w:r>
      <w:r>
        <w:rPr>
          <w:rFonts w:hint="eastAsia" w:ascii="宋体" w:hAnsi="宋体" w:eastAsia="宋体" w:cs="宋体"/>
          <w:b w:val="0"/>
          <w:i w:val="0"/>
          <w:caps w:val="0"/>
          <w:color w:val="auto"/>
          <w:spacing w:val="0"/>
          <w:w w:val="100"/>
          <w:sz w:val="24"/>
          <w:szCs w:val="24"/>
          <w:highlight w:val="none"/>
        </w:rPr>
        <w:t>对本厂家、商家、公司相关工作人员作出严肃处理；</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3</w:t>
      </w:r>
      <w:r>
        <w:rPr>
          <w:rFonts w:hint="eastAsia" w:ascii="宋体" w:hAnsi="宋体" w:eastAsia="宋体" w:cs="宋体"/>
          <w:b w:val="0"/>
          <w:i w:val="0"/>
          <w:caps w:val="0"/>
          <w:color w:val="auto"/>
          <w:spacing w:val="0"/>
          <w:w w:val="100"/>
          <w:sz w:val="24"/>
          <w:szCs w:val="24"/>
          <w:highlight w:val="none"/>
          <w:lang w:val="en-US" w:eastAsia="zh-CN"/>
        </w:rPr>
        <w:t>.</w:t>
      </w:r>
      <w:r>
        <w:rPr>
          <w:rFonts w:hint="eastAsia" w:ascii="宋体" w:hAnsi="宋体" w:eastAsia="宋体" w:cs="宋体"/>
          <w:b w:val="0"/>
          <w:i w:val="0"/>
          <w:caps w:val="0"/>
          <w:color w:val="auto"/>
          <w:spacing w:val="0"/>
          <w:w w:val="100"/>
          <w:sz w:val="24"/>
          <w:szCs w:val="24"/>
          <w:highlight w:val="none"/>
        </w:rPr>
        <w:t>对由于本厂家、商家、公司或本厂家、商家、公司工作人员的上述行为给贵院造成经济或名誉损失的，由本厂家、商家、公司负责，并愿意承担全部民事赔偿责任。</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 xml:space="preserve">六、 采购物资名称：                                   </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本《承诺书》一式</w:t>
      </w:r>
      <w:r>
        <w:rPr>
          <w:rFonts w:hint="eastAsia" w:ascii="宋体" w:hAnsi="宋体" w:eastAsia="宋体" w:cs="宋体"/>
          <w:b w:val="0"/>
          <w:i w:val="0"/>
          <w:caps w:val="0"/>
          <w:color w:val="auto"/>
          <w:spacing w:val="0"/>
          <w:w w:val="100"/>
          <w:sz w:val="24"/>
          <w:szCs w:val="24"/>
          <w:highlight w:val="none"/>
          <w:lang w:val="en-US" w:eastAsia="zh-CN"/>
        </w:rPr>
        <w:t>二</w:t>
      </w:r>
      <w:r>
        <w:rPr>
          <w:rFonts w:hint="eastAsia" w:ascii="宋体" w:hAnsi="宋体" w:eastAsia="宋体" w:cs="宋体"/>
          <w:b w:val="0"/>
          <w:i w:val="0"/>
          <w:caps w:val="0"/>
          <w:color w:val="auto"/>
          <w:spacing w:val="0"/>
          <w:w w:val="100"/>
          <w:sz w:val="24"/>
          <w:szCs w:val="24"/>
          <w:highlight w:val="none"/>
        </w:rPr>
        <w:t>份（一份由承诺人自存；一份随竞价书传递）</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jc w:val="both"/>
        <w:textAlignment w:val="baseline"/>
        <w:rPr>
          <w:rFonts w:hint="eastAsia" w:ascii="宋体" w:hAnsi="宋体" w:eastAsia="宋体" w:cs="宋体"/>
          <w:b w:val="0"/>
          <w:i w:val="0"/>
          <w:caps w:val="0"/>
          <w:color w:val="auto"/>
          <w:spacing w:val="0"/>
          <w:w w:val="100"/>
          <w:sz w:val="24"/>
          <w:szCs w:val="24"/>
          <w:highlight w:val="none"/>
          <w:lang w:eastAsia="zh-CN"/>
        </w:rPr>
      </w:pPr>
      <w:r>
        <w:rPr>
          <w:rFonts w:hint="eastAsia" w:ascii="宋体" w:hAnsi="宋体" w:eastAsia="宋体" w:cs="宋体"/>
          <w:b w:val="0"/>
          <w:i w:val="0"/>
          <w:caps w:val="0"/>
          <w:color w:val="auto"/>
          <w:spacing w:val="0"/>
          <w:w w:val="100"/>
          <w:sz w:val="24"/>
          <w:szCs w:val="24"/>
          <w:highlight w:val="none"/>
        </w:rPr>
        <w:t>承诺企业名称（公章）</w:t>
      </w:r>
      <w:r>
        <w:rPr>
          <w:rFonts w:hint="eastAsia" w:ascii="宋体" w:hAnsi="宋体" w:eastAsia="宋体" w:cs="宋体"/>
          <w:b w:val="0"/>
          <w:i w:val="0"/>
          <w:caps w:val="0"/>
          <w:color w:val="auto"/>
          <w:spacing w:val="0"/>
          <w:w w:val="100"/>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 xml:space="preserve">                  </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法人代表或委托代理人（承诺人）</w:t>
      </w:r>
      <w:r>
        <w:rPr>
          <w:rFonts w:hint="eastAsia" w:ascii="宋体" w:hAnsi="宋体" w:eastAsia="宋体" w:cs="宋体"/>
          <w:b w:val="0"/>
          <w:i w:val="0"/>
          <w:caps w:val="0"/>
          <w:color w:val="auto"/>
          <w:spacing w:val="0"/>
          <w:w w:val="100"/>
          <w:sz w:val="24"/>
          <w:szCs w:val="24"/>
          <w:highlight w:val="none"/>
          <w:lang w:eastAsia="zh-CN"/>
        </w:rPr>
        <w:t>：</w:t>
      </w:r>
    </w:p>
    <w:p>
      <w:pPr>
        <w:pStyle w:val="2"/>
        <w:keepNext w:val="0"/>
        <w:keepLines w:val="0"/>
        <w:pageBreakBefore w:val="0"/>
        <w:kinsoku/>
        <w:wordWrap/>
        <w:overflowPunct/>
        <w:topLinePunct w:val="0"/>
        <w:autoSpaceDE/>
        <w:autoSpaceDN/>
        <w:bidi w:val="0"/>
        <w:spacing w:beforeAutospacing="0" w:line="360" w:lineRule="auto"/>
        <w:rPr>
          <w:rFonts w:hint="eastAsia" w:ascii="宋体" w:hAnsi="宋体" w:eastAsia="宋体" w:cs="宋体"/>
          <w:b w:val="0"/>
          <w:i w:val="0"/>
          <w:caps w:val="0"/>
          <w:color w:val="auto"/>
          <w:spacing w:val="0"/>
          <w:w w:val="100"/>
          <w:sz w:val="24"/>
          <w:szCs w:val="24"/>
          <w:highlight w:val="none"/>
        </w:rPr>
      </w:pPr>
    </w:p>
    <w:p>
      <w:pPr>
        <w:pStyle w:val="2"/>
        <w:keepNext w:val="0"/>
        <w:keepLines w:val="0"/>
        <w:pageBreakBefore w:val="0"/>
        <w:kinsoku/>
        <w:wordWrap/>
        <w:overflowPunct/>
        <w:topLinePunct w:val="0"/>
        <w:autoSpaceDE/>
        <w:autoSpaceDN/>
        <w:bidi w:val="0"/>
        <w:spacing w:beforeAutospacing="0" w:line="360" w:lineRule="auto"/>
        <w:rPr>
          <w:rFonts w:hint="eastAsia" w:ascii="宋体" w:hAnsi="宋体" w:eastAsia="宋体" w:cs="宋体"/>
          <w:b w:val="0"/>
          <w:i w:val="0"/>
          <w:caps w:val="0"/>
          <w:color w:val="auto"/>
          <w:spacing w:val="0"/>
          <w:w w:val="100"/>
          <w:sz w:val="24"/>
          <w:szCs w:val="24"/>
          <w:highlight w:val="none"/>
        </w:rPr>
      </w:pPr>
    </w:p>
    <w:p>
      <w:pPr>
        <w:pStyle w:val="8"/>
        <w:keepNext w:val="0"/>
        <w:keepLines w:val="0"/>
        <w:pageBreakBefore w:val="0"/>
        <w:kinsoku/>
        <w:wordWrap/>
        <w:overflowPunct/>
        <w:topLinePunct w:val="0"/>
        <w:autoSpaceDE/>
        <w:autoSpaceDN/>
        <w:bidi w:val="0"/>
        <w:spacing w:beforeAutospacing="0" w:line="360" w:lineRule="auto"/>
        <w:rPr>
          <w:rFonts w:hint="eastAsia" w:ascii="宋体" w:hAnsi="宋体" w:eastAsia="宋体" w:cs="宋体"/>
          <w:b/>
          <w:bCs/>
          <w:color w:val="auto"/>
          <w:sz w:val="24"/>
          <w:szCs w:val="24"/>
          <w:highlight w:val="none"/>
          <w:lang w:val="en-US" w:eastAsia="zh-CN"/>
        </w:rPr>
      </w:pPr>
    </w:p>
    <w:p>
      <w:pPr>
        <w:pStyle w:val="8"/>
        <w:keepNext w:val="0"/>
        <w:keepLines w:val="0"/>
        <w:pageBreakBefore w:val="0"/>
        <w:kinsoku/>
        <w:wordWrap/>
        <w:overflowPunct/>
        <w:topLinePunct w:val="0"/>
        <w:autoSpaceDE/>
        <w:autoSpaceDN/>
        <w:bidi w:val="0"/>
        <w:spacing w:beforeAutospacing="0" w:line="360" w:lineRule="auto"/>
        <w:rPr>
          <w:rFonts w:hint="eastAsia" w:ascii="宋体" w:hAnsi="宋体" w:eastAsia="宋体" w:cs="宋体"/>
          <w:b/>
          <w:bCs/>
          <w:color w:val="auto"/>
          <w:sz w:val="24"/>
          <w:szCs w:val="24"/>
          <w:highlight w:val="none"/>
          <w:lang w:val="en-US" w:eastAsia="zh-CN"/>
        </w:rPr>
      </w:pPr>
    </w:p>
    <w:p>
      <w:pPr>
        <w:pStyle w:val="8"/>
        <w:keepNext w:val="0"/>
        <w:keepLines w:val="0"/>
        <w:pageBreakBefore w:val="0"/>
        <w:kinsoku/>
        <w:wordWrap/>
        <w:overflowPunct/>
        <w:topLinePunct w:val="0"/>
        <w:autoSpaceDE/>
        <w:autoSpaceDN/>
        <w:bidi w:val="0"/>
        <w:spacing w:beforeAutospacing="0" w:line="360" w:lineRule="auto"/>
        <w:rPr>
          <w:rFonts w:hint="eastAsia" w:ascii="宋体" w:hAnsi="宋体" w:eastAsia="宋体" w:cs="宋体"/>
          <w:b/>
          <w:bCs/>
          <w:color w:val="auto"/>
          <w:sz w:val="24"/>
          <w:szCs w:val="24"/>
          <w:highlight w:val="none"/>
          <w:lang w:val="en-US" w:eastAsia="zh-CN"/>
        </w:rPr>
      </w:pPr>
    </w:p>
    <w:p>
      <w:pPr>
        <w:pStyle w:val="8"/>
        <w:keepNext w:val="0"/>
        <w:keepLines w:val="0"/>
        <w:pageBreakBefore w:val="0"/>
        <w:kinsoku/>
        <w:wordWrap/>
        <w:overflowPunct/>
        <w:topLinePunct w:val="0"/>
        <w:autoSpaceDE/>
        <w:autoSpaceDN/>
        <w:bidi w:val="0"/>
        <w:spacing w:beforeAutospacing="0" w:line="360" w:lineRule="auto"/>
        <w:rPr>
          <w:rFonts w:hint="eastAsia" w:ascii="宋体" w:hAnsi="宋体" w:eastAsia="宋体" w:cs="宋体"/>
          <w:b/>
          <w:bCs/>
          <w:color w:val="auto"/>
          <w:sz w:val="24"/>
          <w:szCs w:val="24"/>
          <w:highlight w:val="none"/>
          <w:lang w:val="en-US" w:eastAsia="zh-CN"/>
        </w:rPr>
      </w:pPr>
    </w:p>
    <w:p>
      <w:pPr>
        <w:pStyle w:val="8"/>
        <w:keepNext w:val="0"/>
        <w:keepLines w:val="0"/>
        <w:pageBreakBefore w:val="0"/>
        <w:kinsoku/>
        <w:wordWrap/>
        <w:overflowPunct/>
        <w:topLinePunct w:val="0"/>
        <w:autoSpaceDE/>
        <w:autoSpaceDN/>
        <w:bidi w:val="0"/>
        <w:spacing w:beforeAutospacing="0" w:line="360" w:lineRule="auto"/>
        <w:rPr>
          <w:rFonts w:hint="eastAsia" w:ascii="宋体" w:hAnsi="宋体" w:eastAsia="宋体" w:cs="宋体"/>
          <w:b/>
          <w:bCs/>
          <w:color w:val="auto"/>
          <w:sz w:val="24"/>
          <w:szCs w:val="24"/>
          <w:highlight w:val="none"/>
          <w:lang w:val="en-US" w:eastAsia="zh-CN"/>
        </w:rPr>
      </w:pPr>
    </w:p>
    <w:p>
      <w:pPr>
        <w:pStyle w:val="8"/>
        <w:keepNext w:val="0"/>
        <w:keepLines w:val="0"/>
        <w:pageBreakBefore w:val="0"/>
        <w:kinsoku/>
        <w:wordWrap/>
        <w:overflowPunct/>
        <w:topLinePunct w:val="0"/>
        <w:autoSpaceDE/>
        <w:autoSpaceDN/>
        <w:bidi w:val="0"/>
        <w:spacing w:beforeAutospacing="0" w:line="360" w:lineRule="auto"/>
        <w:rPr>
          <w:rFonts w:hint="eastAsia" w:ascii="宋体" w:hAnsi="宋体" w:eastAsia="宋体" w:cs="宋体"/>
          <w:b/>
          <w:bCs/>
          <w:color w:val="auto"/>
          <w:sz w:val="24"/>
          <w:szCs w:val="24"/>
          <w:highlight w:val="none"/>
          <w:lang w:val="en-US" w:eastAsia="zh-CN"/>
        </w:rPr>
      </w:pPr>
    </w:p>
    <w:p>
      <w:pPr>
        <w:pStyle w:val="8"/>
        <w:keepNext w:val="0"/>
        <w:keepLines w:val="0"/>
        <w:pageBreakBefore w:val="0"/>
        <w:kinsoku/>
        <w:wordWrap/>
        <w:overflowPunct/>
        <w:topLinePunct w:val="0"/>
        <w:autoSpaceDE/>
        <w:autoSpaceDN/>
        <w:bidi w:val="0"/>
        <w:spacing w:beforeAutospacing="0" w:line="360" w:lineRule="auto"/>
        <w:rPr>
          <w:rFonts w:hint="eastAsia" w:ascii="宋体" w:hAnsi="宋体" w:eastAsia="宋体" w:cs="宋体"/>
          <w:b/>
          <w:bCs/>
          <w:color w:val="auto"/>
          <w:sz w:val="24"/>
          <w:szCs w:val="24"/>
          <w:highlight w:val="none"/>
          <w:lang w:val="en-US" w:eastAsia="zh-CN"/>
        </w:rPr>
      </w:pPr>
    </w:p>
    <w:p>
      <w:pPr>
        <w:pStyle w:val="8"/>
        <w:keepNext w:val="0"/>
        <w:keepLines w:val="0"/>
        <w:pageBreakBefore w:val="0"/>
        <w:kinsoku/>
        <w:wordWrap/>
        <w:overflowPunct/>
        <w:topLinePunct w:val="0"/>
        <w:autoSpaceDE/>
        <w:autoSpaceDN/>
        <w:bidi w:val="0"/>
        <w:spacing w:beforeAutospacing="0" w:line="360" w:lineRule="auto"/>
        <w:rPr>
          <w:rFonts w:hint="eastAsia" w:ascii="宋体" w:hAnsi="宋体" w:eastAsia="宋体" w:cs="宋体"/>
          <w:b/>
          <w:bCs/>
          <w:color w:val="auto"/>
          <w:sz w:val="24"/>
          <w:szCs w:val="24"/>
          <w:highlight w:val="none"/>
          <w:lang w:val="en-US" w:eastAsia="zh-CN"/>
        </w:rPr>
      </w:pPr>
    </w:p>
    <w:p>
      <w:pPr>
        <w:pStyle w:val="8"/>
        <w:keepNext w:val="0"/>
        <w:keepLines w:val="0"/>
        <w:pageBreakBefore w:val="0"/>
        <w:kinsoku/>
        <w:wordWrap/>
        <w:overflowPunct/>
        <w:topLinePunct w:val="0"/>
        <w:autoSpaceDE/>
        <w:autoSpaceDN/>
        <w:bidi w:val="0"/>
        <w:spacing w:beforeAutospacing="0" w:line="360" w:lineRule="auto"/>
        <w:rPr>
          <w:rFonts w:hint="eastAsia" w:ascii="宋体" w:hAnsi="宋体" w:eastAsia="宋体" w:cs="宋体"/>
          <w:b/>
          <w:bCs/>
          <w:color w:val="auto"/>
          <w:sz w:val="24"/>
          <w:szCs w:val="24"/>
          <w:highlight w:val="none"/>
          <w:lang w:val="en-US" w:eastAsia="zh-CN"/>
        </w:rPr>
      </w:pPr>
    </w:p>
    <w:p>
      <w:pPr>
        <w:pStyle w:val="8"/>
        <w:keepNext w:val="0"/>
        <w:keepLines w:val="0"/>
        <w:pageBreakBefore w:val="0"/>
        <w:kinsoku/>
        <w:wordWrap/>
        <w:overflowPunct/>
        <w:topLinePunct w:val="0"/>
        <w:autoSpaceDE/>
        <w:autoSpaceDN/>
        <w:bidi w:val="0"/>
        <w:spacing w:beforeAutospacing="0" w:line="360" w:lineRule="auto"/>
        <w:rPr>
          <w:rFonts w:hint="eastAsia" w:ascii="宋体" w:hAnsi="宋体" w:eastAsia="宋体" w:cs="宋体"/>
          <w:b/>
          <w:bCs/>
          <w:color w:val="auto"/>
          <w:sz w:val="24"/>
          <w:szCs w:val="24"/>
          <w:highlight w:val="none"/>
          <w:lang w:val="en-US" w:eastAsia="zh-CN"/>
        </w:rPr>
      </w:pPr>
    </w:p>
    <w:p>
      <w:pPr>
        <w:pStyle w:val="8"/>
        <w:keepNext w:val="0"/>
        <w:keepLines w:val="0"/>
        <w:pageBreakBefore w:val="0"/>
        <w:kinsoku/>
        <w:wordWrap/>
        <w:overflowPunct/>
        <w:topLinePunct w:val="0"/>
        <w:autoSpaceDE/>
        <w:autoSpaceDN/>
        <w:bidi w:val="0"/>
        <w:spacing w:beforeAutospacing="0" w:line="360" w:lineRule="auto"/>
        <w:rPr>
          <w:rFonts w:hint="eastAsia" w:ascii="宋体" w:hAnsi="宋体" w:eastAsia="宋体" w:cs="宋体"/>
          <w:b/>
          <w:bCs/>
          <w:color w:val="auto"/>
          <w:sz w:val="24"/>
          <w:szCs w:val="24"/>
          <w:highlight w:val="none"/>
          <w:lang w:val="en-US" w:eastAsia="zh-CN"/>
        </w:rPr>
      </w:pPr>
    </w:p>
    <w:p>
      <w:pPr>
        <w:pStyle w:val="8"/>
        <w:keepNext w:val="0"/>
        <w:keepLines w:val="0"/>
        <w:pageBreakBefore w:val="0"/>
        <w:kinsoku/>
        <w:wordWrap/>
        <w:overflowPunct/>
        <w:topLinePunct w:val="0"/>
        <w:autoSpaceDE/>
        <w:autoSpaceDN/>
        <w:bidi w:val="0"/>
        <w:spacing w:beforeAutospacing="0" w:line="360" w:lineRule="auto"/>
        <w:rPr>
          <w:rFonts w:hint="eastAsia" w:ascii="宋体" w:hAnsi="宋体" w:eastAsia="宋体" w:cs="宋体"/>
          <w:b/>
          <w:bCs/>
          <w:color w:val="auto"/>
          <w:sz w:val="24"/>
          <w:szCs w:val="24"/>
          <w:highlight w:val="none"/>
          <w:lang w:val="en-US" w:eastAsia="zh-CN"/>
        </w:rPr>
      </w:pPr>
    </w:p>
    <w:p>
      <w:pPr>
        <w:pStyle w:val="8"/>
        <w:keepNext w:val="0"/>
        <w:keepLines w:val="0"/>
        <w:pageBreakBefore w:val="0"/>
        <w:kinsoku/>
        <w:wordWrap/>
        <w:overflowPunct/>
        <w:topLinePunct w:val="0"/>
        <w:autoSpaceDE/>
        <w:autoSpaceDN/>
        <w:bidi w:val="0"/>
        <w:spacing w:beforeAutospacing="0" w:line="360" w:lineRule="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 xml:space="preserve">附件5                 </w:t>
      </w:r>
      <w:r>
        <w:rPr>
          <w:rFonts w:hint="eastAsia" w:ascii="宋体" w:hAnsi="宋体" w:eastAsia="宋体" w:cs="宋体"/>
          <w:color w:val="auto"/>
          <w:sz w:val="24"/>
          <w:szCs w:val="24"/>
          <w:highlight w:val="none"/>
        </w:rPr>
        <w:t>供应商遵守招标采购纪律承诺书</w:t>
      </w:r>
    </w:p>
    <w:p>
      <w:pPr>
        <w:keepNext w:val="0"/>
        <w:keepLines w:val="0"/>
        <w:pageBreakBefore w:val="0"/>
        <w:widowControl w:val="0"/>
        <w:kinsoku/>
        <w:wordWrap/>
        <w:overflowPunct/>
        <w:topLinePunct w:val="0"/>
        <w:autoSpaceDE/>
        <w:autoSpaceDN/>
        <w:bidi w:val="0"/>
        <w:adjustRightInd/>
        <w:snapToGrid/>
        <w:spacing w:beforeAutospacing="0" w:line="360" w:lineRule="auto"/>
        <w:jc w:val="both"/>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致四川省妇幼保健院：</w:t>
      </w:r>
    </w:p>
    <w:p>
      <w:pPr>
        <w:keepNext w:val="0"/>
        <w:keepLines w:val="0"/>
        <w:pageBreakBefore w:val="0"/>
        <w:widowControl w:val="0"/>
        <w:kinsoku/>
        <w:wordWrap/>
        <w:overflowPunct/>
        <w:topLinePunct w:val="0"/>
        <w:autoSpaceDE/>
        <w:autoSpaceDN/>
        <w:bidi w:val="0"/>
        <w:adjustRightInd/>
        <w:snapToGrid/>
        <w:spacing w:beforeAutospacing="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我单位作为本次采购项目的供应商，根据响应文件要求，现郑重承诺如下：</w:t>
      </w: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一、参加本次采购活动，我单位不存在与单位负责人为同一人或者存在直接控股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管理关系的其他供应商参与同一合同项下的采购活动的行为。</w:t>
      </w: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二、参加本次采购活动，不得直接或者间接从采购人或者采购代理机构处获得其他供应商的相关情况并修改其投标文件或者响应文件。</w:t>
      </w: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三、参加本次采购活动，不得按照采购人的授意撤换、修改投标文件或者响应文件。</w:t>
      </w: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四、参加本次采购活动，不得和本次采购供应商之间协商报价、技术方案等投标文件或者响应文件的实质性内容。</w:t>
      </w: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五、本次采购活动中，不存在属于同一集团、协会、商会等组织成员的供应商按照该组织要求协同参加本次采购活动。</w:t>
      </w: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六、参加本次采购活动，不存在与其他供应商之间事先约定由某一特定供应商中标、成交。</w:t>
      </w: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七、参加本次采购活动，不存在与其他供应商商定部分供应商放弃参加采购活动或者放弃中标、成交。</w:t>
      </w: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八、参加本次采购活动，不存在我单位的投标文件或者响应文件由其他参与本项目的单位或个人编制或委托办理投标事宜。</w:t>
      </w: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九、参加本次采购活动，不存在我单位与采购人之间、供应商相互之间，为谋求特定供应商中标、成交或者排斥其他供应商的其他串通行为。</w:t>
      </w: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十、与我方存在直接控股关系的单位为：XXX；存在管理关系单位为：XXX。</w:t>
      </w: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我单位对上述承诺的内容事项真实性负责并接受评审小组对我单位投标文件或者响应文件关于串通投标的审查。如经查实上述承诺的内容事项存在虚假，我单位愿意接受以提供虚假材料谋取成交追究法律责任。</w:t>
      </w: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供应商名称（单位公章）： </w:t>
      </w:r>
      <w:r>
        <w:rPr>
          <w:rFonts w:hint="eastAsia" w:ascii="宋体" w:hAnsi="宋体" w:eastAsia="宋体" w:cs="宋体"/>
          <w:color w:val="auto"/>
          <w:sz w:val="24"/>
          <w:szCs w:val="24"/>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法定代表人/单位负责人或授权代表（签字或加盖个人名章）：</w:t>
      </w:r>
    </w:p>
    <w:p>
      <w:pPr>
        <w:keepNext w:val="0"/>
        <w:keepLines w:val="0"/>
        <w:pageBreakBefore w:val="0"/>
        <w:kinsoku/>
        <w:wordWrap/>
        <w:overflowPunct/>
        <w:topLinePunct w:val="0"/>
        <w:autoSpaceDE/>
        <w:autoSpaceDN/>
        <w:bidi w:val="0"/>
        <w:spacing w:beforeAutospacing="0" w:line="360" w:lineRule="auto"/>
        <w:ind w:firstLine="7440" w:firstLineChars="31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 xml:space="preserve">年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日</w:t>
      </w:r>
    </w:p>
    <w:p>
      <w:pPr>
        <w:pStyle w:val="6"/>
        <w:keepNext w:val="0"/>
        <w:keepLines w:val="0"/>
        <w:pageBreakBefore w:val="0"/>
        <w:kinsoku/>
        <w:overflowPunct/>
        <w:topLinePunct w:val="0"/>
        <w:bidi w:val="0"/>
        <w:spacing w:line="360" w:lineRule="auto"/>
        <w:ind w:left="0" w:leftChars="0" w:firstLine="0" w:firstLineChars="0"/>
        <w:rPr>
          <w:rFonts w:hint="eastAsia" w:ascii="宋体" w:hAnsi="宋体" w:eastAsia="宋体" w:cs="宋体"/>
          <w:sz w:val="24"/>
          <w:szCs w:val="24"/>
        </w:rPr>
      </w:pPr>
    </w:p>
    <w:sectPr>
      <w:headerReference r:id="rId3" w:type="default"/>
      <w:footerReference r:id="rId4" w:type="default"/>
      <w:pgSz w:w="11906" w:h="16838"/>
      <w:pgMar w:top="1440" w:right="1397" w:bottom="1440" w:left="14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lang w:val="en-US"/>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0"/>
                          </w:pPr>
                          <w:r>
                            <w:t xml:space="preserve">第 </w:t>
                          </w:r>
                          <w:r>
                            <w:fldChar w:fldCharType="begin"/>
                          </w:r>
                          <w:r>
                            <w:instrText xml:space="preserve"> PAGE  \* MERGEFORMAT </w:instrText>
                          </w:r>
                          <w:r>
                            <w:fldChar w:fldCharType="separate"/>
                          </w:r>
                          <w:r>
                            <w:t>6</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o&#10;aYJL0wAAAAUBAAAPAAAAAAAAAAEAIAAAACIAAABkcnMvZG93bnJldi54bWxQSwECFAAUAAAACACH&#10;TuJA+jUQibcBAABVAwAADgAAAAAAAAABACAAAAAiAQAAZHJzL2Uyb0RvYy54bWxQSwUGAAAAAAYA&#10;BgBZAQAASwUAAAAA&#10;">
              <v:fill on="f" focussize="0,0"/>
              <v:stroke on="f" weight="1.25pt"/>
              <v:imagedata o:title=""/>
              <o:lock v:ext="edit" aspectratio="f"/>
              <v:textbox inset="0mm,0mm,0mm,0mm" style="mso-fit-shape-to-text:t;">
                <w:txbxContent>
                  <w:p>
                    <w:pPr>
                      <w:pStyle w:val="10"/>
                    </w:pPr>
                    <w:r>
                      <w:t xml:space="preserve">第 </w:t>
                    </w:r>
                    <w:r>
                      <w:fldChar w:fldCharType="begin"/>
                    </w:r>
                    <w:r>
                      <w:instrText xml:space="preserve"> PAGE  \* MERGEFORMAT </w:instrText>
                    </w:r>
                    <w:r>
                      <w:fldChar w:fldCharType="separate"/>
                    </w:r>
                    <w:r>
                      <w:t>6</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jc w:val="left"/>
      <w:rPr>
        <w:rFonts w:hint="eastAsia" w:eastAsia="宋体"/>
        <w:lang w:eastAsia="zh-CN"/>
      </w:rPr>
    </w:pPr>
  </w:p>
  <w:p>
    <w:pPr>
      <w:pStyle w:val="11"/>
      <w:pBdr>
        <w:bottom w:val="none" w:color="auto" w:sz="0" w:space="0"/>
      </w:pBdr>
      <w:jc w:val="left"/>
      <w:rPr>
        <w:rFonts w:hint="eastAsia" w:eastAsia="宋体"/>
        <w:lang w:eastAsia="zh-CN"/>
      </w:rPr>
    </w:pPr>
  </w:p>
  <w:p>
    <w:pPr>
      <w:pStyle w:val="11"/>
      <w:pBdr>
        <w:bottom w:val="none" w:color="auto" w:sz="0" w:space="0"/>
      </w:pBdr>
      <w:jc w:val="left"/>
      <w:rPr>
        <w:rFonts w:hint="eastAsia"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F2F48B"/>
    <w:multiLevelType w:val="singleLevel"/>
    <w:tmpl w:val="A3F2F48B"/>
    <w:lvl w:ilvl="0" w:tentative="0">
      <w:start w:val="1"/>
      <w:numFmt w:val="bullet"/>
      <w:lvlText w:val=""/>
      <w:lvlJc w:val="left"/>
      <w:pPr>
        <w:ind w:left="420" w:hanging="420"/>
      </w:pPr>
      <w:rPr>
        <w:rFonts w:hint="default" w:ascii="Wingdings" w:hAnsi="Wingdings"/>
        <w:b/>
        <w:bCs/>
        <w:color w:val="auto"/>
      </w:rPr>
    </w:lvl>
  </w:abstractNum>
  <w:abstractNum w:abstractNumId="1">
    <w:nsid w:val="38513304"/>
    <w:multiLevelType w:val="multilevel"/>
    <w:tmpl w:val="38513304"/>
    <w:lvl w:ilvl="0" w:tentative="0">
      <w:start w:val="3"/>
      <w:numFmt w:val="bullet"/>
      <w:lvlText w:val="★"/>
      <w:lvlJc w:val="left"/>
      <w:pPr>
        <w:tabs>
          <w:tab w:val="left" w:pos="480"/>
        </w:tabs>
        <w:ind w:left="480" w:hanging="360"/>
      </w:pPr>
      <w:rPr>
        <w:rFonts w:hint="eastAsia" w:ascii="宋体" w:hAnsi="宋体" w:eastAsia="宋体" w:cs="Times New Roman"/>
      </w:rPr>
    </w:lvl>
    <w:lvl w:ilvl="1" w:tentative="0">
      <w:start w:val="1"/>
      <w:numFmt w:val="bullet"/>
      <w:lvlText w:val=""/>
      <w:lvlJc w:val="left"/>
      <w:pPr>
        <w:tabs>
          <w:tab w:val="left" w:pos="960"/>
        </w:tabs>
        <w:ind w:left="960" w:hanging="420"/>
      </w:pPr>
      <w:rPr>
        <w:rFonts w:hint="default" w:ascii="Wingdings" w:hAnsi="Wingdings"/>
      </w:rPr>
    </w:lvl>
    <w:lvl w:ilvl="2" w:tentative="0">
      <w:start w:val="1"/>
      <w:numFmt w:val="bullet"/>
      <w:lvlText w:val=""/>
      <w:lvlJc w:val="left"/>
      <w:pPr>
        <w:tabs>
          <w:tab w:val="left" w:pos="1380"/>
        </w:tabs>
        <w:ind w:left="1380" w:hanging="420"/>
      </w:pPr>
      <w:rPr>
        <w:rFonts w:hint="default" w:ascii="Wingdings" w:hAnsi="Wingdings"/>
      </w:rPr>
    </w:lvl>
    <w:lvl w:ilvl="3" w:tentative="0">
      <w:start w:val="1"/>
      <w:numFmt w:val="bullet"/>
      <w:lvlText w:val=""/>
      <w:lvlJc w:val="left"/>
      <w:pPr>
        <w:tabs>
          <w:tab w:val="left" w:pos="1800"/>
        </w:tabs>
        <w:ind w:left="1800" w:hanging="420"/>
      </w:pPr>
      <w:rPr>
        <w:rFonts w:hint="default" w:ascii="Wingdings" w:hAnsi="Wingdings"/>
      </w:rPr>
    </w:lvl>
    <w:lvl w:ilvl="4" w:tentative="0">
      <w:start w:val="1"/>
      <w:numFmt w:val="bullet"/>
      <w:lvlText w:val=""/>
      <w:lvlJc w:val="left"/>
      <w:pPr>
        <w:tabs>
          <w:tab w:val="left" w:pos="2220"/>
        </w:tabs>
        <w:ind w:left="2220" w:hanging="420"/>
      </w:pPr>
      <w:rPr>
        <w:rFonts w:hint="default" w:ascii="Wingdings" w:hAnsi="Wingdings"/>
      </w:rPr>
    </w:lvl>
    <w:lvl w:ilvl="5" w:tentative="0">
      <w:start w:val="1"/>
      <w:numFmt w:val="bullet"/>
      <w:lvlText w:val=""/>
      <w:lvlJc w:val="left"/>
      <w:pPr>
        <w:tabs>
          <w:tab w:val="left" w:pos="2640"/>
        </w:tabs>
        <w:ind w:left="2640" w:hanging="420"/>
      </w:pPr>
      <w:rPr>
        <w:rFonts w:hint="default" w:ascii="Wingdings" w:hAnsi="Wingdings"/>
      </w:rPr>
    </w:lvl>
    <w:lvl w:ilvl="6" w:tentative="0">
      <w:start w:val="1"/>
      <w:numFmt w:val="bullet"/>
      <w:lvlText w:val=""/>
      <w:lvlJc w:val="left"/>
      <w:pPr>
        <w:tabs>
          <w:tab w:val="left" w:pos="3060"/>
        </w:tabs>
        <w:ind w:left="3060" w:hanging="420"/>
      </w:pPr>
      <w:rPr>
        <w:rFonts w:hint="default" w:ascii="Wingdings" w:hAnsi="Wingdings"/>
      </w:rPr>
    </w:lvl>
    <w:lvl w:ilvl="7" w:tentative="0">
      <w:start w:val="1"/>
      <w:numFmt w:val="bullet"/>
      <w:lvlText w:val=""/>
      <w:lvlJc w:val="left"/>
      <w:pPr>
        <w:tabs>
          <w:tab w:val="left" w:pos="3480"/>
        </w:tabs>
        <w:ind w:left="3480" w:hanging="420"/>
      </w:pPr>
      <w:rPr>
        <w:rFonts w:hint="default" w:ascii="Wingdings" w:hAnsi="Wingdings"/>
      </w:rPr>
    </w:lvl>
    <w:lvl w:ilvl="8" w:tentative="0">
      <w:start w:val="1"/>
      <w:numFmt w:val="bullet"/>
      <w:lvlText w:val=""/>
      <w:lvlJc w:val="left"/>
      <w:pPr>
        <w:tabs>
          <w:tab w:val="left" w:pos="3900"/>
        </w:tabs>
        <w:ind w:left="3900" w:hanging="420"/>
      </w:pPr>
      <w:rPr>
        <w:rFonts w:hint="default" w:ascii="Wingdings" w:hAnsi="Wingdings"/>
      </w:rPr>
    </w:lvl>
  </w:abstractNum>
  <w:abstractNum w:abstractNumId="2">
    <w:nsid w:val="3D467C54"/>
    <w:multiLevelType w:val="singleLevel"/>
    <w:tmpl w:val="3D467C54"/>
    <w:lvl w:ilvl="0" w:tentative="0">
      <w:start w:val="6"/>
      <w:numFmt w:val="chineseCounting"/>
      <w:suff w:val="nothing"/>
      <w:lvlText w:val="（%1）"/>
      <w:lvlJc w:val="left"/>
      <w:rPr>
        <w:rFonts w:hint="eastAsia"/>
      </w:rPr>
    </w:lvl>
  </w:abstractNum>
  <w:abstractNum w:abstractNumId="3">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19"/>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wZmE0ZmU3Y2M1ZWQ5MWU4OTc0ZDQ0OGMzYzM2NmMifQ=="/>
  </w:docVars>
  <w:rsids>
    <w:rsidRoot w:val="74046BF8"/>
    <w:rsid w:val="02614B14"/>
    <w:rsid w:val="029F4231"/>
    <w:rsid w:val="03C502F2"/>
    <w:rsid w:val="041941B5"/>
    <w:rsid w:val="04335DA6"/>
    <w:rsid w:val="07550A75"/>
    <w:rsid w:val="08D00FFA"/>
    <w:rsid w:val="09074930"/>
    <w:rsid w:val="09252B3C"/>
    <w:rsid w:val="09D05FD4"/>
    <w:rsid w:val="0A7056FD"/>
    <w:rsid w:val="0AD57EAC"/>
    <w:rsid w:val="0CF514F6"/>
    <w:rsid w:val="0D2F6DAC"/>
    <w:rsid w:val="12FB4A33"/>
    <w:rsid w:val="13160D6D"/>
    <w:rsid w:val="13536BB4"/>
    <w:rsid w:val="16A37219"/>
    <w:rsid w:val="170F6FC9"/>
    <w:rsid w:val="17191F74"/>
    <w:rsid w:val="17380D87"/>
    <w:rsid w:val="19031A95"/>
    <w:rsid w:val="19AF0E57"/>
    <w:rsid w:val="1B5E7762"/>
    <w:rsid w:val="1B633B7D"/>
    <w:rsid w:val="1BBD2F92"/>
    <w:rsid w:val="1F0E10E1"/>
    <w:rsid w:val="1F215C65"/>
    <w:rsid w:val="20D5619C"/>
    <w:rsid w:val="20DE5730"/>
    <w:rsid w:val="23CE4694"/>
    <w:rsid w:val="2404126F"/>
    <w:rsid w:val="24AD32BB"/>
    <w:rsid w:val="29364810"/>
    <w:rsid w:val="2A536CFE"/>
    <w:rsid w:val="2C144DE1"/>
    <w:rsid w:val="2F8E31C8"/>
    <w:rsid w:val="30332322"/>
    <w:rsid w:val="33C51129"/>
    <w:rsid w:val="346C3C91"/>
    <w:rsid w:val="349A16DA"/>
    <w:rsid w:val="363C0689"/>
    <w:rsid w:val="37E348AD"/>
    <w:rsid w:val="38451DC9"/>
    <w:rsid w:val="38EA6674"/>
    <w:rsid w:val="3B544C6D"/>
    <w:rsid w:val="3B8E3C1F"/>
    <w:rsid w:val="40E83987"/>
    <w:rsid w:val="42AE53DA"/>
    <w:rsid w:val="44C45AC5"/>
    <w:rsid w:val="44FE0DBC"/>
    <w:rsid w:val="45846253"/>
    <w:rsid w:val="472552CA"/>
    <w:rsid w:val="4875266D"/>
    <w:rsid w:val="48F42CAF"/>
    <w:rsid w:val="49796A18"/>
    <w:rsid w:val="49BD3C89"/>
    <w:rsid w:val="4B1132B6"/>
    <w:rsid w:val="4B366F25"/>
    <w:rsid w:val="4C282A7E"/>
    <w:rsid w:val="4CCA2FC8"/>
    <w:rsid w:val="4CD45FA7"/>
    <w:rsid w:val="4E125E21"/>
    <w:rsid w:val="4E9E77F7"/>
    <w:rsid w:val="4ECA469E"/>
    <w:rsid w:val="4F2C1DF1"/>
    <w:rsid w:val="4F5D404F"/>
    <w:rsid w:val="517D19DC"/>
    <w:rsid w:val="527716A5"/>
    <w:rsid w:val="527F7BEB"/>
    <w:rsid w:val="553B6208"/>
    <w:rsid w:val="55ED4B8A"/>
    <w:rsid w:val="56BC6CDA"/>
    <w:rsid w:val="56BE2C5D"/>
    <w:rsid w:val="57F32536"/>
    <w:rsid w:val="58BC5ADA"/>
    <w:rsid w:val="5B62446F"/>
    <w:rsid w:val="5C412401"/>
    <w:rsid w:val="5F7601AD"/>
    <w:rsid w:val="5FC53852"/>
    <w:rsid w:val="605807A0"/>
    <w:rsid w:val="6100111A"/>
    <w:rsid w:val="63910247"/>
    <w:rsid w:val="63ED5797"/>
    <w:rsid w:val="643B43E5"/>
    <w:rsid w:val="644B07A0"/>
    <w:rsid w:val="65B4042F"/>
    <w:rsid w:val="668B6666"/>
    <w:rsid w:val="69166805"/>
    <w:rsid w:val="69326925"/>
    <w:rsid w:val="6B74408A"/>
    <w:rsid w:val="6D040A33"/>
    <w:rsid w:val="6DDB5FB0"/>
    <w:rsid w:val="6EB557D6"/>
    <w:rsid w:val="6F8240C3"/>
    <w:rsid w:val="6F95081D"/>
    <w:rsid w:val="71812C18"/>
    <w:rsid w:val="731E21D2"/>
    <w:rsid w:val="738E7E4C"/>
    <w:rsid w:val="74046BF8"/>
    <w:rsid w:val="75D9228C"/>
    <w:rsid w:val="799E54BD"/>
    <w:rsid w:val="7A4647B1"/>
    <w:rsid w:val="7B1E51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qFormat="1" w:unhideWhenUsed="0" w:uiPriority="99"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2"/>
    <w:basedOn w:val="1"/>
    <w:next w:val="1"/>
    <w:qFormat/>
    <w:uiPriority w:val="9"/>
    <w:pPr>
      <w:widowControl/>
      <w:spacing w:before="100" w:beforeAutospacing="1" w:after="100" w:afterAutospacing="1" w:line="240" w:lineRule="auto"/>
      <w:jc w:val="left"/>
      <w:outlineLvl w:val="1"/>
    </w:pPr>
    <w:rPr>
      <w:rFonts w:ascii="宋体" w:hAnsi="宋体" w:eastAsia="宋体" w:cs="宋体"/>
      <w:b/>
      <w:bCs/>
      <w:kern w:val="0"/>
      <w:sz w:val="36"/>
      <w:szCs w:val="36"/>
    </w:rPr>
  </w:style>
  <w:style w:type="paragraph" w:styleId="5">
    <w:name w:val="heading 3"/>
    <w:basedOn w:val="1"/>
    <w:next w:val="1"/>
    <w:qFormat/>
    <w:uiPriority w:val="99"/>
    <w:pPr>
      <w:keepNext/>
      <w:keepLines/>
      <w:spacing w:before="260" w:after="260" w:line="415" w:lineRule="auto"/>
      <w:outlineLvl w:val="2"/>
    </w:pPr>
    <w:rPr>
      <w:b/>
      <w:bCs/>
      <w:sz w:val="32"/>
      <w:szCs w:val="32"/>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pPr>
  </w:style>
  <w:style w:type="paragraph" w:styleId="3">
    <w:name w:val="Body Text Indent"/>
    <w:basedOn w:val="1"/>
    <w:qFormat/>
    <w:uiPriority w:val="0"/>
    <w:pPr>
      <w:ind w:firstLine="630"/>
    </w:pPr>
    <w:rPr>
      <w:sz w:val="32"/>
      <w:szCs w:val="20"/>
    </w:rPr>
  </w:style>
  <w:style w:type="paragraph" w:styleId="6">
    <w:name w:val="Normal Indent"/>
    <w:basedOn w:val="1"/>
    <w:qFormat/>
    <w:uiPriority w:val="99"/>
    <w:pPr>
      <w:adjustRightInd w:val="0"/>
      <w:snapToGrid w:val="0"/>
      <w:spacing w:line="360" w:lineRule="auto"/>
      <w:ind w:firstLine="420"/>
    </w:pPr>
    <w:rPr>
      <w:sz w:val="24"/>
    </w:rPr>
  </w:style>
  <w:style w:type="paragraph" w:styleId="7">
    <w:name w:val="annotation text"/>
    <w:basedOn w:val="1"/>
    <w:qFormat/>
    <w:uiPriority w:val="0"/>
    <w:pPr>
      <w:jc w:val="left"/>
    </w:pPr>
  </w:style>
  <w:style w:type="paragraph" w:styleId="8">
    <w:name w:val="Body Text"/>
    <w:basedOn w:val="1"/>
    <w:next w:val="1"/>
    <w:qFormat/>
    <w:uiPriority w:val="0"/>
  </w:style>
  <w:style w:type="paragraph" w:styleId="9">
    <w:name w:val="Plain Text"/>
    <w:basedOn w:val="1"/>
    <w:qFormat/>
    <w:uiPriority w:val="0"/>
    <w:pPr>
      <w:spacing w:line="460" w:lineRule="exact"/>
      <w:ind w:firstLine="567"/>
    </w:pPr>
    <w:rPr>
      <w:rFonts w:ascii="宋体" w:hAnsi="Courier New" w:eastAsia="仿宋_GB2312"/>
      <w:sz w:val="28"/>
      <w:szCs w:val="20"/>
    </w:rPr>
  </w:style>
  <w:style w:type="paragraph" w:styleId="10">
    <w:name w:val="footer"/>
    <w:basedOn w:val="1"/>
    <w:unhideWhenUsed/>
    <w:qFormat/>
    <w:uiPriority w:val="99"/>
    <w:pPr>
      <w:tabs>
        <w:tab w:val="center" w:pos="4153"/>
        <w:tab w:val="right" w:pos="8306"/>
      </w:tabs>
      <w:snapToGrid w:val="0"/>
      <w:jc w:val="left"/>
    </w:pPr>
    <w:rPr>
      <w:sz w:val="18"/>
      <w:szCs w:val="18"/>
    </w:rPr>
  </w:style>
  <w:style w:type="paragraph" w:styleId="11">
    <w:name w:val="header"/>
    <w:basedOn w:val="1"/>
    <w:unhideWhenUsed/>
    <w:qFormat/>
    <w:uiPriority w:val="99"/>
    <w:pPr>
      <w:tabs>
        <w:tab w:val="center" w:pos="4153"/>
        <w:tab w:val="right" w:pos="8306"/>
      </w:tabs>
      <w:snapToGrid w:val="0"/>
      <w:jc w:val="center"/>
    </w:pPr>
    <w:rPr>
      <w:sz w:val="18"/>
      <w:szCs w:val="18"/>
    </w:rPr>
  </w:style>
  <w:style w:type="paragraph" w:styleId="12">
    <w:name w:val="toc 1"/>
    <w:basedOn w:val="1"/>
    <w:next w:val="1"/>
    <w:qFormat/>
    <w:uiPriority w:val="0"/>
    <w:pPr>
      <w:spacing w:line="180" w:lineRule="auto"/>
      <w:jc w:val="center"/>
    </w:pPr>
    <w:rPr>
      <w:sz w:val="30"/>
    </w:rPr>
  </w:style>
  <w:style w:type="paragraph" w:styleId="13">
    <w:name w:val="footnote text"/>
    <w:basedOn w:val="1"/>
    <w:qFormat/>
    <w:uiPriority w:val="99"/>
    <w:pPr>
      <w:snapToGrid w:val="0"/>
      <w:jc w:val="left"/>
    </w:pPr>
    <w:rPr>
      <w:rFonts w:ascii="宋体" w:hAnsi="Times New Roman" w:eastAsia="宋体" w:cs="Times New Roman"/>
      <w:kern w:val="0"/>
      <w:sz w:val="18"/>
      <w:szCs w:val="18"/>
    </w:r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Body Text First Indent"/>
    <w:qFormat/>
    <w:uiPriority w:val="99"/>
    <w:pPr>
      <w:widowControl w:val="0"/>
      <w:spacing w:after="120" w:afterLines="0" w:line="240" w:lineRule="auto"/>
      <w:ind w:firstLine="420" w:firstLineChars="100"/>
      <w:jc w:val="both"/>
    </w:pPr>
    <w:rPr>
      <w:rFonts w:asciiTheme="minorHAnsi" w:hAnsiTheme="minorHAnsi" w:eastAsiaTheme="minorEastAsia" w:cstheme="minorBidi"/>
      <w:kern w:val="2"/>
      <w:sz w:val="21"/>
      <w:szCs w:val="24"/>
      <w:lang w:val="en-US" w:eastAsia="zh-CN" w:bidi="ar-SA"/>
    </w:rPr>
  </w:style>
  <w:style w:type="table" w:styleId="17">
    <w:name w:val="Table Grid"/>
    <w:basedOn w:val="16"/>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9">
    <w:name w:val="标题 5（有编号）（绿盟科技）"/>
    <w:basedOn w:val="1"/>
    <w:next w:val="20"/>
    <w:qFormat/>
    <w:uiPriority w:val="0"/>
    <w:pPr>
      <w:keepNext/>
      <w:keepLines/>
      <w:numPr>
        <w:ilvl w:val="4"/>
        <w:numId w:val="1"/>
      </w:numPr>
      <w:spacing w:before="280" w:after="156" w:line="377" w:lineRule="auto"/>
      <w:jc w:val="left"/>
      <w:outlineLvl w:val="4"/>
    </w:pPr>
    <w:rPr>
      <w:rFonts w:ascii="Arial" w:hAnsi="Arial" w:eastAsia="黑体"/>
      <w:b/>
      <w:kern w:val="0"/>
      <w:sz w:val="24"/>
      <w:szCs w:val="28"/>
    </w:rPr>
  </w:style>
  <w:style w:type="paragraph" w:customStyle="1" w:styleId="20">
    <w:name w:val="正文（绿盟科技）"/>
    <w:qFormat/>
    <w:uiPriority w:val="0"/>
    <w:pPr>
      <w:spacing w:line="300" w:lineRule="auto"/>
    </w:pPr>
    <w:rPr>
      <w:rFonts w:ascii="Arial" w:hAnsi="Arial" w:eastAsia="宋体" w:cs="黑体"/>
      <w:sz w:val="21"/>
      <w:szCs w:val="21"/>
      <w:lang w:val="en-US" w:eastAsia="zh-CN" w:bidi="ar-SA"/>
    </w:rPr>
  </w:style>
  <w:style w:type="paragraph" w:customStyle="1" w:styleId="21">
    <w:name w:val="表格1"/>
    <w:qFormat/>
    <w:uiPriority w:val="0"/>
    <w:pPr>
      <w:widowControl w:val="0"/>
      <w:wordWrap w:val="0"/>
      <w:autoSpaceDE w:val="0"/>
      <w:autoSpaceDN w:val="0"/>
      <w:spacing w:line="360" w:lineRule="exact"/>
      <w:jc w:val="both"/>
    </w:pPr>
    <w:rPr>
      <w:rFonts w:ascii="宋体" w:hAnsi="Times New Roman" w:eastAsia="宋体" w:cs="Times New Roman"/>
      <w:kern w:val="0"/>
      <w:sz w:val="24"/>
      <w:szCs w:val="20"/>
      <w:lang w:val="en-US" w:eastAsia="zh-CN" w:bidi="ar-SA"/>
    </w:rPr>
  </w:style>
  <w:style w:type="paragraph" w:customStyle="1" w:styleId="2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3">
    <w:name w:val="GW-正文"/>
    <w:basedOn w:val="1"/>
    <w:qFormat/>
    <w:uiPriority w:val="0"/>
    <w:pPr>
      <w:spacing w:line="360" w:lineRule="auto"/>
      <w:ind w:firstLine="200" w:firstLineChars="200"/>
    </w:pPr>
    <w:rPr>
      <w:rFonts w:eastAsia="仿宋_GB2312"/>
      <w:sz w:val="24"/>
      <w:szCs w:val="24"/>
    </w:rPr>
  </w:style>
  <w:style w:type="paragraph" w:customStyle="1" w:styleId="24">
    <w:name w:val="null3"/>
    <w:hidden/>
    <w:qFormat/>
    <w:uiPriority w:val="0"/>
    <w:rPr>
      <w:rFonts w:hint="eastAsia" w:asciiTheme="minorHAnsi" w:hAnsiTheme="minorHAnsi" w:eastAsiaTheme="minorEastAsia" w:cstheme="minorBidi"/>
      <w:lang w:val="en-US" w:eastAsia="zh-Hans"/>
    </w:rPr>
  </w:style>
  <w:style w:type="paragraph" w:customStyle="1" w:styleId="25">
    <w:name w:val="正文首行缩进两字符"/>
    <w:basedOn w:val="1"/>
    <w:qFormat/>
    <w:uiPriority w:val="0"/>
    <w:pPr>
      <w:spacing w:line="360" w:lineRule="auto"/>
      <w:ind w:firstLine="200" w:firstLineChars="200"/>
    </w:pPr>
  </w:style>
  <w:style w:type="character" w:customStyle="1" w:styleId="26">
    <w:name w:val="font21"/>
    <w:basedOn w:val="18"/>
    <w:qFormat/>
    <w:uiPriority w:val="0"/>
    <w:rPr>
      <w:rFonts w:hint="eastAsia" w:ascii="宋体" w:hAnsi="宋体" w:eastAsia="宋体" w:cs="宋体"/>
      <w:color w:val="000000"/>
      <w:sz w:val="22"/>
      <w:szCs w:val="22"/>
      <w:u w:val="none"/>
    </w:rPr>
  </w:style>
  <w:style w:type="character" w:customStyle="1" w:styleId="27">
    <w:name w:val="font01"/>
    <w:basedOn w:val="18"/>
    <w:qFormat/>
    <w:uiPriority w:val="0"/>
    <w:rPr>
      <w:rFonts w:hint="eastAsia" w:ascii="宋体" w:hAnsi="宋体" w:eastAsia="宋体" w:cs="宋体"/>
      <w:b/>
      <w:color w:val="E54C5E"/>
      <w:sz w:val="22"/>
      <w:szCs w:val="22"/>
      <w:u w:val="none"/>
    </w:rPr>
  </w:style>
  <w:style w:type="character" w:customStyle="1" w:styleId="28">
    <w:name w:val="font11"/>
    <w:basedOn w:val="18"/>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3510</Words>
  <Characters>3758</Characters>
  <Lines>0</Lines>
  <Paragraphs>0</Paragraphs>
  <TotalTime>47</TotalTime>
  <ScaleCrop>false</ScaleCrop>
  <LinksUpToDate>false</LinksUpToDate>
  <CharactersWithSpaces>3761</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2025-03-28T00:39:00Z</dcterms:created>
  <dc:creator>罗珊珊</dc:creator>
  <cp:lastModifiedBy>姗姗</cp:lastModifiedBy>
  <cp:lastPrinted>2025-08-27T03:42:00Z</cp:lastPrinted>
  <dcterms:modified xsi:type="dcterms:W3CDTF">2025-09-19T02:21:47Z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55B19CA18A2C430D91C2FACFB5F0772D_13</vt:lpwstr>
  </property>
  <property fmtid="{D5CDD505-2E9C-101B-9397-08002B2CF9AE}" pid="4" name="KSOTemplateDocerSaveRecord">
    <vt:lpwstr>eyJoZGlkIjoiNzcxZGE2NWUxMjNiNGQ5OTUxNTBkZmRmODIyZTk4ZjkiLCJ1c2VySWQiOiI1MDQ3NDY1NTEifQ==</vt:lpwstr>
  </property>
</Properties>
</file>