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E5E2" w14:textId="1E4077EC" w:rsidR="008112F9" w:rsidRDefault="00B637AA">
      <w:pPr>
        <w:pStyle w:val="2"/>
        <w:jc w:val="center"/>
        <w:rPr>
          <w:rFonts w:ascii="仿宋_GB2312" w:eastAsia="仿宋_GB2312" w:hAnsi="仿宋_GB2312" w:cs="仿宋_GB2312" w:hint="eastAsia"/>
          <w:sz w:val="30"/>
          <w:szCs w:val="30"/>
        </w:rPr>
      </w:pPr>
      <w:proofErr w:type="gramStart"/>
      <w:r>
        <w:rPr>
          <w:rFonts w:ascii="仿宋_GB2312" w:eastAsia="仿宋_GB2312" w:hAnsi="仿宋_GB2312" w:cs="仿宋_GB2312" w:hint="eastAsia"/>
          <w:sz w:val="30"/>
          <w:szCs w:val="30"/>
        </w:rPr>
        <w:t>官网</w:t>
      </w:r>
      <w:r w:rsidR="00000000">
        <w:rPr>
          <w:rFonts w:ascii="仿宋_GB2312" w:eastAsia="仿宋_GB2312" w:hAnsi="仿宋_GB2312" w:cs="仿宋_GB2312" w:hint="eastAsia"/>
          <w:sz w:val="30"/>
          <w:szCs w:val="30"/>
        </w:rPr>
        <w:t>运</w:t>
      </w:r>
      <w:proofErr w:type="gramEnd"/>
      <w:r w:rsidR="00000000">
        <w:rPr>
          <w:rFonts w:ascii="仿宋_GB2312" w:eastAsia="仿宋_GB2312" w:hAnsi="仿宋_GB2312" w:cs="仿宋_GB2312" w:hint="eastAsia"/>
          <w:sz w:val="30"/>
          <w:szCs w:val="30"/>
        </w:rPr>
        <w:t>维服务招标参数和评分标准</w:t>
      </w:r>
    </w:p>
    <w:p w14:paraId="6207D982" w14:textId="06B88F33" w:rsidR="008112F9" w:rsidRDefault="00000000">
      <w:pPr>
        <w:rPr>
          <w:rFonts w:ascii="仿宋_GB2312" w:eastAsia="仿宋_GB2312" w:hAnsi="仿宋_GB2312" w:cs="仿宋_GB2312" w:hint="eastAsia"/>
          <w:b/>
          <w:sz w:val="24"/>
        </w:rPr>
      </w:pPr>
      <w:r>
        <w:rPr>
          <w:rFonts w:ascii="仿宋_GB2312" w:eastAsia="仿宋_GB2312" w:hAnsi="仿宋_GB2312" w:cs="仿宋_GB2312" w:hint="eastAsia"/>
          <w:b/>
          <w:sz w:val="24"/>
          <w:szCs w:val="21"/>
        </w:rPr>
        <w:t>说明：本文中标注“★”号的条款为本项目的实质性要求，供应商应全部满足，否则其投标文件作无效处理。</w:t>
      </w:r>
    </w:p>
    <w:p w14:paraId="055273EE" w14:textId="77777777" w:rsidR="008112F9" w:rsidRDefault="00000000">
      <w:pPr>
        <w:rPr>
          <w:rFonts w:ascii="仿宋_GB2312" w:eastAsia="仿宋_GB2312" w:hAnsi="仿宋_GB2312" w:cs="仿宋_GB2312" w:hint="eastAsia"/>
          <w:b/>
          <w:sz w:val="24"/>
          <w:szCs w:val="21"/>
        </w:rPr>
      </w:pPr>
      <w:r>
        <w:rPr>
          <w:rFonts w:ascii="仿宋" w:hAnsi="仿宋" w:hint="eastAsia"/>
          <w:b/>
          <w:bCs/>
          <w:szCs w:val="28"/>
        </w:rPr>
        <w:t>一、项目预算及采购清单</w:t>
      </w:r>
    </w:p>
    <w:tbl>
      <w:tblPr>
        <w:tblW w:w="6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4"/>
        <w:gridCol w:w="3383"/>
        <w:gridCol w:w="995"/>
        <w:gridCol w:w="1266"/>
      </w:tblGrid>
      <w:tr w:rsidR="008112F9" w14:paraId="26145A37" w14:textId="77777777">
        <w:trPr>
          <w:trHeight w:val="510"/>
          <w:jc w:val="center"/>
        </w:trPr>
        <w:tc>
          <w:tcPr>
            <w:tcW w:w="914" w:type="dxa"/>
            <w:tcBorders>
              <w:tl2br w:val="nil"/>
              <w:tr2bl w:val="nil"/>
            </w:tcBorders>
            <w:tcMar>
              <w:top w:w="15" w:type="dxa"/>
              <w:left w:w="15" w:type="dxa"/>
              <w:right w:w="15" w:type="dxa"/>
            </w:tcMar>
            <w:vAlign w:val="center"/>
          </w:tcPr>
          <w:p w14:paraId="47361DBE" w14:textId="77777777" w:rsidR="008112F9" w:rsidRDefault="00000000">
            <w:pPr>
              <w:jc w:val="center"/>
              <w:textAlignment w:val="center"/>
              <w:rPr>
                <w:rFonts w:ascii="仿宋" w:hAnsi="仿宋" w:cs="仿宋" w:hint="eastAsia"/>
                <w:b/>
                <w:bCs/>
                <w:color w:val="000000"/>
                <w:sz w:val="22"/>
              </w:rPr>
            </w:pPr>
            <w:proofErr w:type="gramStart"/>
            <w:r>
              <w:rPr>
                <w:rFonts w:ascii="仿宋" w:hAnsi="仿宋" w:cs="仿宋" w:hint="eastAsia"/>
                <w:b/>
                <w:bCs/>
                <w:color w:val="000000"/>
                <w:sz w:val="22"/>
              </w:rPr>
              <w:t>采购包号</w:t>
            </w:r>
            <w:proofErr w:type="gramEnd"/>
          </w:p>
        </w:tc>
        <w:tc>
          <w:tcPr>
            <w:tcW w:w="3383" w:type="dxa"/>
            <w:tcBorders>
              <w:tl2br w:val="nil"/>
              <w:tr2bl w:val="nil"/>
            </w:tcBorders>
            <w:tcMar>
              <w:top w:w="15" w:type="dxa"/>
              <w:left w:w="15" w:type="dxa"/>
              <w:right w:w="15" w:type="dxa"/>
            </w:tcMar>
            <w:vAlign w:val="center"/>
          </w:tcPr>
          <w:p w14:paraId="021FE947" w14:textId="77777777" w:rsidR="008112F9" w:rsidRDefault="00000000">
            <w:pPr>
              <w:jc w:val="center"/>
              <w:textAlignment w:val="center"/>
              <w:rPr>
                <w:rFonts w:ascii="仿宋" w:hAnsi="仿宋" w:cs="仿宋" w:hint="eastAsia"/>
                <w:b/>
                <w:bCs/>
                <w:color w:val="000000"/>
                <w:sz w:val="22"/>
                <w:lang w:bidi="ar"/>
              </w:rPr>
            </w:pPr>
            <w:r>
              <w:rPr>
                <w:rFonts w:ascii="仿宋" w:hAnsi="仿宋" w:cs="仿宋" w:hint="eastAsia"/>
                <w:b/>
                <w:bCs/>
                <w:color w:val="000000"/>
                <w:sz w:val="22"/>
                <w:lang w:bidi="ar"/>
              </w:rPr>
              <w:t>标的名称</w:t>
            </w:r>
          </w:p>
        </w:tc>
        <w:tc>
          <w:tcPr>
            <w:tcW w:w="995" w:type="dxa"/>
            <w:tcBorders>
              <w:tl2br w:val="nil"/>
              <w:tr2bl w:val="nil"/>
            </w:tcBorders>
            <w:tcMar>
              <w:top w:w="15" w:type="dxa"/>
              <w:left w:w="15" w:type="dxa"/>
              <w:right w:w="15" w:type="dxa"/>
            </w:tcMar>
            <w:vAlign w:val="center"/>
          </w:tcPr>
          <w:p w14:paraId="1D4507CF" w14:textId="77777777" w:rsidR="008112F9" w:rsidRDefault="00000000">
            <w:pPr>
              <w:jc w:val="center"/>
              <w:textAlignment w:val="center"/>
              <w:rPr>
                <w:rFonts w:ascii="仿宋" w:hAnsi="仿宋" w:cs="仿宋" w:hint="eastAsia"/>
                <w:b/>
                <w:bCs/>
                <w:color w:val="000000"/>
                <w:sz w:val="22"/>
              </w:rPr>
            </w:pPr>
            <w:r>
              <w:rPr>
                <w:rFonts w:ascii="仿宋" w:hAnsi="仿宋" w:cs="仿宋" w:hint="eastAsia"/>
                <w:b/>
                <w:bCs/>
                <w:color w:val="000000"/>
                <w:sz w:val="22"/>
                <w:lang w:bidi="ar"/>
              </w:rPr>
              <w:t>采购预算</w:t>
            </w:r>
          </w:p>
        </w:tc>
        <w:tc>
          <w:tcPr>
            <w:tcW w:w="1266" w:type="dxa"/>
            <w:tcBorders>
              <w:tl2br w:val="nil"/>
              <w:tr2bl w:val="nil"/>
            </w:tcBorders>
            <w:tcMar>
              <w:top w:w="15" w:type="dxa"/>
              <w:left w:w="15" w:type="dxa"/>
              <w:right w:w="15" w:type="dxa"/>
            </w:tcMar>
            <w:vAlign w:val="center"/>
          </w:tcPr>
          <w:p w14:paraId="7C4960D2" w14:textId="77777777" w:rsidR="008112F9" w:rsidRDefault="00000000">
            <w:pPr>
              <w:jc w:val="center"/>
              <w:textAlignment w:val="center"/>
              <w:rPr>
                <w:rFonts w:ascii="仿宋" w:hAnsi="仿宋" w:cs="仿宋" w:hint="eastAsia"/>
                <w:b/>
                <w:bCs/>
                <w:color w:val="000000"/>
                <w:sz w:val="22"/>
                <w:lang w:bidi="ar"/>
              </w:rPr>
            </w:pPr>
            <w:r>
              <w:rPr>
                <w:rFonts w:ascii="仿宋" w:hAnsi="仿宋" w:cs="仿宋" w:hint="eastAsia"/>
                <w:b/>
                <w:bCs/>
                <w:color w:val="000000"/>
                <w:sz w:val="22"/>
                <w:lang w:bidi="ar"/>
              </w:rPr>
              <w:t>最高限价</w:t>
            </w:r>
          </w:p>
        </w:tc>
      </w:tr>
      <w:tr w:rsidR="008112F9" w14:paraId="1DD0EF2C" w14:textId="77777777">
        <w:trPr>
          <w:trHeight w:val="528"/>
          <w:jc w:val="center"/>
        </w:trPr>
        <w:tc>
          <w:tcPr>
            <w:tcW w:w="914" w:type="dxa"/>
            <w:tcBorders>
              <w:tl2br w:val="nil"/>
              <w:tr2bl w:val="nil"/>
            </w:tcBorders>
            <w:tcMar>
              <w:top w:w="15" w:type="dxa"/>
              <w:left w:w="15" w:type="dxa"/>
              <w:right w:w="15" w:type="dxa"/>
            </w:tcMar>
            <w:vAlign w:val="center"/>
          </w:tcPr>
          <w:p w14:paraId="75D5C89E" w14:textId="77777777" w:rsidR="008112F9" w:rsidRDefault="00000000">
            <w:pPr>
              <w:spacing w:line="340" w:lineRule="exact"/>
              <w:ind w:leftChars="61" w:left="171" w:rightChars="50" w:right="140"/>
              <w:jc w:val="center"/>
              <w:rPr>
                <w:rFonts w:ascii="仿宋" w:hAnsi="仿宋" w:cs="仿宋" w:hint="eastAsia"/>
                <w:sz w:val="24"/>
              </w:rPr>
            </w:pPr>
            <w:r>
              <w:rPr>
                <w:rFonts w:ascii="仿宋" w:hAnsi="仿宋" w:cs="仿宋" w:hint="eastAsia"/>
                <w:sz w:val="24"/>
              </w:rPr>
              <w:t>1</w:t>
            </w:r>
          </w:p>
        </w:tc>
        <w:tc>
          <w:tcPr>
            <w:tcW w:w="3383" w:type="dxa"/>
            <w:tcBorders>
              <w:tl2br w:val="nil"/>
              <w:tr2bl w:val="nil"/>
            </w:tcBorders>
            <w:tcMar>
              <w:top w:w="15" w:type="dxa"/>
              <w:left w:w="15" w:type="dxa"/>
              <w:right w:w="15" w:type="dxa"/>
            </w:tcMar>
            <w:vAlign w:val="center"/>
          </w:tcPr>
          <w:p w14:paraId="257E5108" w14:textId="2A454AA3" w:rsidR="008112F9" w:rsidRDefault="00B637AA">
            <w:pPr>
              <w:spacing w:line="340" w:lineRule="exact"/>
              <w:ind w:leftChars="61" w:left="171" w:rightChars="50" w:right="140"/>
              <w:jc w:val="center"/>
              <w:rPr>
                <w:rFonts w:ascii="仿宋" w:hAnsi="仿宋" w:cs="仿宋" w:hint="eastAsia"/>
                <w:sz w:val="24"/>
              </w:rPr>
            </w:pPr>
            <w:proofErr w:type="gramStart"/>
            <w:r w:rsidRPr="00B637AA">
              <w:rPr>
                <w:rFonts w:ascii="仿宋" w:hAnsi="仿宋" w:cs="仿宋" w:hint="eastAsia"/>
                <w:sz w:val="24"/>
              </w:rPr>
              <w:t>官网运</w:t>
            </w:r>
            <w:proofErr w:type="gramEnd"/>
            <w:r w:rsidRPr="00B637AA">
              <w:rPr>
                <w:rFonts w:ascii="仿宋" w:hAnsi="仿宋" w:cs="仿宋" w:hint="eastAsia"/>
                <w:sz w:val="24"/>
              </w:rPr>
              <w:t>维服务</w:t>
            </w:r>
          </w:p>
        </w:tc>
        <w:tc>
          <w:tcPr>
            <w:tcW w:w="995" w:type="dxa"/>
            <w:tcBorders>
              <w:tl2br w:val="nil"/>
              <w:tr2bl w:val="nil"/>
            </w:tcBorders>
            <w:tcMar>
              <w:top w:w="15" w:type="dxa"/>
              <w:left w:w="15" w:type="dxa"/>
              <w:right w:w="15" w:type="dxa"/>
            </w:tcMar>
            <w:vAlign w:val="center"/>
          </w:tcPr>
          <w:p w14:paraId="79F76EA7" w14:textId="77777777" w:rsidR="008112F9" w:rsidRDefault="00000000">
            <w:pPr>
              <w:spacing w:line="340" w:lineRule="exact"/>
              <w:ind w:leftChars="61" w:left="171" w:rightChars="50" w:right="140"/>
              <w:jc w:val="center"/>
              <w:rPr>
                <w:rFonts w:ascii="仿宋" w:hAnsi="仿宋" w:cs="仿宋" w:hint="eastAsia"/>
                <w:sz w:val="24"/>
              </w:rPr>
            </w:pPr>
            <w:r>
              <w:rPr>
                <w:rFonts w:ascii="仿宋" w:hAnsi="仿宋" w:cs="仿宋" w:hint="eastAsia"/>
                <w:sz w:val="24"/>
              </w:rPr>
              <w:t>5万</w:t>
            </w:r>
          </w:p>
        </w:tc>
        <w:tc>
          <w:tcPr>
            <w:tcW w:w="1266" w:type="dxa"/>
            <w:tcBorders>
              <w:tl2br w:val="nil"/>
              <w:tr2bl w:val="nil"/>
            </w:tcBorders>
            <w:tcMar>
              <w:top w:w="15" w:type="dxa"/>
              <w:left w:w="15" w:type="dxa"/>
              <w:right w:w="15" w:type="dxa"/>
            </w:tcMar>
            <w:vAlign w:val="center"/>
          </w:tcPr>
          <w:p w14:paraId="245CF933" w14:textId="77777777" w:rsidR="008112F9" w:rsidRDefault="00000000">
            <w:pPr>
              <w:spacing w:line="340" w:lineRule="exact"/>
              <w:ind w:leftChars="61" w:left="171" w:rightChars="50" w:right="140"/>
              <w:jc w:val="center"/>
              <w:rPr>
                <w:rFonts w:ascii="仿宋" w:hAnsi="仿宋" w:cs="仿宋" w:hint="eastAsia"/>
                <w:sz w:val="24"/>
              </w:rPr>
            </w:pPr>
            <w:r>
              <w:rPr>
                <w:rFonts w:ascii="仿宋" w:hAnsi="仿宋" w:cs="仿宋" w:hint="eastAsia"/>
                <w:sz w:val="24"/>
              </w:rPr>
              <w:t>5万</w:t>
            </w:r>
          </w:p>
        </w:tc>
      </w:tr>
    </w:tbl>
    <w:p w14:paraId="6EAFFCD7" w14:textId="77777777" w:rsidR="008112F9" w:rsidRDefault="00000000">
      <w:pPr>
        <w:outlineLvl w:val="1"/>
        <w:rPr>
          <w:rFonts w:ascii="仿宋" w:hAnsi="仿宋" w:hint="eastAsia"/>
          <w:b/>
          <w:bCs/>
          <w:szCs w:val="28"/>
        </w:rPr>
      </w:pPr>
      <w:r>
        <w:rPr>
          <w:rFonts w:ascii="仿宋" w:hAnsi="仿宋" w:hint="eastAsia"/>
          <w:b/>
          <w:bCs/>
          <w:szCs w:val="28"/>
        </w:rPr>
        <w:t>二、技术参数要求：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8"/>
        <w:gridCol w:w="1339"/>
        <w:gridCol w:w="6409"/>
      </w:tblGrid>
      <w:tr w:rsidR="008112F9" w14:paraId="40DB1952" w14:textId="77777777">
        <w:trPr>
          <w:trHeight w:val="472"/>
        </w:trPr>
        <w:tc>
          <w:tcPr>
            <w:tcW w:w="330" w:type="pct"/>
            <w:vAlign w:val="center"/>
          </w:tcPr>
          <w:p w14:paraId="7083AF07" w14:textId="77777777" w:rsidR="008112F9" w:rsidRDefault="00000000">
            <w:pPr>
              <w:autoSpaceDE w:val="0"/>
              <w:autoSpaceDN w:val="0"/>
              <w:spacing w:line="240" w:lineRule="auto"/>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序号</w:t>
            </w:r>
          </w:p>
        </w:tc>
        <w:tc>
          <w:tcPr>
            <w:tcW w:w="807" w:type="pct"/>
            <w:shd w:val="clear" w:color="auto" w:fill="auto"/>
            <w:tcMar>
              <w:top w:w="0" w:type="dxa"/>
              <w:left w:w="108" w:type="dxa"/>
              <w:bottom w:w="0" w:type="dxa"/>
              <w:right w:w="108" w:type="dxa"/>
            </w:tcMar>
            <w:vAlign w:val="center"/>
          </w:tcPr>
          <w:p w14:paraId="06DE812E" w14:textId="77777777" w:rsidR="008112F9" w:rsidRDefault="00000000">
            <w:pPr>
              <w:autoSpaceDE w:val="0"/>
              <w:autoSpaceDN w:val="0"/>
              <w:spacing w:line="240" w:lineRule="auto"/>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采购内容</w:t>
            </w:r>
          </w:p>
        </w:tc>
        <w:tc>
          <w:tcPr>
            <w:tcW w:w="3863" w:type="pct"/>
            <w:shd w:val="clear" w:color="auto" w:fill="auto"/>
            <w:tcMar>
              <w:top w:w="0" w:type="dxa"/>
              <w:left w:w="108" w:type="dxa"/>
              <w:bottom w:w="0" w:type="dxa"/>
              <w:right w:w="108" w:type="dxa"/>
            </w:tcMar>
            <w:vAlign w:val="center"/>
          </w:tcPr>
          <w:p w14:paraId="210E68E7" w14:textId="77777777" w:rsidR="008112F9" w:rsidRDefault="00000000">
            <w:pPr>
              <w:autoSpaceDE w:val="0"/>
              <w:autoSpaceDN w:val="0"/>
              <w:spacing w:line="240" w:lineRule="auto"/>
              <w:ind w:firstLine="482"/>
              <w:jc w:val="center"/>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技术参数</w:t>
            </w:r>
          </w:p>
        </w:tc>
      </w:tr>
      <w:tr w:rsidR="008112F9" w14:paraId="1FEB7E84" w14:textId="77777777">
        <w:trPr>
          <w:trHeight w:val="1195"/>
        </w:trPr>
        <w:tc>
          <w:tcPr>
            <w:tcW w:w="330" w:type="pct"/>
            <w:vAlign w:val="center"/>
          </w:tcPr>
          <w:p w14:paraId="3067297E" w14:textId="77777777" w:rsidR="008112F9" w:rsidRDefault="008112F9">
            <w:pPr>
              <w:pStyle w:val="ad"/>
              <w:numPr>
                <w:ilvl w:val="0"/>
                <w:numId w:val="1"/>
              </w:numPr>
              <w:autoSpaceDE w:val="0"/>
              <w:autoSpaceDN w:val="0"/>
              <w:spacing w:line="240" w:lineRule="auto"/>
              <w:ind w:firstLineChars="0"/>
              <w:jc w:val="center"/>
              <w:rPr>
                <w:rFonts w:ascii="仿宋_GB2312" w:eastAsia="仿宋_GB2312" w:hAnsi="仿宋_GB2312" w:cs="仿宋_GB2312" w:hint="eastAsia"/>
                <w:sz w:val="24"/>
                <w:szCs w:val="24"/>
              </w:rPr>
            </w:pPr>
          </w:p>
        </w:tc>
        <w:tc>
          <w:tcPr>
            <w:tcW w:w="807" w:type="pct"/>
            <w:shd w:val="clear" w:color="auto" w:fill="auto"/>
            <w:tcMar>
              <w:top w:w="0" w:type="dxa"/>
              <w:left w:w="108" w:type="dxa"/>
              <w:bottom w:w="0" w:type="dxa"/>
              <w:right w:w="108" w:type="dxa"/>
            </w:tcMar>
            <w:vAlign w:val="center"/>
          </w:tcPr>
          <w:p w14:paraId="00AFA44A" w14:textId="77777777" w:rsidR="008112F9" w:rsidRDefault="00000000">
            <w:pPr>
              <w:widowControl/>
              <w:spacing w:line="240" w:lineRule="auto"/>
              <w:textAlignment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服务要求</w:t>
            </w:r>
          </w:p>
        </w:tc>
        <w:tc>
          <w:tcPr>
            <w:tcW w:w="3863" w:type="pct"/>
            <w:shd w:val="clear" w:color="auto" w:fill="auto"/>
            <w:tcMar>
              <w:top w:w="0" w:type="dxa"/>
              <w:left w:w="108" w:type="dxa"/>
              <w:bottom w:w="0" w:type="dxa"/>
              <w:right w:w="108" w:type="dxa"/>
            </w:tcMar>
            <w:vAlign w:val="center"/>
          </w:tcPr>
          <w:p w14:paraId="6D3E525E" w14:textId="4013C85E" w:rsidR="008112F9"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color w:val="000000"/>
              </w:rPr>
              <w:t>★</w:t>
            </w:r>
            <w:r w:rsidR="007D5AD3">
              <w:rPr>
                <w:rFonts w:ascii="仿宋_GB2312" w:eastAsia="仿宋_GB2312" w:hAnsi="仿宋_GB2312" w:cs="仿宋_GB2312" w:hint="eastAsia"/>
                <w:color w:val="000000"/>
              </w:rPr>
              <w:t>1、</w:t>
            </w:r>
            <w:r>
              <w:rPr>
                <w:rFonts w:ascii="仿宋_GB2312" w:eastAsia="仿宋_GB2312" w:hAnsi="仿宋_GB2312" w:cs="仿宋_GB2312" w:hint="eastAsia"/>
                <w:color w:val="000000"/>
              </w:rPr>
              <w:t>本次服务项目需在医院现有的网站管理系统基础上进行安装部署及维护服</w:t>
            </w:r>
            <w:r>
              <w:rPr>
                <w:rFonts w:ascii="仿宋_GB2312" w:eastAsia="仿宋_GB2312" w:hAnsi="仿宋_GB2312" w:cs="仿宋_GB2312" w:hint="eastAsia"/>
              </w:rPr>
              <w:t>务，因该系统的框架、核心技术及平台源代码均为原网站系统开发公司自主研发，拥有独立知识产权，故为保证网站数据的安全性和完整性、故障处理的效率性和便利性，中标方必须依法取得原网站管理系统开发公司的授权书。授权书由中标方自行取得，且由此产生的费用自行承担。</w:t>
            </w:r>
          </w:p>
          <w:p w14:paraId="0AEAD5CA" w14:textId="335CCB0F" w:rsidR="008112F9" w:rsidRDefault="00000000">
            <w:pPr>
              <w:spacing w:line="240" w:lineRule="auto"/>
              <w:rPr>
                <w:rFonts w:ascii="仿宋_GB2312" w:eastAsia="仿宋_GB2312" w:hAnsi="仿宋_GB2312" w:cs="仿宋_GB2312" w:hint="eastAsia"/>
                <w:color w:val="000000"/>
              </w:rPr>
            </w:pPr>
            <w:r>
              <w:rPr>
                <w:rFonts w:ascii="仿宋_GB2312" w:eastAsia="仿宋_GB2312" w:hAnsi="仿宋_GB2312" w:cs="仿宋_GB2312" w:hint="eastAsia"/>
                <w:color w:val="000000"/>
              </w:rPr>
              <w:t>★</w:t>
            </w:r>
            <w:r w:rsidR="007D5AD3">
              <w:rPr>
                <w:rFonts w:ascii="仿宋_GB2312" w:eastAsia="仿宋_GB2312" w:hAnsi="仿宋_GB2312" w:cs="仿宋_GB2312" w:hint="eastAsia"/>
                <w:color w:val="000000"/>
              </w:rPr>
              <w:t>2、</w:t>
            </w:r>
            <w:r>
              <w:rPr>
                <w:rFonts w:ascii="仿宋_GB2312" w:eastAsia="仿宋_GB2312" w:hAnsi="仿宋_GB2312" w:cs="仿宋_GB2312" w:hint="eastAsia"/>
                <w:color w:val="000000"/>
              </w:rPr>
              <w:t>本次项目服务期间，若对原系统进行升级改造，需要原系统开发公司协助并且所产生的服务费用都由中标方承担。</w:t>
            </w:r>
          </w:p>
          <w:p w14:paraId="6E186C23" w14:textId="7FC8B968" w:rsidR="008112F9"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color w:val="000000"/>
              </w:rPr>
              <w:t>★</w:t>
            </w:r>
            <w:r w:rsidR="007D5AD3">
              <w:rPr>
                <w:rFonts w:ascii="仿宋_GB2312" w:eastAsia="仿宋_GB2312" w:hAnsi="仿宋_GB2312" w:cs="仿宋_GB2312" w:hint="eastAsia"/>
                <w:color w:val="000000"/>
              </w:rPr>
              <w:t>3、</w:t>
            </w:r>
            <w:proofErr w:type="gramStart"/>
            <w:r>
              <w:rPr>
                <w:rFonts w:ascii="仿宋_GB2312" w:eastAsia="仿宋_GB2312" w:hAnsi="仿宋_GB2312" w:cs="仿宋_GB2312" w:hint="eastAsia"/>
                <w:color w:val="000000"/>
              </w:rPr>
              <w:t>按照等保三级</w:t>
            </w:r>
            <w:proofErr w:type="gramEnd"/>
            <w:r>
              <w:rPr>
                <w:rFonts w:ascii="仿宋_GB2312" w:eastAsia="仿宋_GB2312" w:hAnsi="仿宋_GB2312" w:cs="仿宋_GB2312" w:hint="eastAsia"/>
                <w:color w:val="000000"/>
              </w:rPr>
              <w:t>及供应</w:t>
            </w:r>
            <w:proofErr w:type="gramStart"/>
            <w:r>
              <w:rPr>
                <w:rFonts w:ascii="仿宋_GB2312" w:eastAsia="仿宋_GB2312" w:hAnsi="仿宋_GB2312" w:cs="仿宋_GB2312" w:hint="eastAsia"/>
                <w:color w:val="000000"/>
              </w:rPr>
              <w:t>链要求</w:t>
            </w:r>
            <w:proofErr w:type="gramEnd"/>
            <w:r>
              <w:rPr>
                <w:rFonts w:ascii="仿宋_GB2312" w:eastAsia="仿宋_GB2312" w:hAnsi="仿宋_GB2312" w:cs="仿宋_GB2312" w:hint="eastAsia"/>
                <w:color w:val="000000"/>
              </w:rPr>
              <w:t>进行日常</w:t>
            </w:r>
            <w:proofErr w:type="gramStart"/>
            <w:r>
              <w:rPr>
                <w:rFonts w:ascii="仿宋_GB2312" w:eastAsia="仿宋_GB2312" w:hAnsi="仿宋_GB2312" w:cs="仿宋_GB2312" w:hint="eastAsia"/>
                <w:color w:val="000000"/>
              </w:rPr>
              <w:t>安全运</w:t>
            </w:r>
            <w:proofErr w:type="gramEnd"/>
            <w:r>
              <w:rPr>
                <w:rFonts w:ascii="仿宋_GB2312" w:eastAsia="仿宋_GB2312" w:hAnsi="仿宋_GB2312" w:cs="仿宋_GB2312" w:hint="eastAsia"/>
                <w:color w:val="000000"/>
              </w:rPr>
              <w:t>维，并协助通过每年重保活动、</w:t>
            </w:r>
            <w:proofErr w:type="gramStart"/>
            <w:r>
              <w:rPr>
                <w:rFonts w:ascii="仿宋_GB2312" w:eastAsia="仿宋_GB2312" w:hAnsi="仿宋_GB2312" w:cs="仿宋_GB2312" w:hint="eastAsia"/>
                <w:color w:val="000000"/>
              </w:rPr>
              <w:t>等保三级</w:t>
            </w:r>
            <w:proofErr w:type="gramEnd"/>
            <w:r>
              <w:rPr>
                <w:rFonts w:ascii="仿宋_GB2312" w:eastAsia="仿宋_GB2312" w:hAnsi="仿宋_GB2312" w:cs="仿宋_GB2312" w:hint="eastAsia"/>
                <w:color w:val="000000"/>
              </w:rPr>
              <w:t>测评及供应</w:t>
            </w:r>
            <w:proofErr w:type="gramStart"/>
            <w:r>
              <w:rPr>
                <w:rFonts w:ascii="仿宋_GB2312" w:eastAsia="仿宋_GB2312" w:hAnsi="仿宋_GB2312" w:cs="仿宋_GB2312" w:hint="eastAsia"/>
                <w:color w:val="000000"/>
              </w:rPr>
              <w:t>链安全</w:t>
            </w:r>
            <w:proofErr w:type="gramEnd"/>
            <w:r>
              <w:rPr>
                <w:rFonts w:ascii="仿宋_GB2312" w:eastAsia="仿宋_GB2312" w:hAnsi="仿宋_GB2312" w:cs="仿宋_GB2312" w:hint="eastAsia"/>
                <w:color w:val="000000"/>
              </w:rPr>
              <w:t>整改，整改内容需要对网站系统所有漏洞</w:t>
            </w:r>
            <w:r>
              <w:rPr>
                <w:rFonts w:ascii="仿宋_GB2312" w:eastAsia="仿宋_GB2312" w:hAnsi="仿宋_GB2312" w:cs="仿宋_GB2312" w:hint="eastAsia"/>
                <w:color w:val="000000"/>
              </w:rPr>
              <w:lastRenderedPageBreak/>
              <w:t>进行修复，需要原系统开发公司协助并且所产生的服务费用都由中标方承担。</w:t>
            </w:r>
          </w:p>
          <w:p w14:paraId="39F97F0A" w14:textId="3F4D2801" w:rsidR="008112F9" w:rsidRDefault="00000000">
            <w:pPr>
              <w:spacing w:line="240" w:lineRule="auto"/>
              <w:rPr>
                <w:rFonts w:ascii="仿宋_GB2312" w:eastAsia="仿宋_GB2312" w:hAnsi="仿宋_GB2312" w:cs="仿宋_GB2312" w:hint="eastAsia"/>
              </w:rPr>
            </w:pPr>
            <w:r>
              <w:rPr>
                <w:rFonts w:ascii="仿宋" w:hAnsi="仿宋" w:cs="仿宋" w:hint="eastAsia"/>
                <w:szCs w:val="28"/>
              </w:rPr>
              <w:t>★</w:t>
            </w:r>
            <w:r w:rsidR="007D5AD3">
              <w:rPr>
                <w:rFonts w:ascii="仿宋_GB2312" w:eastAsia="仿宋_GB2312" w:hAnsi="仿宋_GB2312" w:cs="仿宋_GB2312" w:hint="eastAsia"/>
              </w:rPr>
              <w:t>4、</w:t>
            </w:r>
            <w:r>
              <w:rPr>
                <w:rFonts w:ascii="仿宋_GB2312" w:eastAsia="仿宋_GB2312" w:hAnsi="仿宋_GB2312" w:cs="仿宋_GB2312" w:hint="eastAsia"/>
              </w:rPr>
              <w:t>全天候7*24小时运维技术服务：服务响应时间0.5小时，提供专</w:t>
            </w:r>
            <w:proofErr w:type="gramStart"/>
            <w:r>
              <w:rPr>
                <w:rFonts w:ascii="仿宋_GB2312" w:eastAsia="仿宋_GB2312" w:hAnsi="仿宋_GB2312" w:cs="仿宋_GB2312" w:hint="eastAsia"/>
              </w:rPr>
              <w:t>属运维客</w:t>
            </w:r>
            <w:proofErr w:type="gramEnd"/>
            <w:r>
              <w:rPr>
                <w:rFonts w:ascii="仿宋_GB2312" w:eastAsia="仿宋_GB2312" w:hAnsi="仿宋_GB2312" w:cs="仿宋_GB2312" w:hint="eastAsia"/>
              </w:rPr>
              <w:t>服，采购人可随时联系技术支持人员，以便于及时对网站进行各模块修改、内容更新及版面调整、管理系统功能完善和优化。</w:t>
            </w:r>
          </w:p>
          <w:p w14:paraId="338B7415" w14:textId="0E049192" w:rsidR="008112F9" w:rsidRDefault="00000000">
            <w:pPr>
              <w:spacing w:line="240" w:lineRule="auto"/>
              <w:rPr>
                <w:rFonts w:ascii="仿宋_GB2312" w:eastAsia="仿宋_GB2312" w:hAnsi="仿宋_GB2312" w:cs="仿宋_GB2312" w:hint="eastAsia"/>
              </w:rPr>
            </w:pPr>
            <w:r>
              <w:rPr>
                <w:rFonts w:ascii="仿宋" w:hAnsi="仿宋" w:cs="仿宋" w:hint="eastAsia"/>
                <w:szCs w:val="28"/>
              </w:rPr>
              <w:t>★</w:t>
            </w:r>
            <w:r w:rsidR="007D5AD3">
              <w:rPr>
                <w:rFonts w:ascii="仿宋_GB2312" w:eastAsia="仿宋_GB2312" w:hAnsi="仿宋_GB2312" w:cs="仿宋_GB2312" w:hint="eastAsia"/>
              </w:rPr>
              <w:t>5、</w:t>
            </w:r>
            <w:r>
              <w:rPr>
                <w:rFonts w:ascii="仿宋_GB2312" w:eastAsia="仿宋_GB2312" w:hAnsi="仿宋_GB2312" w:cs="仿宋_GB2312" w:hint="eastAsia"/>
              </w:rPr>
              <w:t>回访服务：每日对网站服务进行巡检和数据备份，每月主动电话回访网站需求服务，每年主动现场回访网站需求服务。</w:t>
            </w:r>
          </w:p>
          <w:p w14:paraId="07F10E1E" w14:textId="60515465" w:rsidR="008112F9" w:rsidRDefault="00000000">
            <w:pPr>
              <w:spacing w:line="240" w:lineRule="auto"/>
              <w:rPr>
                <w:rFonts w:ascii="仿宋_GB2312" w:eastAsia="仿宋_GB2312" w:hAnsi="仿宋_GB2312" w:cs="仿宋_GB2312" w:hint="eastAsia"/>
              </w:rPr>
            </w:pPr>
            <w:r>
              <w:rPr>
                <w:rFonts w:ascii="仿宋" w:hAnsi="仿宋" w:cs="仿宋" w:hint="eastAsia"/>
                <w:szCs w:val="28"/>
              </w:rPr>
              <w:t>★</w:t>
            </w:r>
            <w:r w:rsidR="007D5AD3">
              <w:rPr>
                <w:rFonts w:ascii="仿宋_GB2312" w:eastAsia="仿宋_GB2312" w:hAnsi="仿宋_GB2312" w:cs="仿宋_GB2312" w:hint="eastAsia"/>
              </w:rPr>
              <w:t>6、</w:t>
            </w:r>
            <w:r>
              <w:rPr>
                <w:rFonts w:ascii="仿宋_GB2312" w:eastAsia="仿宋_GB2312" w:hAnsi="仿宋_GB2312" w:cs="仿宋_GB2312" w:hint="eastAsia"/>
              </w:rPr>
              <w:t>运维报告：网站维护</w:t>
            </w:r>
            <w:proofErr w:type="gramStart"/>
            <w:r>
              <w:rPr>
                <w:rFonts w:ascii="仿宋_GB2312" w:eastAsia="仿宋_GB2312" w:hAnsi="仿宋_GB2312" w:cs="仿宋_GB2312" w:hint="eastAsia"/>
              </w:rPr>
              <w:t>内容工</w:t>
            </w:r>
            <w:proofErr w:type="gramEnd"/>
            <w:r>
              <w:rPr>
                <w:rFonts w:ascii="仿宋_GB2312" w:eastAsia="仿宋_GB2312" w:hAnsi="仿宋_GB2312" w:cs="仿宋_GB2312" w:hint="eastAsia"/>
              </w:rPr>
              <w:t>单系统记录并形成运维报告，定期向我院发送月度/年度运维报告。</w:t>
            </w:r>
          </w:p>
          <w:p w14:paraId="45B74920" w14:textId="2B1F9609" w:rsidR="008112F9" w:rsidRDefault="00000000">
            <w:pPr>
              <w:pStyle w:val="a0"/>
              <w:spacing w:line="240" w:lineRule="auto"/>
              <w:rPr>
                <w:rFonts w:ascii="仿宋_GB2312" w:eastAsia="仿宋_GB2312" w:hAnsi="仿宋_GB2312" w:cs="仿宋_GB2312" w:hint="eastAsia"/>
              </w:rPr>
            </w:pPr>
            <w:r>
              <w:rPr>
                <w:rFonts w:ascii="仿宋" w:hAnsi="仿宋" w:cs="仿宋" w:hint="eastAsia"/>
                <w:szCs w:val="28"/>
              </w:rPr>
              <w:t>★</w:t>
            </w:r>
            <w:r w:rsidR="007D5AD3">
              <w:rPr>
                <w:rFonts w:ascii="仿宋_GB2312" w:eastAsia="仿宋_GB2312" w:hAnsi="仿宋_GB2312" w:cs="仿宋_GB2312" w:hint="eastAsia"/>
              </w:rPr>
              <w:t>7、</w:t>
            </w:r>
            <w:r>
              <w:rPr>
                <w:rFonts w:ascii="仿宋_GB2312" w:eastAsia="仿宋_GB2312" w:hAnsi="仿宋_GB2312" w:cs="仿宋_GB2312" w:hint="eastAsia"/>
              </w:rPr>
              <w:t>备份服务：每天进行服务器、网站数据库及日至备份。服务器每日14点、23点进行快照备份，全备。服务器出现问题及时修复，保障数据安全，避免造成损失。</w:t>
            </w:r>
          </w:p>
          <w:p w14:paraId="237D1B41" w14:textId="75CBADF5" w:rsidR="008112F9" w:rsidRDefault="00000000">
            <w:pPr>
              <w:pStyle w:val="a0"/>
              <w:spacing w:line="240" w:lineRule="auto"/>
              <w:rPr>
                <w:rFonts w:ascii="仿宋_GB2312" w:eastAsia="仿宋_GB2312" w:hAnsi="仿宋_GB2312" w:cs="仿宋_GB2312" w:hint="eastAsia"/>
              </w:rPr>
            </w:pPr>
            <w:r>
              <w:rPr>
                <w:rFonts w:ascii="仿宋" w:hAnsi="仿宋" w:cs="仿宋" w:hint="eastAsia"/>
                <w:szCs w:val="28"/>
              </w:rPr>
              <w:t>★</w:t>
            </w:r>
            <w:r w:rsidR="007D5AD3">
              <w:rPr>
                <w:rFonts w:ascii="仿宋_GB2312" w:eastAsia="仿宋_GB2312" w:hAnsi="仿宋_GB2312" w:cs="仿宋_GB2312" w:hint="eastAsia"/>
              </w:rPr>
              <w:t>8、</w:t>
            </w:r>
            <w:r>
              <w:rPr>
                <w:rFonts w:ascii="仿宋_GB2312" w:eastAsia="仿宋_GB2312" w:hAnsi="仿宋_GB2312" w:cs="仿宋_GB2312" w:hint="eastAsia"/>
              </w:rPr>
              <w:t>数据导出：网站数据能随时导出，便于采购人及时查看网站访问量等。</w:t>
            </w:r>
          </w:p>
          <w:p w14:paraId="118B6329" w14:textId="21DD9647" w:rsidR="008112F9" w:rsidRDefault="00000000">
            <w:pPr>
              <w:pStyle w:val="a0"/>
              <w:spacing w:line="240" w:lineRule="auto"/>
              <w:rPr>
                <w:rFonts w:ascii="仿宋_GB2312" w:eastAsia="仿宋_GB2312" w:hAnsi="仿宋_GB2312" w:cs="仿宋_GB2312" w:hint="eastAsia"/>
              </w:rPr>
            </w:pPr>
            <w:r>
              <w:rPr>
                <w:rFonts w:ascii="仿宋" w:hAnsi="仿宋" w:cs="仿宋" w:hint="eastAsia"/>
                <w:szCs w:val="28"/>
              </w:rPr>
              <w:t>★</w:t>
            </w:r>
            <w:r w:rsidR="007D5AD3">
              <w:rPr>
                <w:rFonts w:ascii="仿宋_GB2312" w:eastAsia="仿宋_GB2312" w:hAnsi="仿宋_GB2312" w:cs="仿宋_GB2312" w:hint="eastAsia"/>
              </w:rPr>
              <w:t>9</w:t>
            </w:r>
            <w:r>
              <w:rPr>
                <w:rFonts w:ascii="仿宋_GB2312" w:eastAsia="仿宋_GB2312" w:hAnsi="仿宋_GB2312" w:cs="仿宋_GB2312" w:hint="eastAsia"/>
              </w:rPr>
              <w:t>、</w:t>
            </w:r>
            <w:proofErr w:type="gramStart"/>
            <w:r>
              <w:rPr>
                <w:rFonts w:ascii="仿宋_GB2312" w:eastAsia="仿宋_GB2312" w:hAnsi="仿宋_GB2312" w:cs="仿宋_GB2312" w:hint="eastAsia"/>
              </w:rPr>
              <w:t>等保测评</w:t>
            </w:r>
            <w:proofErr w:type="gramEnd"/>
            <w:r>
              <w:rPr>
                <w:rFonts w:ascii="仿宋_GB2312" w:eastAsia="仿宋_GB2312" w:hAnsi="仿宋_GB2312" w:cs="仿宋_GB2312" w:hint="eastAsia"/>
              </w:rPr>
              <w:t>：提供完整的</w:t>
            </w:r>
            <w:proofErr w:type="gramStart"/>
            <w:r>
              <w:rPr>
                <w:rFonts w:ascii="仿宋_GB2312" w:eastAsia="仿宋_GB2312" w:hAnsi="仿宋_GB2312" w:cs="仿宋_GB2312" w:hint="eastAsia"/>
              </w:rPr>
              <w:t>网站等保测评</w:t>
            </w:r>
            <w:proofErr w:type="gramEnd"/>
            <w:r>
              <w:rPr>
                <w:rFonts w:ascii="仿宋_GB2312" w:eastAsia="仿宋_GB2312" w:hAnsi="仿宋_GB2312" w:cs="仿宋_GB2312" w:hint="eastAsia"/>
              </w:rPr>
              <w:t>安全服务指导方案，协助采购人</w:t>
            </w:r>
            <w:proofErr w:type="gramStart"/>
            <w:r>
              <w:rPr>
                <w:rFonts w:ascii="仿宋_GB2312" w:eastAsia="仿宋_GB2312" w:hAnsi="仿宋_GB2312" w:cs="仿宋_GB2312" w:hint="eastAsia"/>
              </w:rPr>
              <w:t>通过等保测评</w:t>
            </w:r>
            <w:proofErr w:type="gramEnd"/>
            <w:r>
              <w:rPr>
                <w:rFonts w:ascii="仿宋_GB2312" w:eastAsia="仿宋_GB2312" w:hAnsi="仿宋_GB2312" w:cs="仿宋_GB2312" w:hint="eastAsia"/>
              </w:rPr>
              <w:t>。</w:t>
            </w:r>
          </w:p>
          <w:p w14:paraId="2B67C781" w14:textId="4CDAE873" w:rsidR="008112F9" w:rsidRDefault="00000000">
            <w:pPr>
              <w:pStyle w:val="a0"/>
              <w:spacing w:line="240" w:lineRule="auto"/>
              <w:rPr>
                <w:rFonts w:ascii="仿宋_GB2312" w:eastAsia="仿宋_GB2312" w:hAnsi="仿宋_GB2312" w:cs="仿宋_GB2312" w:hint="eastAsia"/>
              </w:rPr>
            </w:pPr>
            <w:r>
              <w:rPr>
                <w:rFonts w:ascii="仿宋" w:hAnsi="仿宋" w:cs="仿宋" w:hint="eastAsia"/>
                <w:szCs w:val="28"/>
              </w:rPr>
              <w:t>★</w:t>
            </w:r>
            <w:r w:rsidR="007D5AD3">
              <w:rPr>
                <w:rFonts w:ascii="仿宋_GB2312" w:eastAsia="仿宋_GB2312" w:hAnsi="仿宋_GB2312" w:cs="仿宋_GB2312" w:hint="eastAsia"/>
              </w:rPr>
              <w:t>10</w:t>
            </w:r>
            <w:r>
              <w:rPr>
                <w:rFonts w:ascii="仿宋_GB2312" w:eastAsia="仿宋_GB2312" w:hAnsi="仿宋_GB2312" w:cs="仿宋_GB2312" w:hint="eastAsia"/>
              </w:rPr>
              <w:t>、网站安全保障：出现</w:t>
            </w:r>
            <w:proofErr w:type="gramStart"/>
            <w:r>
              <w:rPr>
                <w:rFonts w:ascii="仿宋_GB2312" w:eastAsia="仿宋_GB2312" w:hAnsi="仿宋_GB2312" w:cs="仿宋_GB2312" w:hint="eastAsia"/>
              </w:rPr>
              <w:t>非法外链排查</w:t>
            </w:r>
            <w:proofErr w:type="gramEnd"/>
            <w:r>
              <w:rPr>
                <w:rFonts w:ascii="仿宋_GB2312" w:eastAsia="仿宋_GB2312" w:hAnsi="仿宋_GB2312" w:cs="仿宋_GB2312" w:hint="eastAsia"/>
              </w:rPr>
              <w:t>记录、网</w:t>
            </w:r>
            <w:r>
              <w:rPr>
                <w:rFonts w:ascii="仿宋_GB2312" w:eastAsia="仿宋_GB2312" w:hAnsi="仿宋_GB2312" w:cs="仿宋_GB2312" w:hint="eastAsia"/>
              </w:rPr>
              <w:lastRenderedPageBreak/>
              <w:t>站重大内容排查（关键字）、网站漏洞修复、云监控检测服务、网站应急关停服务（重大节假日期间）、重大活动、攻防演练提供安全加固升级方案指导。</w:t>
            </w:r>
          </w:p>
          <w:p w14:paraId="475D6EC3" w14:textId="051468A2" w:rsidR="008112F9" w:rsidRDefault="00000000">
            <w:pPr>
              <w:pStyle w:val="a0"/>
              <w:spacing w:line="240" w:lineRule="auto"/>
              <w:rPr>
                <w:rFonts w:ascii="仿宋_GB2312" w:eastAsia="仿宋_GB2312" w:hAnsi="仿宋_GB2312" w:cs="仿宋_GB2312" w:hint="eastAsia"/>
              </w:rPr>
            </w:pPr>
            <w:r>
              <w:rPr>
                <w:rFonts w:ascii="仿宋" w:hAnsi="仿宋" w:cs="仿宋" w:hint="eastAsia"/>
                <w:szCs w:val="28"/>
              </w:rPr>
              <w:t>★</w:t>
            </w:r>
            <w:r w:rsidR="007D5AD3">
              <w:rPr>
                <w:rFonts w:ascii="仿宋_GB2312" w:eastAsia="仿宋_GB2312" w:hAnsi="仿宋_GB2312" w:cs="仿宋_GB2312" w:hint="eastAsia"/>
              </w:rPr>
              <w:t>11、</w:t>
            </w:r>
            <w:r>
              <w:rPr>
                <w:rFonts w:ascii="仿宋_GB2312" w:eastAsia="仿宋_GB2312" w:hAnsi="仿宋_GB2312" w:cs="仿宋_GB2312" w:hint="eastAsia"/>
              </w:rPr>
              <w:t>服务器性能监控服务：服务器的各项指标性能监控（含CPU、内存、磁盘、流量），制定报警规则，配置服务器安全组，每天对系统进行检查，服务器出现安全隐患或异常及时通知并处理。</w:t>
            </w:r>
          </w:p>
          <w:p w14:paraId="666F12F1" w14:textId="7AFED50E" w:rsidR="008112F9" w:rsidRDefault="00000000">
            <w:pPr>
              <w:spacing w:line="240" w:lineRule="auto"/>
              <w:rPr>
                <w:rFonts w:ascii="仿宋_GB2312" w:eastAsia="仿宋_GB2312" w:hAnsi="仿宋_GB2312" w:cs="仿宋_GB2312" w:hint="eastAsia"/>
              </w:rPr>
            </w:pPr>
            <w:r>
              <w:rPr>
                <w:rFonts w:ascii="仿宋" w:hAnsi="仿宋" w:cs="仿宋" w:hint="eastAsia"/>
                <w:szCs w:val="28"/>
              </w:rPr>
              <w:t>★</w:t>
            </w:r>
            <w:r w:rsidR="007D5AD3">
              <w:rPr>
                <w:rFonts w:ascii="仿宋_GB2312" w:eastAsia="仿宋_GB2312" w:hAnsi="仿宋_GB2312" w:cs="仿宋_GB2312" w:hint="eastAsia"/>
              </w:rPr>
              <w:t>12、</w:t>
            </w:r>
            <w:r>
              <w:rPr>
                <w:rFonts w:ascii="仿宋_GB2312" w:eastAsia="仿宋_GB2312" w:hAnsi="仿宋_GB2312" w:cs="仿宋_GB2312" w:hint="eastAsia"/>
              </w:rPr>
              <w:t>备案服务：工业和信息化部政务服务平台备案、全国互联网安全管理服务平台备案。</w:t>
            </w:r>
          </w:p>
          <w:p w14:paraId="4E369B2A" w14:textId="1D4081DC" w:rsidR="008112F9" w:rsidRDefault="00000000">
            <w:pPr>
              <w:pStyle w:val="a0"/>
              <w:spacing w:line="240" w:lineRule="auto"/>
              <w:rPr>
                <w:rFonts w:ascii="仿宋_GB2312" w:eastAsia="仿宋_GB2312" w:hAnsi="仿宋_GB2312" w:cs="仿宋_GB2312" w:hint="eastAsia"/>
              </w:rPr>
            </w:pPr>
            <w:r>
              <w:rPr>
                <w:rFonts w:ascii="仿宋" w:hAnsi="仿宋" w:cs="仿宋" w:hint="eastAsia"/>
                <w:szCs w:val="28"/>
              </w:rPr>
              <w:t>★</w:t>
            </w:r>
            <w:r w:rsidR="007D5AD3">
              <w:rPr>
                <w:rFonts w:ascii="仿宋_GB2312" w:eastAsia="仿宋_GB2312" w:hAnsi="仿宋_GB2312" w:cs="仿宋_GB2312" w:hint="eastAsia"/>
              </w:rPr>
              <w:t>13、</w:t>
            </w:r>
            <w:r>
              <w:rPr>
                <w:rFonts w:ascii="仿宋_GB2312" w:eastAsia="仿宋_GB2312" w:hAnsi="仿宋_GB2312" w:cs="仿宋_GB2312" w:hint="eastAsia"/>
              </w:rPr>
              <w:t>续费提醒服务：提供域名管理</w:t>
            </w:r>
            <w:proofErr w:type="gramStart"/>
            <w:r>
              <w:rPr>
                <w:rFonts w:ascii="仿宋_GB2312" w:eastAsia="仿宋_GB2312" w:hAnsi="仿宋_GB2312" w:cs="仿宋_GB2312" w:hint="eastAsia"/>
              </w:rPr>
              <w:t>及续费</w:t>
            </w:r>
            <w:proofErr w:type="gramEnd"/>
            <w:r>
              <w:rPr>
                <w:rFonts w:ascii="仿宋_GB2312" w:eastAsia="仿宋_GB2312" w:hAnsi="仿宋_GB2312" w:cs="仿宋_GB2312" w:hint="eastAsia"/>
              </w:rPr>
              <w:t>提醒、安全产品到期续费提醒等。</w:t>
            </w:r>
          </w:p>
        </w:tc>
      </w:tr>
      <w:tr w:rsidR="008112F9" w14:paraId="1DC02092" w14:textId="77777777">
        <w:trPr>
          <w:trHeight w:val="557"/>
        </w:trPr>
        <w:tc>
          <w:tcPr>
            <w:tcW w:w="330" w:type="pct"/>
            <w:vAlign w:val="center"/>
          </w:tcPr>
          <w:p w14:paraId="286142C8" w14:textId="77777777" w:rsidR="008112F9" w:rsidRDefault="008112F9">
            <w:pPr>
              <w:pStyle w:val="ad"/>
              <w:numPr>
                <w:ilvl w:val="0"/>
                <w:numId w:val="1"/>
              </w:numPr>
              <w:autoSpaceDE w:val="0"/>
              <w:autoSpaceDN w:val="0"/>
              <w:spacing w:line="240" w:lineRule="auto"/>
              <w:ind w:firstLineChars="0"/>
              <w:jc w:val="center"/>
              <w:rPr>
                <w:rFonts w:ascii="仿宋_GB2312" w:eastAsia="仿宋_GB2312" w:hAnsi="仿宋_GB2312" w:cs="仿宋_GB2312" w:hint="eastAsia"/>
                <w:sz w:val="24"/>
                <w:szCs w:val="24"/>
              </w:rPr>
            </w:pPr>
          </w:p>
        </w:tc>
        <w:tc>
          <w:tcPr>
            <w:tcW w:w="807" w:type="pct"/>
            <w:shd w:val="clear" w:color="auto" w:fill="auto"/>
            <w:tcMar>
              <w:top w:w="0" w:type="dxa"/>
              <w:left w:w="108" w:type="dxa"/>
              <w:bottom w:w="0" w:type="dxa"/>
              <w:right w:w="108" w:type="dxa"/>
            </w:tcMar>
            <w:vAlign w:val="center"/>
          </w:tcPr>
          <w:p w14:paraId="364BA84E" w14:textId="77777777" w:rsidR="008112F9" w:rsidRDefault="00000000">
            <w:pPr>
              <w:widowControl/>
              <w:spacing w:line="240" w:lineRule="auto"/>
              <w:textAlignment w:val="center"/>
              <w:rPr>
                <w:rFonts w:ascii="仿宋_GB2312" w:eastAsia="仿宋_GB2312" w:hAnsi="仿宋_GB2312" w:cs="仿宋_GB2312" w:hint="eastAsia"/>
                <w:color w:val="000000"/>
              </w:rPr>
            </w:pPr>
            <w:r>
              <w:rPr>
                <w:rFonts w:ascii="仿宋_GB2312" w:eastAsia="仿宋_GB2312" w:hAnsi="仿宋_GB2312" w:cs="仿宋_GB2312" w:hint="eastAsia"/>
                <w:color w:val="000000"/>
              </w:rPr>
              <w:t>技术部分</w:t>
            </w:r>
          </w:p>
        </w:tc>
        <w:tc>
          <w:tcPr>
            <w:tcW w:w="3863" w:type="pct"/>
            <w:shd w:val="clear" w:color="auto" w:fill="auto"/>
            <w:tcMar>
              <w:top w:w="0" w:type="dxa"/>
              <w:left w:w="108" w:type="dxa"/>
              <w:bottom w:w="0" w:type="dxa"/>
              <w:right w:w="108" w:type="dxa"/>
            </w:tcMar>
            <w:vAlign w:val="center"/>
          </w:tcPr>
          <w:p w14:paraId="377C0FF0" w14:textId="53E3D387" w:rsidR="008112F9" w:rsidRDefault="00000000">
            <w:pPr>
              <w:pStyle w:val="a0"/>
              <w:spacing w:line="240" w:lineRule="auto"/>
              <w:rPr>
                <w:rFonts w:ascii="仿宋_GB2312" w:eastAsia="仿宋_GB2312" w:hAnsi="仿宋_GB2312" w:cs="仿宋_GB2312" w:hint="eastAsia"/>
              </w:rPr>
            </w:pPr>
            <w:r>
              <w:rPr>
                <w:rFonts w:ascii="仿宋_GB2312" w:eastAsia="仿宋_GB2312" w:hAnsi="仿宋_GB2312" w:cs="仿宋_GB2312" w:hint="eastAsia"/>
              </w:rPr>
              <w:t>★1</w:t>
            </w:r>
            <w:r w:rsidR="007D5AD3">
              <w:rPr>
                <w:rFonts w:ascii="仿宋_GB2312" w:eastAsia="仿宋_GB2312" w:hAnsi="仿宋_GB2312" w:cs="仿宋_GB2312" w:hint="eastAsia"/>
              </w:rPr>
              <w:t>、</w:t>
            </w:r>
            <w:r>
              <w:rPr>
                <w:rFonts w:ascii="仿宋_GB2312" w:eastAsia="仿宋_GB2312" w:hAnsi="仿宋_GB2312" w:cs="仿宋_GB2312" w:hint="eastAsia"/>
              </w:rPr>
              <w:t>支持网页后门（</w:t>
            </w:r>
            <w:proofErr w:type="spellStart"/>
            <w:r>
              <w:rPr>
                <w:rFonts w:ascii="仿宋_GB2312" w:eastAsia="仿宋_GB2312" w:hAnsi="仿宋_GB2312" w:cs="仿宋_GB2312" w:hint="eastAsia"/>
              </w:rPr>
              <w:t>webshell</w:t>
            </w:r>
            <w:proofErr w:type="spellEnd"/>
            <w:r>
              <w:rPr>
                <w:rFonts w:ascii="仿宋_GB2312" w:eastAsia="仿宋_GB2312" w:hAnsi="仿宋_GB2312" w:cs="仿宋_GB2312" w:hint="eastAsia"/>
              </w:rPr>
              <w:t>）查杀，分为静态查杀引擎和动态查杀引擎；</w:t>
            </w:r>
          </w:p>
          <w:p w14:paraId="51BEDA51" w14:textId="17B613C8" w:rsidR="008112F9" w:rsidRDefault="00000000">
            <w:pPr>
              <w:pStyle w:val="a0"/>
              <w:spacing w:line="240" w:lineRule="auto"/>
              <w:rPr>
                <w:rFonts w:ascii="仿宋_GB2312" w:eastAsia="仿宋_GB2312" w:hAnsi="仿宋_GB2312" w:cs="仿宋_GB2312" w:hint="eastAsia"/>
              </w:rPr>
            </w:pPr>
            <w:r>
              <w:rPr>
                <w:rFonts w:ascii="仿宋_GB2312" w:eastAsia="仿宋_GB2312" w:hAnsi="仿宋_GB2312" w:cs="仿宋_GB2312" w:hint="eastAsia"/>
              </w:rPr>
              <w:t>★2</w:t>
            </w:r>
            <w:r w:rsidR="007D5AD3">
              <w:rPr>
                <w:rFonts w:ascii="仿宋_GB2312" w:eastAsia="仿宋_GB2312" w:hAnsi="仿宋_GB2312" w:cs="仿宋_GB2312" w:hint="eastAsia"/>
              </w:rPr>
              <w:t>、</w:t>
            </w:r>
            <w:r>
              <w:rPr>
                <w:rFonts w:ascii="仿宋_GB2312" w:eastAsia="仿宋_GB2312" w:hAnsi="仿宋_GB2312" w:cs="仿宋_GB2312" w:hint="eastAsia"/>
              </w:rPr>
              <w:t>支持黑白名单管理：支持通过设置IP地址为黑名单地址或者白名单地址，调整指定IP/IP段对网站的访问权限。支持的设置有白名单、黑名单、封禁区域、爬虫白名单。</w:t>
            </w:r>
          </w:p>
          <w:p w14:paraId="65A38871" w14:textId="6B507A53" w:rsidR="008112F9" w:rsidRDefault="00000000">
            <w:pPr>
              <w:pStyle w:val="a0"/>
              <w:spacing w:line="240" w:lineRule="auto"/>
              <w:rPr>
                <w:rFonts w:ascii="仿宋_GB2312" w:eastAsia="仿宋_GB2312" w:hAnsi="仿宋_GB2312" w:cs="仿宋_GB2312" w:hint="eastAsia"/>
              </w:rPr>
            </w:pPr>
            <w:r>
              <w:rPr>
                <w:rFonts w:ascii="仿宋_GB2312" w:eastAsia="仿宋_GB2312" w:hAnsi="仿宋_GB2312" w:cs="仿宋_GB2312" w:hint="eastAsia"/>
              </w:rPr>
              <w:t>★3</w:t>
            </w:r>
            <w:r w:rsidR="007D5AD3">
              <w:rPr>
                <w:rFonts w:ascii="仿宋_GB2312" w:eastAsia="仿宋_GB2312" w:hAnsi="仿宋_GB2312" w:cs="仿宋_GB2312" w:hint="eastAsia"/>
              </w:rPr>
              <w:t>、</w:t>
            </w:r>
            <w:r>
              <w:rPr>
                <w:rFonts w:ascii="仿宋_GB2312" w:eastAsia="仿宋_GB2312" w:hAnsi="仿宋_GB2312" w:cs="仿宋_GB2312" w:hint="eastAsia"/>
              </w:rPr>
              <w:t>支持攻击分析：支持对攻击事件源和攻击源事件的分析；支持从多个维度挖掘攻击者IP的地理信息、活跃度、攻击手法特征、攻击次数、攻击服务器范围等并进行画像分析和威胁程度排名，提供攻</w:t>
            </w:r>
            <w:r>
              <w:rPr>
                <w:rFonts w:ascii="仿宋_GB2312" w:eastAsia="仿宋_GB2312" w:hAnsi="仿宋_GB2312" w:cs="仿宋_GB2312" w:hint="eastAsia"/>
              </w:rPr>
              <w:lastRenderedPageBreak/>
              <w:t>击IP风险分布图、攻击IP地理分布图、最近30天攻击IP列表。</w:t>
            </w:r>
          </w:p>
          <w:p w14:paraId="4C69C99A" w14:textId="1C099919" w:rsidR="008112F9" w:rsidRDefault="00000000">
            <w:pPr>
              <w:pStyle w:val="a0"/>
              <w:spacing w:line="240" w:lineRule="auto"/>
              <w:rPr>
                <w:rFonts w:ascii="仿宋_GB2312" w:eastAsia="仿宋_GB2312" w:hAnsi="仿宋_GB2312" w:cs="仿宋_GB2312" w:hint="eastAsia"/>
              </w:rPr>
            </w:pPr>
            <w:r>
              <w:rPr>
                <w:rFonts w:ascii="仿宋_GB2312" w:eastAsia="仿宋_GB2312" w:hAnsi="仿宋_GB2312" w:cs="仿宋_GB2312" w:hint="eastAsia"/>
              </w:rPr>
              <w:t>★4</w:t>
            </w:r>
            <w:r w:rsidR="007D5AD3">
              <w:rPr>
                <w:rFonts w:ascii="仿宋_GB2312" w:eastAsia="仿宋_GB2312" w:hAnsi="仿宋_GB2312" w:cs="仿宋_GB2312" w:hint="eastAsia"/>
              </w:rPr>
              <w:t>、</w:t>
            </w:r>
            <w:r>
              <w:rPr>
                <w:rFonts w:ascii="仿宋_GB2312" w:eastAsia="仿宋_GB2312" w:hAnsi="仿宋_GB2312" w:cs="仿宋_GB2312" w:hint="eastAsia"/>
              </w:rPr>
              <w:t>入侵检测：处理各类入侵事件及具有高度威胁的事件，支持识别并处置的入侵威胁事件包括：病毒木马、网页后门、反弹shell、异常账号、日志删除、异常登录、异常进程、系统命令校验等。服务商需要对接国内外主流病毒查杀引擎，采用不少于4个的多引擎查杀，可检测出恶意进程及软件，并提供隔离、信任等功能。</w:t>
            </w:r>
          </w:p>
          <w:p w14:paraId="1FDCFE7E" w14:textId="12B40CAD" w:rsidR="008112F9" w:rsidRDefault="00000000">
            <w:pPr>
              <w:pStyle w:val="a0"/>
              <w:spacing w:line="240" w:lineRule="auto"/>
              <w:rPr>
                <w:rFonts w:ascii="仿宋_GB2312" w:eastAsia="仿宋_GB2312" w:hAnsi="仿宋_GB2312" w:cs="仿宋_GB2312" w:hint="eastAsia"/>
              </w:rPr>
            </w:pPr>
            <w:r>
              <w:rPr>
                <w:rFonts w:ascii="仿宋_GB2312" w:eastAsia="仿宋_GB2312" w:hAnsi="仿宋_GB2312" w:cs="仿宋_GB2312" w:hint="eastAsia"/>
              </w:rPr>
              <w:t>★5</w:t>
            </w:r>
            <w:r w:rsidR="007D5AD3">
              <w:rPr>
                <w:rFonts w:ascii="仿宋_GB2312" w:eastAsia="仿宋_GB2312" w:hAnsi="仿宋_GB2312" w:cs="仿宋_GB2312" w:hint="eastAsia"/>
              </w:rPr>
              <w:t>、</w:t>
            </w:r>
            <w:r>
              <w:rPr>
                <w:rFonts w:ascii="仿宋_GB2312" w:eastAsia="仿宋_GB2312" w:hAnsi="仿宋_GB2312" w:cs="仿宋_GB2312" w:hint="eastAsia"/>
              </w:rPr>
              <w:t>可用于集中管理资产权限，全程监控操作行为，实时还原运维场景，保障云端运维身份可鉴别、权限可管控、风险可阻断、操作可审计，助力</w:t>
            </w:r>
            <w:proofErr w:type="gramStart"/>
            <w:r>
              <w:rPr>
                <w:rFonts w:ascii="仿宋_GB2312" w:eastAsia="仿宋_GB2312" w:hAnsi="仿宋_GB2312" w:cs="仿宋_GB2312" w:hint="eastAsia"/>
              </w:rPr>
              <w:t>等保合规</w:t>
            </w:r>
            <w:proofErr w:type="gramEnd"/>
            <w:r>
              <w:rPr>
                <w:rFonts w:ascii="仿宋_GB2312" w:eastAsia="仿宋_GB2312" w:hAnsi="仿宋_GB2312" w:cs="仿宋_GB2312" w:hint="eastAsia"/>
              </w:rPr>
              <w:t>。</w:t>
            </w:r>
          </w:p>
          <w:p w14:paraId="7C1BF7A5" w14:textId="448AE8C8" w:rsidR="008112F9" w:rsidRDefault="00000000">
            <w:pPr>
              <w:pStyle w:val="a0"/>
              <w:spacing w:line="240" w:lineRule="auto"/>
              <w:rPr>
                <w:rFonts w:ascii="仿宋_GB2312" w:eastAsia="仿宋_GB2312" w:hAnsi="仿宋_GB2312" w:cs="仿宋_GB2312" w:hint="eastAsia"/>
              </w:rPr>
            </w:pPr>
            <w:r>
              <w:rPr>
                <w:rFonts w:ascii="仿宋_GB2312" w:eastAsia="仿宋_GB2312" w:hAnsi="仿宋_GB2312" w:cs="仿宋_GB2312" w:hint="eastAsia"/>
              </w:rPr>
              <w:t>★6</w:t>
            </w:r>
            <w:r w:rsidR="007D5AD3">
              <w:rPr>
                <w:rFonts w:ascii="仿宋_GB2312" w:eastAsia="仿宋_GB2312" w:hAnsi="仿宋_GB2312" w:cs="仿宋_GB2312" w:hint="eastAsia"/>
              </w:rPr>
              <w:t>、</w:t>
            </w:r>
            <w:r>
              <w:rPr>
                <w:rFonts w:ascii="仿宋_GB2312" w:eastAsia="仿宋_GB2312" w:hAnsi="仿宋_GB2312" w:cs="仿宋_GB2312" w:hint="eastAsia"/>
              </w:rPr>
              <w:t>建立统一</w:t>
            </w:r>
            <w:proofErr w:type="gramStart"/>
            <w:r>
              <w:rPr>
                <w:rFonts w:ascii="仿宋_GB2312" w:eastAsia="仿宋_GB2312" w:hAnsi="仿宋_GB2312" w:cs="仿宋_GB2312" w:hint="eastAsia"/>
              </w:rPr>
              <w:t>安全运</w:t>
            </w:r>
            <w:proofErr w:type="gramEnd"/>
            <w:r>
              <w:rPr>
                <w:rFonts w:ascii="仿宋_GB2312" w:eastAsia="仿宋_GB2312" w:hAnsi="仿宋_GB2312" w:cs="仿宋_GB2312" w:hint="eastAsia"/>
              </w:rPr>
              <w:t>维通道，通过运维权限细粒度管控、风险命令实时阻断、密码无感知托管、操作行为录播审计等，解决“众多资产难管理”、“运维职责权限不清晰”以及“运维事件难追溯”等问题。</w:t>
            </w:r>
          </w:p>
          <w:p w14:paraId="6F90B6C2" w14:textId="3C15A6AB" w:rsidR="008112F9" w:rsidRDefault="00000000">
            <w:pPr>
              <w:pStyle w:val="a0"/>
              <w:spacing w:line="240" w:lineRule="auto"/>
              <w:rPr>
                <w:rFonts w:ascii="仿宋_GB2312" w:eastAsia="仿宋_GB2312" w:hAnsi="仿宋_GB2312" w:cs="仿宋_GB2312" w:hint="eastAsia"/>
                <w:b/>
                <w:bCs/>
              </w:rPr>
            </w:pPr>
            <w:r>
              <w:rPr>
                <w:rFonts w:ascii="仿宋_GB2312" w:eastAsia="仿宋_GB2312" w:hAnsi="仿宋_GB2312" w:cs="仿宋_GB2312" w:hint="eastAsia"/>
              </w:rPr>
              <w:t>★7</w:t>
            </w:r>
            <w:r w:rsidR="007D5AD3">
              <w:rPr>
                <w:rFonts w:ascii="仿宋_GB2312" w:eastAsia="仿宋_GB2312" w:hAnsi="仿宋_GB2312" w:cs="仿宋_GB2312" w:hint="eastAsia"/>
              </w:rPr>
              <w:t>、</w:t>
            </w:r>
            <w:r>
              <w:rPr>
                <w:rFonts w:ascii="仿宋_GB2312" w:eastAsia="仿宋_GB2312" w:hAnsi="仿宋_GB2312" w:cs="仿宋_GB2312" w:hint="eastAsia"/>
              </w:rPr>
              <w:t xml:space="preserve"> 支持高危风险命令实时阻断，保障运</w:t>
            </w:r>
            <w:proofErr w:type="gramStart"/>
            <w:r>
              <w:rPr>
                <w:rFonts w:ascii="仿宋_GB2312" w:eastAsia="仿宋_GB2312" w:hAnsi="仿宋_GB2312" w:cs="仿宋_GB2312" w:hint="eastAsia"/>
              </w:rPr>
              <w:t>维过程</w:t>
            </w:r>
            <w:proofErr w:type="gramEnd"/>
            <w:r>
              <w:rPr>
                <w:rFonts w:ascii="仿宋_GB2312" w:eastAsia="仿宋_GB2312" w:hAnsi="仿宋_GB2312" w:cs="仿宋_GB2312" w:hint="eastAsia"/>
              </w:rPr>
              <w:t>中的业务系统安全</w:t>
            </w:r>
            <w:r w:rsidR="00592FB1">
              <w:rPr>
                <w:rFonts w:ascii="仿宋_GB2312" w:eastAsia="仿宋_GB2312" w:hAnsi="仿宋_GB2312" w:cs="仿宋_GB2312" w:hint="eastAsia"/>
              </w:rPr>
              <w:t>。</w:t>
            </w:r>
          </w:p>
        </w:tc>
      </w:tr>
    </w:tbl>
    <w:p w14:paraId="71FC05BA" w14:textId="77777777" w:rsidR="008112F9" w:rsidRDefault="00000000">
      <w:pPr>
        <w:rPr>
          <w:rFonts w:ascii="仿宋_GB2312" w:eastAsia="仿宋_GB2312" w:hAnsi="仿宋_GB2312" w:cs="仿宋_GB2312" w:hint="eastAsia"/>
        </w:rPr>
      </w:pPr>
      <w:r>
        <w:rPr>
          <w:rFonts w:ascii="仿宋" w:hAnsi="仿宋" w:cs="仿宋" w:hint="eastAsia"/>
          <w:szCs w:val="28"/>
        </w:rPr>
        <w:lastRenderedPageBreak/>
        <w:t>★</w:t>
      </w:r>
      <w:r>
        <w:rPr>
          <w:rFonts w:ascii="仿宋_GB2312" w:eastAsia="仿宋_GB2312" w:hAnsi="仿宋_GB2312" w:cs="仿宋_GB2312" w:hint="eastAsia"/>
          <w:b/>
          <w:bCs/>
        </w:rPr>
        <w:t>三、商务要求</w:t>
      </w:r>
    </w:p>
    <w:p w14:paraId="6C74A6E2" w14:textId="77777777" w:rsidR="008112F9" w:rsidRDefault="00000000">
      <w:pPr>
        <w:pStyle w:val="2"/>
        <w:spacing w:before="0" w:after="0" w:line="360" w:lineRule="auto"/>
        <w:ind w:firstLineChars="200" w:firstLine="562"/>
        <w:contextualSpacing/>
        <w:rPr>
          <w:rFonts w:ascii="仿宋_GB2312" w:eastAsia="仿宋_GB2312" w:hAnsi="仿宋_GB2312" w:cs="仿宋_GB2312" w:hint="eastAsia"/>
          <w:bCs w:val="0"/>
          <w:sz w:val="28"/>
          <w:szCs w:val="28"/>
        </w:rPr>
      </w:pPr>
      <w:r>
        <w:rPr>
          <w:rFonts w:ascii="仿宋_GB2312" w:eastAsia="仿宋_GB2312" w:hAnsi="仿宋_GB2312" w:cs="仿宋_GB2312" w:hint="eastAsia"/>
          <w:bCs w:val="0"/>
          <w:sz w:val="28"/>
          <w:szCs w:val="28"/>
        </w:rPr>
        <w:lastRenderedPageBreak/>
        <w:t>1．</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val="0"/>
          <w:sz w:val="28"/>
          <w:szCs w:val="28"/>
        </w:rPr>
        <w:t>项目实施完成期限及地点</w:t>
      </w:r>
    </w:p>
    <w:p w14:paraId="523315AD" w14:textId="77777777" w:rsidR="008112F9" w:rsidRDefault="00000000">
      <w:pPr>
        <w:ind w:firstLineChars="200" w:firstLine="560"/>
        <w:contextualSpacing/>
        <w:rPr>
          <w:rFonts w:ascii="仿宋_GB2312" w:eastAsia="仿宋_GB2312" w:hAnsi="仿宋_GB2312" w:cs="仿宋_GB2312" w:hint="eastAsia"/>
          <w:szCs w:val="28"/>
        </w:rPr>
      </w:pPr>
      <w:r>
        <w:rPr>
          <w:rFonts w:ascii="仿宋_GB2312" w:eastAsia="仿宋_GB2312" w:hAnsi="仿宋_GB2312" w:cs="仿宋_GB2312" w:hint="eastAsia"/>
          <w:szCs w:val="28"/>
        </w:rPr>
        <w:t>1.1 交付期限：合同签订后60日历日内完成加固、验收。</w:t>
      </w:r>
    </w:p>
    <w:p w14:paraId="0CD36524" w14:textId="77777777" w:rsidR="008112F9" w:rsidRDefault="00000000">
      <w:pPr>
        <w:ind w:firstLineChars="200" w:firstLine="560"/>
        <w:contextualSpacing/>
        <w:rPr>
          <w:rFonts w:ascii="仿宋_GB2312" w:eastAsia="仿宋_GB2312" w:hAnsi="仿宋_GB2312" w:cs="仿宋_GB2312" w:hint="eastAsia"/>
          <w:szCs w:val="28"/>
        </w:rPr>
      </w:pPr>
      <w:r>
        <w:rPr>
          <w:rFonts w:ascii="仿宋_GB2312" w:eastAsia="仿宋_GB2312" w:hAnsi="仿宋_GB2312" w:cs="仿宋_GB2312" w:hint="eastAsia"/>
          <w:szCs w:val="28"/>
        </w:rPr>
        <w:t>1.2 服务周期：验收合格之日起1年。</w:t>
      </w:r>
    </w:p>
    <w:p w14:paraId="2253D5C8" w14:textId="77777777" w:rsidR="008112F9" w:rsidRDefault="00000000">
      <w:pPr>
        <w:ind w:firstLineChars="200" w:firstLine="560"/>
        <w:contextualSpacing/>
        <w:rPr>
          <w:rFonts w:ascii="仿宋_GB2312" w:eastAsia="仿宋_GB2312" w:hAnsi="仿宋_GB2312" w:cs="仿宋_GB2312" w:hint="eastAsia"/>
          <w:szCs w:val="28"/>
        </w:rPr>
      </w:pPr>
      <w:r>
        <w:rPr>
          <w:rFonts w:ascii="仿宋_GB2312" w:eastAsia="仿宋_GB2312" w:hAnsi="仿宋_GB2312" w:cs="仿宋_GB2312" w:hint="eastAsia"/>
          <w:szCs w:val="28"/>
        </w:rPr>
        <w:t>1.3 服务地点：四川省妇幼保健院。</w:t>
      </w:r>
    </w:p>
    <w:p w14:paraId="14472AD8" w14:textId="77777777" w:rsidR="008112F9" w:rsidRDefault="00000000">
      <w:pPr>
        <w:ind w:firstLineChars="200" w:firstLine="562"/>
        <w:contextualSpacing/>
        <w:rPr>
          <w:rFonts w:ascii="仿宋_GB2312" w:eastAsia="仿宋_GB2312" w:hAnsi="仿宋_GB2312" w:cs="仿宋_GB2312" w:hint="eastAsia"/>
          <w:szCs w:val="28"/>
        </w:rPr>
      </w:pPr>
      <w:r>
        <w:rPr>
          <w:rFonts w:ascii="仿宋_GB2312" w:eastAsia="仿宋_GB2312" w:hAnsi="仿宋_GB2312" w:cs="仿宋_GB2312" w:hint="eastAsia"/>
          <w:b/>
          <w:szCs w:val="28"/>
        </w:rPr>
        <w:t>2．付款方法和条件：</w:t>
      </w:r>
      <w:r>
        <w:rPr>
          <w:rFonts w:ascii="仿宋_GB2312" w:eastAsia="仿宋_GB2312" w:hAnsi="仿宋_GB2312" w:cs="仿宋_GB2312" w:hint="eastAsia"/>
          <w:bCs/>
          <w:szCs w:val="28"/>
        </w:rPr>
        <w:t>验收合格后支付90%，服务期满支付10%</w:t>
      </w:r>
    </w:p>
    <w:p w14:paraId="09435020" w14:textId="77777777" w:rsidR="008112F9" w:rsidRDefault="00000000">
      <w:pPr>
        <w:pStyle w:val="2"/>
        <w:spacing w:before="0" w:after="0" w:line="360" w:lineRule="auto"/>
        <w:ind w:firstLineChars="200" w:firstLine="562"/>
        <w:contextualSpacing/>
        <w:rPr>
          <w:rFonts w:ascii="仿宋_GB2312" w:eastAsia="仿宋_GB2312" w:hAnsi="仿宋_GB2312" w:cs="仿宋_GB2312" w:hint="eastAsia"/>
          <w:bCs w:val="0"/>
          <w:sz w:val="28"/>
          <w:szCs w:val="28"/>
        </w:rPr>
      </w:pPr>
      <w:r>
        <w:rPr>
          <w:rFonts w:ascii="仿宋_GB2312" w:eastAsia="仿宋_GB2312" w:hAnsi="仿宋_GB2312" w:cs="仿宋_GB2312" w:hint="eastAsia"/>
          <w:bCs w:val="0"/>
          <w:sz w:val="28"/>
          <w:szCs w:val="28"/>
        </w:rPr>
        <w:t>3.验收标准：</w:t>
      </w:r>
    </w:p>
    <w:p w14:paraId="7665A32E" w14:textId="77777777" w:rsidR="008112F9" w:rsidRDefault="00000000">
      <w:pPr>
        <w:ind w:firstLineChars="200" w:firstLine="560"/>
        <w:contextualSpacing/>
        <w:rPr>
          <w:rFonts w:ascii="仿宋_GB2312" w:eastAsia="仿宋_GB2312" w:hAnsi="仿宋_GB2312" w:cs="仿宋_GB2312" w:hint="eastAsia"/>
          <w:bCs/>
          <w:szCs w:val="28"/>
        </w:rPr>
      </w:pPr>
      <w:r>
        <w:rPr>
          <w:rFonts w:ascii="仿宋_GB2312" w:eastAsia="仿宋_GB2312" w:hAnsi="仿宋_GB2312" w:cs="仿宋_GB2312" w:hint="eastAsia"/>
          <w:bCs/>
          <w:szCs w:val="28"/>
        </w:rPr>
        <w:t>1）中标人与采购人将严格按照《财政部关于进一步加强政府采购需求和履约验收管理的指导意见》(财库〔2016〕205号)的要求进行验收。</w:t>
      </w:r>
    </w:p>
    <w:p w14:paraId="34320775" w14:textId="77777777" w:rsidR="008112F9" w:rsidRDefault="00000000">
      <w:pPr>
        <w:spacing w:after="160"/>
        <w:ind w:firstLineChars="200" w:firstLine="560"/>
        <w:contextualSpacing/>
        <w:rPr>
          <w:rFonts w:ascii="仿宋_GB2312" w:eastAsia="仿宋_GB2312" w:hAnsi="仿宋_GB2312" w:cs="仿宋_GB2312" w:hint="eastAsia"/>
          <w:szCs w:val="28"/>
        </w:rPr>
      </w:pPr>
      <w:r>
        <w:rPr>
          <w:rFonts w:ascii="仿宋_GB2312" w:eastAsia="仿宋_GB2312" w:hAnsi="仿宋_GB2312" w:cs="仿宋_GB2312" w:hint="eastAsia"/>
          <w:szCs w:val="28"/>
        </w:rPr>
        <w:t>2）以招标文件技术参数及要求和相关行业标准为准。</w:t>
      </w:r>
    </w:p>
    <w:p w14:paraId="7C2FE52A" w14:textId="77777777" w:rsidR="008112F9" w:rsidRDefault="00000000">
      <w:pPr>
        <w:ind w:firstLineChars="200" w:firstLine="560"/>
      </w:pPr>
      <w:r>
        <w:rPr>
          <w:rFonts w:ascii="仿宋_GB2312" w:eastAsia="仿宋_GB2312" w:hAnsi="仿宋_GB2312" w:cs="仿宋_GB2312"/>
          <w:szCs w:val="28"/>
        </w:rPr>
        <w:t>4</w:t>
      </w:r>
      <w:r>
        <w:rPr>
          <w:rFonts w:ascii="仿宋_GB2312" w:eastAsia="仿宋_GB2312" w:hAnsi="仿宋_GB2312" w:cs="仿宋_GB2312" w:hint="eastAsia"/>
          <w:szCs w:val="28"/>
        </w:rPr>
        <w:t>.</w:t>
      </w:r>
      <w:r>
        <w:rPr>
          <w:rFonts w:ascii="仿宋_GB2312" w:eastAsia="仿宋_GB2312" w:hAnsi="仿宋_GB2312" w:cs="仿宋_GB2312" w:hint="eastAsia"/>
          <w:bCs/>
          <w:szCs w:val="28"/>
        </w:rPr>
        <w:t>服务期内，</w:t>
      </w:r>
      <w:r>
        <w:rPr>
          <w:rFonts w:hint="eastAsia"/>
        </w:rPr>
        <w:t>如果因供应商原因造成采购人违反上级相关行政部门的规定被上级部门约谈、通报及处罚等情况发生，采购人有权对供应商进行以下处理：</w:t>
      </w:r>
      <w:r>
        <w:rPr>
          <w:rFonts w:hint="eastAsia"/>
        </w:rPr>
        <w:t>1.</w:t>
      </w:r>
      <w:r>
        <w:rPr>
          <w:rFonts w:hint="eastAsia"/>
        </w:rPr>
        <w:t>要求供应商承担采购人实际损失；</w:t>
      </w:r>
      <w:r>
        <w:rPr>
          <w:rFonts w:hint="eastAsia"/>
        </w:rPr>
        <w:t>2.</w:t>
      </w:r>
      <w:r>
        <w:rPr>
          <w:rFonts w:hint="eastAsia"/>
        </w:rPr>
        <w:t>同时，每发生一次，要求供应商承担成交金额的</w:t>
      </w:r>
      <w:r>
        <w:rPr>
          <w:rFonts w:hint="eastAsia"/>
        </w:rPr>
        <w:t>5%</w:t>
      </w:r>
      <w:r>
        <w:rPr>
          <w:rFonts w:hint="eastAsia"/>
        </w:rPr>
        <w:t>的违约金；情节严重的，每次供应商需承担成交金额的</w:t>
      </w:r>
      <w:r>
        <w:rPr>
          <w:rFonts w:hint="eastAsia"/>
        </w:rPr>
        <w:t>10%</w:t>
      </w:r>
      <w:r>
        <w:rPr>
          <w:rFonts w:hint="eastAsia"/>
        </w:rPr>
        <w:t>的违约金。供应商承担损失金额及违约金都将从合同款中扣除，扣除后不足部分由供应商补足。</w:t>
      </w:r>
    </w:p>
    <w:p w14:paraId="48719731" w14:textId="77777777" w:rsidR="008112F9" w:rsidRDefault="008112F9">
      <w:pPr>
        <w:pStyle w:val="2"/>
        <w:spacing w:before="0" w:after="0" w:line="300" w:lineRule="exact"/>
        <w:ind w:firstLineChars="200" w:firstLine="643"/>
        <w:contextualSpacing/>
        <w:rPr>
          <w:rFonts w:ascii="仿宋_GB2312" w:eastAsia="仿宋_GB2312" w:hAnsi="仿宋_GB2312" w:cs="仿宋_GB2312" w:hint="eastAsia"/>
          <w:szCs w:val="28"/>
        </w:rPr>
      </w:pPr>
    </w:p>
    <w:p w14:paraId="60145B46" w14:textId="77777777" w:rsidR="008112F9" w:rsidRDefault="008112F9" w:rsidP="00592FB1">
      <w:pPr>
        <w:pStyle w:val="a0"/>
        <w:rPr>
          <w:rFonts w:hint="eastAsia"/>
        </w:rPr>
      </w:pPr>
    </w:p>
    <w:sectPr w:rsidR="008112F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2036" w14:textId="77777777" w:rsidR="00FF2036" w:rsidRDefault="00FF2036">
      <w:pPr>
        <w:spacing w:line="240" w:lineRule="auto"/>
      </w:pPr>
      <w:r>
        <w:separator/>
      </w:r>
    </w:p>
  </w:endnote>
  <w:endnote w:type="continuationSeparator" w:id="0">
    <w:p w14:paraId="46B0C3DF" w14:textId="77777777" w:rsidR="00FF2036" w:rsidRDefault="00FF2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CE0F" w14:textId="77777777" w:rsidR="008112F9" w:rsidRDefault="008112F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A5E55" w14:textId="77777777" w:rsidR="008112F9" w:rsidRDefault="008112F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21A0" w14:textId="77777777" w:rsidR="008112F9" w:rsidRDefault="008112F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93C4" w14:textId="77777777" w:rsidR="00FF2036" w:rsidRDefault="00FF2036">
      <w:r>
        <w:separator/>
      </w:r>
    </w:p>
  </w:footnote>
  <w:footnote w:type="continuationSeparator" w:id="0">
    <w:p w14:paraId="3A4F6D53" w14:textId="77777777" w:rsidR="00FF2036" w:rsidRDefault="00FF2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E27E3" w14:textId="77777777" w:rsidR="008112F9" w:rsidRDefault="008112F9">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0AC30" w14:textId="77777777" w:rsidR="008112F9" w:rsidRDefault="008112F9">
    <w:pP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85DE" w14:textId="77777777" w:rsidR="008112F9" w:rsidRDefault="008112F9">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35F6E"/>
    <w:multiLevelType w:val="multilevel"/>
    <w:tmpl w:val="40B35F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1056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CD"/>
    <w:rsid w:val="00054504"/>
    <w:rsid w:val="000A5609"/>
    <w:rsid w:val="0012281B"/>
    <w:rsid w:val="00125B21"/>
    <w:rsid w:val="001A7747"/>
    <w:rsid w:val="001D614F"/>
    <w:rsid w:val="00242337"/>
    <w:rsid w:val="00265B19"/>
    <w:rsid w:val="002711B7"/>
    <w:rsid w:val="0028514C"/>
    <w:rsid w:val="002B00B8"/>
    <w:rsid w:val="002C7C55"/>
    <w:rsid w:val="00325AF0"/>
    <w:rsid w:val="00352894"/>
    <w:rsid w:val="00372A61"/>
    <w:rsid w:val="003A1E80"/>
    <w:rsid w:val="003C4CA5"/>
    <w:rsid w:val="0040779E"/>
    <w:rsid w:val="00407C4D"/>
    <w:rsid w:val="00430D1B"/>
    <w:rsid w:val="00451273"/>
    <w:rsid w:val="00465917"/>
    <w:rsid w:val="004A46A9"/>
    <w:rsid w:val="004C01CD"/>
    <w:rsid w:val="004C56A9"/>
    <w:rsid w:val="004E6FD8"/>
    <w:rsid w:val="004F7643"/>
    <w:rsid w:val="00521662"/>
    <w:rsid w:val="00556AAE"/>
    <w:rsid w:val="00592FB1"/>
    <w:rsid w:val="005A56D7"/>
    <w:rsid w:val="005A6C4A"/>
    <w:rsid w:val="005B2D15"/>
    <w:rsid w:val="005C2563"/>
    <w:rsid w:val="00603F07"/>
    <w:rsid w:val="00614152"/>
    <w:rsid w:val="00621FB9"/>
    <w:rsid w:val="00654A67"/>
    <w:rsid w:val="00686264"/>
    <w:rsid w:val="006C0898"/>
    <w:rsid w:val="006C0C15"/>
    <w:rsid w:val="007157F4"/>
    <w:rsid w:val="00745309"/>
    <w:rsid w:val="007531C6"/>
    <w:rsid w:val="007715E9"/>
    <w:rsid w:val="00774363"/>
    <w:rsid w:val="007A4D8B"/>
    <w:rsid w:val="007D5AD3"/>
    <w:rsid w:val="00804734"/>
    <w:rsid w:val="008112F9"/>
    <w:rsid w:val="00844A21"/>
    <w:rsid w:val="00862B83"/>
    <w:rsid w:val="00867C95"/>
    <w:rsid w:val="00884A63"/>
    <w:rsid w:val="008F066B"/>
    <w:rsid w:val="009807B4"/>
    <w:rsid w:val="009931F4"/>
    <w:rsid w:val="009A6A9C"/>
    <w:rsid w:val="009D68B1"/>
    <w:rsid w:val="00A0729F"/>
    <w:rsid w:val="00A1394D"/>
    <w:rsid w:val="00A21728"/>
    <w:rsid w:val="00A454BA"/>
    <w:rsid w:val="00A651C5"/>
    <w:rsid w:val="00A66BB7"/>
    <w:rsid w:val="00A754D5"/>
    <w:rsid w:val="00A8747E"/>
    <w:rsid w:val="00A93037"/>
    <w:rsid w:val="00AC7407"/>
    <w:rsid w:val="00AE1EF1"/>
    <w:rsid w:val="00AF5764"/>
    <w:rsid w:val="00B30D38"/>
    <w:rsid w:val="00B637AA"/>
    <w:rsid w:val="00B66B77"/>
    <w:rsid w:val="00BA229A"/>
    <w:rsid w:val="00BA288E"/>
    <w:rsid w:val="00BE7027"/>
    <w:rsid w:val="00BF7DE6"/>
    <w:rsid w:val="00C1009C"/>
    <w:rsid w:val="00C247A2"/>
    <w:rsid w:val="00C500CC"/>
    <w:rsid w:val="00C875AA"/>
    <w:rsid w:val="00CE611E"/>
    <w:rsid w:val="00CF6009"/>
    <w:rsid w:val="00D04A52"/>
    <w:rsid w:val="00D503AA"/>
    <w:rsid w:val="00D72A34"/>
    <w:rsid w:val="00D76D25"/>
    <w:rsid w:val="00DF79FF"/>
    <w:rsid w:val="00E11920"/>
    <w:rsid w:val="00E12E6A"/>
    <w:rsid w:val="00E20C6A"/>
    <w:rsid w:val="00E30D51"/>
    <w:rsid w:val="00E763BF"/>
    <w:rsid w:val="00E833EA"/>
    <w:rsid w:val="00F32D5E"/>
    <w:rsid w:val="00F47D12"/>
    <w:rsid w:val="00FF2036"/>
    <w:rsid w:val="08EC53DD"/>
    <w:rsid w:val="0E706B3D"/>
    <w:rsid w:val="19041A64"/>
    <w:rsid w:val="196E7BA1"/>
    <w:rsid w:val="19F6705B"/>
    <w:rsid w:val="1AD877E2"/>
    <w:rsid w:val="1B926522"/>
    <w:rsid w:val="1CB6762E"/>
    <w:rsid w:val="1D5910C2"/>
    <w:rsid w:val="2107261C"/>
    <w:rsid w:val="216655B5"/>
    <w:rsid w:val="23323CE8"/>
    <w:rsid w:val="2C4C55F8"/>
    <w:rsid w:val="2E6120D2"/>
    <w:rsid w:val="2F722211"/>
    <w:rsid w:val="304E16EE"/>
    <w:rsid w:val="350970E0"/>
    <w:rsid w:val="3A926BD1"/>
    <w:rsid w:val="3B6803EF"/>
    <w:rsid w:val="44DE5B53"/>
    <w:rsid w:val="4E587909"/>
    <w:rsid w:val="50503B22"/>
    <w:rsid w:val="56EC0181"/>
    <w:rsid w:val="5BCD4A00"/>
    <w:rsid w:val="66F0205A"/>
    <w:rsid w:val="66FD19CD"/>
    <w:rsid w:val="71D32D05"/>
    <w:rsid w:val="722858D4"/>
    <w:rsid w:val="769A6034"/>
    <w:rsid w:val="775B2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8C25"/>
  <w15:docId w15:val="{F9AA88B1-E611-4E72-BE48-B99DF541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jc w:val="both"/>
    </w:pPr>
    <w:rPr>
      <w:rFonts w:ascii="Calibri" w:eastAsia="仿宋" w:hAnsi="Calibri" w:cs="Times New Roman"/>
      <w:kern w:val="2"/>
      <w:sz w:val="28"/>
      <w:szCs w:val="22"/>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unhideWhenUsed/>
    <w:qFormat/>
    <w:pPr>
      <w:spacing w:after="120"/>
    </w:pPr>
  </w:style>
  <w:style w:type="paragraph" w:styleId="a5">
    <w:name w:val="annotation text"/>
    <w:basedOn w:val="a"/>
    <w:link w:val="a6"/>
    <w:uiPriority w:val="99"/>
    <w:semiHidden/>
    <w:unhideWhenUsed/>
    <w:qFormat/>
    <w:pPr>
      <w:spacing w:after="160" w:line="278" w:lineRule="auto"/>
      <w:jc w:val="left"/>
    </w:pPr>
    <w:rPr>
      <w:rFonts w:eastAsia="宋体"/>
      <w:sz w:val="21"/>
    </w:rPr>
  </w:style>
  <w:style w:type="paragraph" w:styleId="a7">
    <w:name w:val="footer"/>
    <w:basedOn w:val="a"/>
    <w:link w:val="a8"/>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Normal (Web)"/>
    <w:basedOn w:val="a"/>
    <w:uiPriority w:val="99"/>
    <w:unhideWhenUsed/>
    <w:qFormat/>
    <w:pPr>
      <w:widowControl/>
      <w:spacing w:before="100" w:beforeAutospacing="1" w:after="100" w:afterAutospacing="1" w:line="278" w:lineRule="auto"/>
      <w:jc w:val="left"/>
    </w:pPr>
    <w:rPr>
      <w:rFonts w:ascii="宋体" w:eastAsia="宋体" w:hAnsi="宋体" w:cs="宋体"/>
      <w:kern w:val="0"/>
      <w:sz w:val="24"/>
      <w:szCs w:val="24"/>
    </w:rPr>
  </w:style>
  <w:style w:type="character" w:styleId="ac">
    <w:name w:val="Strong"/>
    <w:qFormat/>
    <w:rPr>
      <w:b/>
      <w:bCs/>
    </w:rPr>
  </w:style>
  <w:style w:type="character" w:customStyle="1" w:styleId="aa">
    <w:name w:val="页眉 字符"/>
    <w:basedOn w:val="a1"/>
    <w:link w:val="a9"/>
    <w:qFormat/>
    <w:rPr>
      <w:rFonts w:eastAsia="仿宋"/>
      <w:sz w:val="18"/>
      <w:szCs w:val="18"/>
    </w:rPr>
  </w:style>
  <w:style w:type="character" w:customStyle="1" w:styleId="a8">
    <w:name w:val="页脚 字符"/>
    <w:basedOn w:val="a1"/>
    <w:link w:val="a7"/>
    <w:qFormat/>
    <w:rPr>
      <w:rFonts w:eastAsia="仿宋"/>
      <w:sz w:val="18"/>
      <w:szCs w:val="18"/>
    </w:rPr>
  </w:style>
  <w:style w:type="paragraph" w:styleId="ad">
    <w:name w:val="List Paragraph"/>
    <w:basedOn w:val="a"/>
    <w:uiPriority w:val="34"/>
    <w:qFormat/>
    <w:pPr>
      <w:ind w:firstLineChars="200" w:firstLine="420"/>
    </w:pPr>
  </w:style>
  <w:style w:type="character" w:customStyle="1" w:styleId="a4">
    <w:name w:val="正文文本 字符"/>
    <w:basedOn w:val="a1"/>
    <w:link w:val="a0"/>
    <w:uiPriority w:val="99"/>
    <w:qFormat/>
    <w:rPr>
      <w:rFonts w:ascii="Calibri" w:eastAsia="仿宋" w:hAnsi="Calibri" w:cs="Times New Roman"/>
      <w:sz w:val="28"/>
    </w:rPr>
  </w:style>
  <w:style w:type="paragraph" w:styleId="ae">
    <w:name w:val="No Spacing"/>
    <w:uiPriority w:val="1"/>
    <w:qFormat/>
    <w:pPr>
      <w:widowControl w:val="0"/>
      <w:spacing w:line="360" w:lineRule="auto"/>
      <w:jc w:val="both"/>
    </w:pPr>
    <w:rPr>
      <w:rFonts w:eastAsia="仿宋"/>
      <w:kern w:val="2"/>
      <w:sz w:val="28"/>
      <w:szCs w:val="22"/>
    </w:rPr>
  </w:style>
  <w:style w:type="paragraph" w:customStyle="1" w:styleId="1">
    <w:name w:val="修订1"/>
    <w:hidden/>
    <w:uiPriority w:val="99"/>
    <w:unhideWhenUsed/>
    <w:qFormat/>
    <w:rPr>
      <w:rFonts w:ascii="Calibri" w:eastAsia="仿宋" w:hAnsi="Calibri" w:cs="Times New Roman"/>
      <w:kern w:val="2"/>
      <w:sz w:val="28"/>
      <w:szCs w:val="22"/>
    </w:rPr>
  </w:style>
  <w:style w:type="character" w:customStyle="1" w:styleId="a6">
    <w:name w:val="批注文字 字符"/>
    <w:basedOn w:val="a1"/>
    <w:link w:val="a5"/>
    <w:uiPriority w:val="99"/>
    <w:semiHidden/>
    <w:qFormat/>
    <w:rPr>
      <w:rFonts w:ascii="Calibri" w:eastAsia="宋体" w:hAnsi="Calibri" w:cs="Times New Roman"/>
      <w:kern w:val="2"/>
      <w:sz w:val="21"/>
      <w:szCs w:val="22"/>
    </w:rPr>
  </w:style>
  <w:style w:type="character" w:styleId="af">
    <w:name w:val="annotation reference"/>
    <w:basedOn w:val="a1"/>
    <w:uiPriority w:val="99"/>
    <w:semiHidden/>
    <w:unhideWhenUsed/>
    <w:rPr>
      <w:sz w:val="21"/>
      <w:szCs w:val="21"/>
    </w:rPr>
  </w:style>
  <w:style w:type="paragraph" w:styleId="af0">
    <w:name w:val="Revision"/>
    <w:hidden/>
    <w:uiPriority w:val="99"/>
    <w:unhideWhenUsed/>
    <w:rsid w:val="007D5AD3"/>
    <w:rPr>
      <w:rFonts w:ascii="Calibri" w:eastAsia="仿宋" w:hAnsi="Calibri" w:cs="Times New Roman"/>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子 欢</cp:lastModifiedBy>
  <cp:revision>35</cp:revision>
  <dcterms:created xsi:type="dcterms:W3CDTF">2025-07-01T08:19:00Z</dcterms:created>
  <dcterms:modified xsi:type="dcterms:W3CDTF">2025-08-27T00:17:00Z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E19FDBB2E32C449AAB50D6FEE09C0099_13</vt:lpwstr>
  </property>
  <property fmtid="{D5CDD505-2E9C-101B-9397-08002B2CF9AE}" pid="4" name="KSOTemplateDocerSaveRecord">
    <vt:lpwstr>eyJoZGlkIjoiODQwOWY3MzliNGJkMzI3M2U5YzFmNTNlNmI5ZDllMDAiLCJ1c2VySWQiOiI3MjM1OTU2MDIifQ==</vt:lpwstr>
  </property>
</Properties>
</file>