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C8A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附件1：</w:t>
      </w:r>
    </w:p>
    <w:p w14:paraId="6E2B4FC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cs="宋体"/>
          <w:b/>
          <w:bCs/>
          <w:i w:val="0"/>
          <w:caps w:val="0"/>
          <w:color w:val="auto"/>
          <w:spacing w:val="0"/>
          <w:sz w:val="24"/>
          <w:szCs w:val="24"/>
          <w:shd w:val="clear" w:color="auto" w:fill="FFFFFF"/>
          <w:lang w:val="en-US" w:eastAsia="zh-CN"/>
        </w:rPr>
        <w:t>（一）</w:t>
      </w:r>
      <w:r>
        <w:rPr>
          <w:rFonts w:hint="eastAsia" w:ascii="宋体" w:hAnsi="宋体" w:eastAsia="宋体" w:cs="宋体"/>
          <w:b/>
          <w:bCs/>
          <w:i w:val="0"/>
          <w:caps w:val="0"/>
          <w:color w:val="auto"/>
          <w:spacing w:val="0"/>
          <w:sz w:val="24"/>
          <w:szCs w:val="24"/>
          <w:shd w:val="clear" w:color="auto" w:fill="FFFFFF"/>
          <w:lang w:val="en-US" w:eastAsia="zh-CN"/>
        </w:rPr>
        <w:t>采购</w:t>
      </w:r>
      <w:r>
        <w:rPr>
          <w:rFonts w:hint="eastAsia" w:ascii="宋体" w:hAnsi="宋体" w:eastAsia="宋体" w:cs="宋体"/>
          <w:b/>
          <w:bCs/>
          <w:i w:val="0"/>
          <w:caps w:val="0"/>
          <w:color w:val="auto"/>
          <w:spacing w:val="0"/>
          <w:sz w:val="24"/>
          <w:szCs w:val="24"/>
          <w:shd w:val="clear" w:color="auto" w:fill="FFFFFF"/>
        </w:rPr>
        <w:t>需求</w:t>
      </w:r>
    </w:p>
    <w:p w14:paraId="5E0DA7E4">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一、项目概况</w:t>
      </w:r>
    </w:p>
    <w:p w14:paraId="640E127C">
      <w:pPr>
        <w:bidi w:val="0"/>
        <w:spacing w:line="360" w:lineRule="auto"/>
        <w:ind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1.项目名称：化粪池清掏处置服务</w:t>
      </w:r>
    </w:p>
    <w:p w14:paraId="4B9021AA">
      <w:pPr>
        <w:bidi w:val="0"/>
        <w:spacing w:line="360" w:lineRule="auto"/>
        <w:ind w:firstLine="480" w:firstLineChars="200"/>
        <w:rPr>
          <w:rFonts w:hint="eastAsia" w:ascii="宋体" w:hAnsi="宋体" w:cs="宋体"/>
          <w:b w:val="0"/>
          <w:bCs w:val="0"/>
          <w:sz w:val="24"/>
          <w:szCs w:val="24"/>
          <w:lang w:val="en-US" w:eastAsia="zh-CN"/>
        </w:rPr>
      </w:pPr>
      <w:r>
        <w:rPr>
          <w:rFonts w:hint="eastAsia" w:ascii="宋体" w:hAnsi="宋体" w:eastAsia="宋体" w:cs="宋体"/>
          <w:b w:val="0"/>
          <w:bCs w:val="0"/>
          <w:sz w:val="24"/>
          <w:szCs w:val="24"/>
          <w:lang w:val="en-US" w:eastAsia="zh-CN"/>
        </w:rPr>
        <w:t>2.项目地址：</w:t>
      </w:r>
      <w:r>
        <w:rPr>
          <w:rFonts w:hint="eastAsia" w:ascii="宋体" w:hAnsi="宋体" w:cs="宋体"/>
          <w:b w:val="0"/>
          <w:bCs w:val="0"/>
          <w:sz w:val="24"/>
          <w:szCs w:val="24"/>
          <w:lang w:val="en-US" w:eastAsia="zh-CN"/>
        </w:rPr>
        <w:t>采购人指定地点</w:t>
      </w:r>
    </w:p>
    <w:p w14:paraId="0F5CCF8F">
      <w:pPr>
        <w:bidi w:val="0"/>
        <w:spacing w:line="360" w:lineRule="auto"/>
        <w:ind w:firstLine="480" w:firstLineChars="200"/>
        <w:rPr>
          <w:rFonts w:hint="default"/>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本项目最高限价为人民币43.2</w:t>
      </w:r>
      <w:r>
        <w:rPr>
          <w:rFonts w:hint="eastAsia" w:ascii="宋体" w:hAnsi="宋体" w:cs="宋体"/>
          <w:b w:val="0"/>
          <w:bCs w:val="0"/>
          <w:sz w:val="24"/>
          <w:szCs w:val="24"/>
          <w:lang w:val="en-US" w:eastAsia="zh-CN"/>
        </w:rPr>
        <w:t>0万元。</w:t>
      </w:r>
    </w:p>
    <w:p w14:paraId="0F7F32C7">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w:t>
      </w:r>
      <w:r>
        <w:rPr>
          <w:rFonts w:hint="eastAsia" w:ascii="宋体" w:hAnsi="宋体" w:cs="宋体"/>
          <w:b/>
          <w:bCs/>
          <w:sz w:val="24"/>
          <w:szCs w:val="24"/>
          <w:lang w:val="en-US" w:eastAsia="zh-CN"/>
        </w:rPr>
        <w:t>技术服务</w:t>
      </w:r>
      <w:r>
        <w:rPr>
          <w:rFonts w:hint="eastAsia" w:ascii="宋体" w:hAnsi="宋体" w:eastAsia="宋体" w:cs="宋体"/>
          <w:b/>
          <w:bCs/>
          <w:sz w:val="24"/>
          <w:szCs w:val="24"/>
          <w:lang w:val="en-US" w:eastAsia="zh-CN"/>
        </w:rPr>
        <w:t>要求</w:t>
      </w:r>
    </w:p>
    <w:p w14:paraId="4A61A495">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★1.清掏前，供应商对采购人化粪池、污水管网进行消毒处理，为防止污水处理活性污泥中毒，消毒剂采用不含氯的活性氧消毒剂，消毒剂与污水污泥量投加比为 1:50（不得影响采购人污水站正常运行；因投加消毒剂对采购人废水指标造成影响，且受到环保部门罚款的，罚款由供应商承担）。消毒剂投加48小时后对污泥取样，并在4个小时内送至具有CMA资质的检测机构进行检测，要求粪大肠菌群数≤100MPN/g，蛔虫卵死亡率＞95%，含水率＜65%。若检测结果未达标，需重新进行消毒后送检，直至达标为止。</w:t>
      </w:r>
    </w:p>
    <w:p w14:paraId="40CC39F2">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2.供应商在施工期间必须按照《中华人民共和国安全生产法》要求，安排专人进场监督施工作业。在清掏处置和转运过程中如发生事故或人身伤亡由供应商承担法律责任和经济责任，采购人不为此承担任何责任。</w:t>
      </w:r>
    </w:p>
    <w:p w14:paraId="27B8F60E">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3.供应商自行负责将清掏出的化粪池内污泥按照相关规定打包待采购人确认重量后转运处置。</w:t>
      </w:r>
    </w:p>
    <w:p w14:paraId="74A4AB6D">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4.供应商在施工完毕后，负责打扫施工现场内周边环境卫生，无遗撒、遗漏现象，按环保要求进行消毒处理，恢复施工场地原有的设施和配置。</w:t>
      </w:r>
    </w:p>
    <w:p w14:paraId="4E764DC9">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5.污泥转运前，供应商协助采购人在“四川省固体废物环境管理信息系统”申请电子转移联单，并向当地生态环境部门备案，严格按照《危险废物管理办法》的有关规定完成危险废物的全部转移手续。</w:t>
      </w:r>
    </w:p>
    <w:p w14:paraId="184E7582">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★6.服务期内，供应商对采购人污水管网每季度安排1次疏通工作，若采购人污水管网出现堵塞现象，投标人保证在接到采购人通知后2个小时内到达现场进行临时性管道疏通，采购人不为此另行支付费用。</w:t>
      </w:r>
    </w:p>
    <w:p w14:paraId="0BAF5FA4">
      <w:pPr>
        <w:bidi w:val="0"/>
        <w:spacing w:line="360" w:lineRule="auto"/>
        <w:rPr>
          <w:rFonts w:hint="default"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eastAsia="宋体" w:cs="宋体"/>
          <w:b/>
          <w:bCs/>
          <w:sz w:val="24"/>
          <w:szCs w:val="24"/>
          <w:lang w:val="en-US" w:eastAsia="zh-CN"/>
        </w:rPr>
        <w:t>三、商务要求</w:t>
      </w:r>
    </w:p>
    <w:p w14:paraId="5DE24185">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1.服务期限：1年。</w:t>
      </w:r>
    </w:p>
    <w:p w14:paraId="50270F7A">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2.服务地点：成都市武侯区沙堰西二街290号、成都市双流区岐黄二路1515号、成都市金牛区抚琴西路338号。</w:t>
      </w:r>
    </w:p>
    <w:p w14:paraId="4C92183E">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3.报价要求：本项目按照单价进行报价，</w:t>
      </w:r>
      <w:r>
        <w:rPr>
          <w:rFonts w:hint="eastAsia" w:ascii="宋体" w:hAnsi="宋体" w:cs="宋体"/>
          <w:b/>
          <w:bCs/>
          <w:sz w:val="24"/>
          <w:szCs w:val="24"/>
          <w:lang w:val="en-US" w:eastAsia="zh-CN"/>
        </w:rPr>
        <w:t>单价最高限价不超过14元/kg。</w:t>
      </w:r>
    </w:p>
    <w:p w14:paraId="24BF589E">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付款方式：采购人根据供应商实际清掏处置重量×成交单价进行结算，采购人在验收合格后并收到供应商合法有效发票后30个工作日内支付，若供应商未及时提供合规发票或付款申请，付款期限相应顺延，采购人不承担延迟付款责任。合同支付金额不超过43.20万元，合同期内产生的清掏处置费用若超过43.20万元则按照43.20万元进行结算。</w:t>
      </w:r>
    </w:p>
    <w:p w14:paraId="4CFBF54F">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履约保证金:签订合同前，供应商以银行转账方式向采购人缴纳履约保证金30000元，履约保证金在合同支付金额达到43.20万元或合同期满后，供应商无相关违约责任，采购人在30个工作日内一次性全额无息退还。如有以下情形的，履约保障金不予退还：（1）拒绝履行合同义务；（2）擅自转让/分包项目；（3）提供假冒伪劣产品或服务。</w:t>
      </w:r>
    </w:p>
    <w:p w14:paraId="00F822D1">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收款人：四川省妇幼保健院</w:t>
      </w:r>
    </w:p>
    <w:p w14:paraId="79EF0BC2">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银行名称及账号：建行成都</w:t>
      </w:r>
      <w:bookmarkStart w:id="0" w:name="_GoBack"/>
      <w:bookmarkEnd w:id="0"/>
      <w:r>
        <w:rPr>
          <w:rFonts w:hint="eastAsia" w:ascii="宋体" w:hAnsi="宋体" w:cs="宋体"/>
          <w:b w:val="0"/>
          <w:bCs w:val="0"/>
          <w:sz w:val="24"/>
          <w:szCs w:val="24"/>
          <w:lang w:val="en-US" w:eastAsia="zh-CN"/>
        </w:rPr>
        <w:t>金河支行51001508608050696923</w:t>
      </w:r>
    </w:p>
    <w:p w14:paraId="615729BD">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6.违约责任：</w:t>
      </w:r>
    </w:p>
    <w:p w14:paraId="58D40BD2">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（1）供应商如存在可能影响中标、成交结果、合同履行的失信行为，将按预算金额的5%扣除失信违约金，如果失信违约金不足以弥补采购人损失的，由供应商向采购人足额赔偿经济损失。 </w:t>
      </w:r>
    </w:p>
    <w:p w14:paraId="55D4EDDF">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合同签订生效后，若供应商在接到采购人通知后的3个工作日内（包含但不限于微信、电话通知）未到达采购人指定现场进行清掏施工作业的，每逾期一天罚款500元，逾期超过3天的采购人有权解除合同，同时供应商需向采购人支付50000元违约金。</w:t>
      </w:r>
    </w:p>
    <w:p w14:paraId="7BA73359">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（注：“★”要求为实质性要求，供应商需在投标文件中进行实质性响应，否则作无效响应处理。）</w:t>
      </w:r>
    </w:p>
    <w:p w14:paraId="1C447D5A">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val="0"/>
          <w:bCs w:val="0"/>
          <w:sz w:val="24"/>
          <w:szCs w:val="24"/>
          <w:lang w:val="en-US" w:eastAsia="zh-CN"/>
        </w:rPr>
        <w:t>（二）</w:t>
      </w:r>
      <w:r>
        <w:rPr>
          <w:rFonts w:hint="eastAsia" w:ascii="宋体" w:hAnsi="宋体" w:eastAsia="宋体" w:cs="宋体"/>
          <w:b/>
          <w:bCs/>
          <w:color w:val="auto"/>
          <w:kern w:val="0"/>
          <w:sz w:val="24"/>
          <w:szCs w:val="24"/>
          <w:highlight w:val="none"/>
          <w:lang w:val="en-US" w:eastAsia="zh-CN"/>
        </w:rPr>
        <w:t>《响应文件》的评审</w:t>
      </w:r>
    </w:p>
    <w:p w14:paraId="3191AB7D">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w:t>
      </w:r>
      <w:r>
        <w:rPr>
          <w:rFonts w:hint="eastAsia" w:ascii="宋体" w:hAnsi="宋体" w:cs="宋体"/>
          <w:color w:val="auto"/>
          <w:kern w:val="0"/>
          <w:sz w:val="24"/>
          <w:szCs w:val="24"/>
          <w:highlight w:val="none"/>
          <w:lang w:val="en-US" w:eastAsia="zh-CN"/>
        </w:rPr>
        <w:t>招标采购部</w:t>
      </w:r>
      <w:r>
        <w:rPr>
          <w:rFonts w:hint="eastAsia" w:ascii="宋体" w:hAnsi="宋体" w:eastAsia="宋体" w:cs="宋体"/>
          <w:color w:val="auto"/>
          <w:kern w:val="0"/>
          <w:sz w:val="24"/>
          <w:szCs w:val="24"/>
          <w:highlight w:val="none"/>
          <w:lang w:val="en-US" w:eastAsia="zh-CN"/>
        </w:rPr>
        <w:t>组织</w:t>
      </w:r>
      <w:r>
        <w:rPr>
          <w:rFonts w:hint="eastAsia" w:ascii="宋体" w:hAnsi="宋体" w:eastAsia="宋体" w:cs="宋体"/>
          <w:color w:val="auto"/>
          <w:kern w:val="0"/>
          <w:sz w:val="24"/>
          <w:szCs w:val="24"/>
          <w:highlight w:val="none"/>
        </w:rPr>
        <w:t>成立评审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，对《</w:t>
      </w:r>
      <w:r>
        <w:rPr>
          <w:rFonts w:hint="eastAsia" w:ascii="宋体" w:hAnsi="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》进行</w:t>
      </w:r>
      <w:r>
        <w:rPr>
          <w:rFonts w:hint="eastAsia" w:ascii="宋体" w:hAnsi="宋体" w:eastAsia="宋体" w:cs="宋体"/>
          <w:color w:val="auto"/>
          <w:kern w:val="0"/>
          <w:sz w:val="24"/>
          <w:szCs w:val="24"/>
          <w:highlight w:val="none"/>
          <w:lang w:val="en-US" w:eastAsia="zh-CN"/>
        </w:rPr>
        <w:t>评审</w:t>
      </w:r>
      <w:r>
        <w:rPr>
          <w:rFonts w:hint="eastAsia" w:ascii="宋体" w:hAnsi="宋体" w:eastAsia="宋体" w:cs="宋体"/>
          <w:color w:val="auto"/>
          <w:kern w:val="0"/>
          <w:sz w:val="24"/>
          <w:szCs w:val="24"/>
          <w:highlight w:val="none"/>
        </w:rPr>
        <w:t>。</w:t>
      </w:r>
    </w:p>
    <w:p w14:paraId="3DF7A961">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2.评审方法</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本项采用</w:t>
      </w:r>
      <w:r>
        <w:rPr>
          <w:rFonts w:hint="eastAsia" w:ascii="宋体" w:hAnsi="宋体" w:cs="宋体"/>
          <w:color w:val="auto"/>
          <w:kern w:val="0"/>
          <w:sz w:val="24"/>
          <w:szCs w:val="24"/>
          <w:highlight w:val="none"/>
          <w:lang w:val="en-US" w:eastAsia="zh-CN"/>
        </w:rPr>
        <w:t>综合评分法</w:t>
      </w:r>
      <w:r>
        <w:rPr>
          <w:rFonts w:hint="eastAsia" w:ascii="宋体" w:hAnsi="宋体" w:eastAsia="宋体" w:cs="宋体"/>
          <w:color w:val="auto"/>
          <w:kern w:val="0"/>
          <w:sz w:val="24"/>
          <w:szCs w:val="24"/>
          <w:highlight w:val="none"/>
          <w:lang w:eastAsia="zh-CN"/>
        </w:rPr>
        <w:t>。</w:t>
      </w:r>
    </w:p>
    <w:p w14:paraId="01FEFD95">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p>
    <w:p w14:paraId="42958B8E">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综合评分明细表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383"/>
        <w:gridCol w:w="850"/>
        <w:gridCol w:w="4150"/>
        <w:gridCol w:w="1320"/>
      </w:tblGrid>
      <w:tr w14:paraId="1944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452078E5">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黑体" w:hAnsi="黑体" w:eastAsia="黑体" w:cs="黑体"/>
                <w:b w:val="0"/>
                <w:bCs/>
                <w:color w:val="000000"/>
                <w:sz w:val="21"/>
                <w:szCs w:val="21"/>
                <w:vertAlign w:val="baseline"/>
                <w:lang w:val="en-US" w:eastAsia="zh-CN"/>
              </w:rPr>
            </w:pPr>
            <w:r>
              <w:rPr>
                <w:rFonts w:hint="eastAsia" w:ascii="黑体" w:hAnsi="黑体" w:eastAsia="黑体" w:cs="黑体"/>
                <w:b w:val="0"/>
                <w:bCs/>
                <w:color w:val="auto"/>
                <w:sz w:val="21"/>
                <w:szCs w:val="21"/>
                <w:highlight w:val="none"/>
              </w:rPr>
              <w:t>序号</w:t>
            </w:r>
          </w:p>
        </w:tc>
        <w:tc>
          <w:tcPr>
            <w:tcW w:w="1383" w:type="dxa"/>
            <w:noWrap w:val="0"/>
            <w:vAlign w:val="center"/>
          </w:tcPr>
          <w:p w14:paraId="08D0EFB9">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黑体" w:hAnsi="黑体" w:eastAsia="黑体" w:cs="黑体"/>
                <w:b w:val="0"/>
                <w:bCs/>
                <w:color w:val="000000"/>
                <w:sz w:val="21"/>
                <w:szCs w:val="21"/>
                <w:vertAlign w:val="baseline"/>
                <w:lang w:val="en-US" w:eastAsia="zh-CN"/>
              </w:rPr>
            </w:pPr>
            <w:r>
              <w:rPr>
                <w:rFonts w:hint="eastAsia" w:ascii="黑体" w:hAnsi="黑体" w:eastAsia="黑体" w:cs="黑体"/>
                <w:b w:val="0"/>
                <w:bCs/>
                <w:color w:val="auto"/>
                <w:sz w:val="21"/>
                <w:szCs w:val="21"/>
                <w:highlight w:val="none"/>
              </w:rPr>
              <w:t>评分因素</w:t>
            </w:r>
          </w:p>
        </w:tc>
        <w:tc>
          <w:tcPr>
            <w:tcW w:w="850" w:type="dxa"/>
            <w:noWrap w:val="0"/>
            <w:vAlign w:val="center"/>
          </w:tcPr>
          <w:p w14:paraId="74EC8811">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黑体" w:hAnsi="黑体" w:eastAsia="黑体" w:cs="黑体"/>
                <w:b w:val="0"/>
                <w:bCs/>
                <w:color w:val="000000"/>
                <w:sz w:val="21"/>
                <w:szCs w:val="21"/>
                <w:vertAlign w:val="baseline"/>
                <w:lang w:val="en-US" w:eastAsia="zh-CN"/>
              </w:rPr>
            </w:pPr>
            <w:r>
              <w:rPr>
                <w:rFonts w:hint="eastAsia" w:ascii="黑体" w:hAnsi="黑体" w:eastAsia="黑体" w:cs="黑体"/>
                <w:b w:val="0"/>
                <w:bCs/>
                <w:color w:val="auto"/>
                <w:sz w:val="21"/>
                <w:szCs w:val="21"/>
                <w:highlight w:val="none"/>
              </w:rPr>
              <w:t>分值</w:t>
            </w:r>
          </w:p>
        </w:tc>
        <w:tc>
          <w:tcPr>
            <w:tcW w:w="4150" w:type="dxa"/>
            <w:noWrap w:val="0"/>
            <w:vAlign w:val="center"/>
          </w:tcPr>
          <w:p w14:paraId="63B7A06A">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rPr>
              <w:t>评分标准</w:t>
            </w:r>
          </w:p>
        </w:tc>
        <w:tc>
          <w:tcPr>
            <w:tcW w:w="1320" w:type="dxa"/>
            <w:noWrap w:val="0"/>
            <w:vAlign w:val="center"/>
          </w:tcPr>
          <w:p w14:paraId="62E0DF0D">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rPr>
              <w:t>说明</w:t>
            </w:r>
          </w:p>
        </w:tc>
      </w:tr>
      <w:tr w14:paraId="5A36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5A5D26D2">
            <w:pPr>
              <w:spacing w:line="360" w:lineRule="auto"/>
              <w:ind w:firstLine="28" w:firstLineChars="0"/>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color w:val="auto"/>
                <w:sz w:val="21"/>
                <w:szCs w:val="21"/>
              </w:rPr>
              <w:t>1</w:t>
            </w:r>
          </w:p>
        </w:tc>
        <w:tc>
          <w:tcPr>
            <w:tcW w:w="1383" w:type="dxa"/>
            <w:noWrap w:val="0"/>
            <w:vAlign w:val="center"/>
          </w:tcPr>
          <w:p w14:paraId="63965DF4">
            <w:pPr>
              <w:spacing w:line="360" w:lineRule="auto"/>
              <w:jc w:val="center"/>
              <w:rPr>
                <w:rFonts w:hint="eastAsia" w:ascii="黑体" w:hAnsi="黑体" w:eastAsia="黑体" w:cs="黑体"/>
                <w:b w:val="0"/>
                <w:bCs/>
                <w:color w:val="auto"/>
                <w:sz w:val="24"/>
                <w:szCs w:val="24"/>
                <w:highlight w:val="none"/>
              </w:rPr>
            </w:pPr>
            <w:r>
              <w:rPr>
                <w:rFonts w:hint="eastAsia" w:ascii="黑体" w:hAnsi="黑体" w:eastAsia="黑体" w:cs="黑体"/>
                <w:color w:val="auto"/>
                <w:sz w:val="21"/>
                <w:szCs w:val="21"/>
              </w:rPr>
              <w:t>报价</w:t>
            </w:r>
            <w:r>
              <w:rPr>
                <w:rFonts w:hint="eastAsia" w:ascii="黑体" w:hAnsi="黑体" w:eastAsia="黑体" w:cs="黑体"/>
                <w:color w:val="auto"/>
                <w:sz w:val="21"/>
                <w:szCs w:val="21"/>
                <w:lang w:val="en-US" w:eastAsia="zh-CN"/>
              </w:rPr>
              <w:t>3</w:t>
            </w:r>
            <w:r>
              <w:rPr>
                <w:rFonts w:hint="eastAsia" w:ascii="黑体" w:hAnsi="黑体" w:eastAsia="黑体" w:cs="黑体"/>
                <w:color w:val="auto"/>
                <w:sz w:val="21"/>
                <w:szCs w:val="21"/>
              </w:rPr>
              <w:t>0%</w:t>
            </w:r>
          </w:p>
        </w:tc>
        <w:tc>
          <w:tcPr>
            <w:tcW w:w="850" w:type="dxa"/>
            <w:noWrap w:val="0"/>
            <w:vAlign w:val="center"/>
          </w:tcPr>
          <w:p w14:paraId="40396A78">
            <w:pPr>
              <w:spacing w:line="360" w:lineRule="auto"/>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color w:val="auto"/>
                <w:sz w:val="21"/>
                <w:szCs w:val="21"/>
                <w:lang w:val="en-US" w:eastAsia="zh-CN"/>
              </w:rPr>
              <w:t>3</w:t>
            </w:r>
            <w:r>
              <w:rPr>
                <w:rFonts w:hint="eastAsia" w:ascii="黑体" w:hAnsi="黑体" w:eastAsia="黑体" w:cs="黑体"/>
                <w:color w:val="auto"/>
                <w:sz w:val="21"/>
                <w:szCs w:val="21"/>
              </w:rPr>
              <w:t>0</w:t>
            </w:r>
            <w:r>
              <w:rPr>
                <w:rFonts w:hint="eastAsia" w:ascii="黑体" w:hAnsi="黑体" w:eastAsia="黑体" w:cs="黑体"/>
                <w:color w:val="auto"/>
                <w:sz w:val="21"/>
                <w:szCs w:val="21"/>
                <w:lang w:val="en-US" w:eastAsia="zh-CN"/>
              </w:rPr>
              <w:t>分</w:t>
            </w:r>
          </w:p>
        </w:tc>
        <w:tc>
          <w:tcPr>
            <w:tcW w:w="4150" w:type="dxa"/>
            <w:noWrap w:val="0"/>
            <w:vAlign w:val="center"/>
          </w:tcPr>
          <w:p w14:paraId="147108F7">
            <w:pPr>
              <w:spacing w:line="360" w:lineRule="auto"/>
              <w:rPr>
                <w:rFonts w:hint="eastAsia" w:ascii="黑体" w:hAnsi="黑体" w:eastAsia="黑体" w:cs="黑体"/>
                <w:b w:val="0"/>
                <w:bCs/>
                <w:color w:val="auto"/>
                <w:sz w:val="24"/>
                <w:szCs w:val="24"/>
                <w:highlight w:val="none"/>
              </w:rPr>
            </w:pPr>
            <w:r>
              <w:rPr>
                <w:rFonts w:hint="eastAsia" w:ascii="黑体" w:hAnsi="黑体" w:eastAsia="黑体" w:cs="黑体"/>
                <w:color w:val="auto"/>
                <w:sz w:val="21"/>
                <w:szCs w:val="21"/>
              </w:rPr>
              <w:t>以本次有效的投标</w:t>
            </w:r>
            <w:r>
              <w:rPr>
                <w:rFonts w:hint="eastAsia" w:ascii="黑体" w:hAnsi="黑体" w:eastAsia="黑体" w:cs="黑体"/>
                <w:color w:val="auto"/>
                <w:sz w:val="21"/>
                <w:szCs w:val="21"/>
                <w:lang w:val="en-US" w:eastAsia="zh-CN"/>
              </w:rPr>
              <w:t>报价</w:t>
            </w:r>
            <w:r>
              <w:rPr>
                <w:rFonts w:hint="eastAsia" w:ascii="黑体" w:hAnsi="黑体" w:eastAsia="黑体" w:cs="黑体"/>
                <w:color w:val="auto"/>
                <w:sz w:val="21"/>
                <w:szCs w:val="21"/>
              </w:rPr>
              <w:t>最低的为基准价，其价格分为满分。其他</w:t>
            </w:r>
            <w:r>
              <w:rPr>
                <w:rFonts w:hint="eastAsia" w:ascii="黑体" w:hAnsi="黑体" w:eastAsia="黑体" w:cs="黑体"/>
                <w:color w:val="auto"/>
                <w:sz w:val="21"/>
                <w:szCs w:val="21"/>
                <w:lang w:val="en-US" w:eastAsia="zh-CN"/>
              </w:rPr>
              <w:t>供应商</w:t>
            </w:r>
            <w:r>
              <w:rPr>
                <w:rFonts w:hint="eastAsia" w:ascii="黑体" w:hAnsi="黑体" w:eastAsia="黑体" w:cs="黑体"/>
                <w:color w:val="auto"/>
                <w:sz w:val="21"/>
                <w:szCs w:val="21"/>
              </w:rPr>
              <w:t>的价格分统一按照下列公式计算</w:t>
            </w:r>
            <w:r>
              <w:rPr>
                <w:rFonts w:hint="eastAsia" w:ascii="黑体" w:hAnsi="黑体" w:eastAsia="黑体" w:cs="黑体"/>
                <w:color w:val="auto"/>
                <w:sz w:val="21"/>
                <w:szCs w:val="21"/>
                <w:lang w:eastAsia="zh-CN"/>
              </w:rPr>
              <w:t>：</w:t>
            </w:r>
            <w:r>
              <w:rPr>
                <w:rFonts w:hint="eastAsia" w:ascii="黑体" w:hAnsi="黑体" w:eastAsia="黑体" w:cs="黑体"/>
                <w:color w:val="auto"/>
                <w:sz w:val="21"/>
                <w:szCs w:val="21"/>
              </w:rPr>
              <w:t>投标报价得分</w:t>
            </w:r>
            <w:r>
              <w:rPr>
                <w:rFonts w:hint="eastAsia" w:ascii="黑体" w:hAnsi="黑体" w:eastAsia="黑体" w:cs="黑体"/>
                <w:color w:val="auto"/>
                <w:sz w:val="21"/>
                <w:szCs w:val="21"/>
                <w:lang w:val="en-US" w:eastAsia="zh-CN"/>
              </w:rPr>
              <w:t>=</w:t>
            </w:r>
            <w:r>
              <w:rPr>
                <w:rFonts w:hint="eastAsia" w:ascii="黑体" w:hAnsi="黑体" w:eastAsia="黑体" w:cs="黑体"/>
                <w:color w:val="auto"/>
                <w:sz w:val="21"/>
                <w:szCs w:val="21"/>
              </w:rPr>
              <w:t>(评标基准价</w:t>
            </w:r>
            <w:r>
              <w:rPr>
                <w:rFonts w:hint="eastAsia" w:ascii="黑体" w:hAnsi="黑体" w:eastAsia="黑体" w:cs="黑体"/>
                <w:color w:val="auto"/>
                <w:sz w:val="21"/>
                <w:szCs w:val="21"/>
                <w:lang w:val="en-US" w:eastAsia="zh-CN"/>
              </w:rPr>
              <w:t>÷</w:t>
            </w:r>
            <w:r>
              <w:rPr>
                <w:rFonts w:hint="eastAsia" w:ascii="黑体" w:hAnsi="黑体" w:eastAsia="黑体" w:cs="黑体"/>
                <w:color w:val="auto"/>
                <w:sz w:val="21"/>
                <w:szCs w:val="21"/>
              </w:rPr>
              <w:t>投标报价)</w:t>
            </w:r>
            <w:r>
              <w:rPr>
                <w:rFonts w:hint="eastAsia" w:ascii="黑体" w:hAnsi="黑体" w:eastAsia="黑体" w:cs="黑体"/>
                <w:color w:val="auto"/>
                <w:sz w:val="21"/>
                <w:szCs w:val="21"/>
                <w:lang w:val="en-US" w:eastAsia="zh-CN"/>
              </w:rPr>
              <w:t>×3</w:t>
            </w:r>
            <w:r>
              <w:rPr>
                <w:rFonts w:hint="eastAsia" w:ascii="黑体" w:hAnsi="黑体" w:eastAsia="黑体" w:cs="黑体"/>
                <w:color w:val="auto"/>
                <w:sz w:val="21"/>
                <w:szCs w:val="21"/>
              </w:rPr>
              <w:t>0%</w:t>
            </w:r>
            <w:r>
              <w:rPr>
                <w:rFonts w:hint="eastAsia" w:ascii="黑体" w:hAnsi="黑体" w:eastAsia="黑体" w:cs="黑体"/>
                <w:color w:val="auto"/>
                <w:sz w:val="21"/>
                <w:szCs w:val="21"/>
                <w:lang w:val="en-US" w:eastAsia="zh-CN"/>
              </w:rPr>
              <w:t>×</w:t>
            </w:r>
            <w:r>
              <w:rPr>
                <w:rFonts w:hint="eastAsia" w:ascii="黑体" w:hAnsi="黑体" w:eastAsia="黑体" w:cs="黑体"/>
                <w:color w:val="auto"/>
                <w:sz w:val="21"/>
                <w:szCs w:val="21"/>
              </w:rPr>
              <w:t>100</w:t>
            </w:r>
            <w:r>
              <w:rPr>
                <w:rFonts w:hint="eastAsia" w:ascii="黑体" w:hAnsi="黑体" w:eastAsia="黑体" w:cs="黑体"/>
                <w:color w:val="auto"/>
                <w:sz w:val="21"/>
                <w:szCs w:val="21"/>
                <w:lang w:eastAsia="zh-CN"/>
              </w:rPr>
              <w:t>。</w:t>
            </w:r>
          </w:p>
        </w:tc>
        <w:tc>
          <w:tcPr>
            <w:tcW w:w="1320" w:type="dxa"/>
            <w:noWrap w:val="0"/>
            <w:vAlign w:val="center"/>
          </w:tcPr>
          <w:p w14:paraId="176B883C">
            <w:pPr>
              <w:spacing w:line="360" w:lineRule="auto"/>
              <w:jc w:val="center"/>
              <w:rPr>
                <w:rFonts w:hint="eastAsia" w:ascii="黑体" w:hAnsi="黑体" w:eastAsia="黑体" w:cs="黑体"/>
                <w:b w:val="0"/>
                <w:bCs/>
                <w:color w:val="auto"/>
                <w:sz w:val="24"/>
                <w:szCs w:val="24"/>
                <w:highlight w:val="none"/>
              </w:rPr>
            </w:pPr>
            <w:r>
              <w:rPr>
                <w:rFonts w:hint="eastAsia" w:ascii="黑体" w:hAnsi="黑体" w:eastAsia="黑体" w:cs="黑体"/>
                <w:color w:val="auto"/>
                <w:sz w:val="21"/>
                <w:szCs w:val="21"/>
              </w:rPr>
              <w:t>/</w:t>
            </w:r>
          </w:p>
        </w:tc>
      </w:tr>
      <w:tr w14:paraId="2589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4847AA2F">
            <w:pPr>
              <w:spacing w:line="360" w:lineRule="auto"/>
              <w:ind w:firstLine="28" w:firstLineChars="0"/>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color w:val="auto"/>
                <w:sz w:val="21"/>
                <w:szCs w:val="21"/>
              </w:rPr>
              <w:t>2</w:t>
            </w:r>
          </w:p>
        </w:tc>
        <w:tc>
          <w:tcPr>
            <w:tcW w:w="1383" w:type="dxa"/>
            <w:noWrap w:val="0"/>
            <w:vAlign w:val="center"/>
          </w:tcPr>
          <w:p w14:paraId="157D8328">
            <w:pPr>
              <w:spacing w:line="360" w:lineRule="auto"/>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服务内容及要求</w:t>
            </w:r>
          </w:p>
          <w:p w14:paraId="7566A060">
            <w:pPr>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12%</w:t>
            </w:r>
          </w:p>
        </w:tc>
        <w:tc>
          <w:tcPr>
            <w:tcW w:w="850" w:type="dxa"/>
            <w:noWrap w:val="0"/>
            <w:vAlign w:val="center"/>
          </w:tcPr>
          <w:p w14:paraId="30D6AC90">
            <w:pPr>
              <w:spacing w:line="360" w:lineRule="auto"/>
              <w:jc w:val="center"/>
              <w:rPr>
                <w:rFonts w:hint="default"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12分</w:t>
            </w:r>
          </w:p>
        </w:tc>
        <w:tc>
          <w:tcPr>
            <w:tcW w:w="4150" w:type="dxa"/>
            <w:noWrap w:val="0"/>
            <w:vAlign w:val="center"/>
          </w:tcPr>
          <w:p w14:paraId="1029126A">
            <w:pPr>
              <w:spacing w:line="360" w:lineRule="auto"/>
              <w:rPr>
                <w:rFonts w:hint="eastAsia" w:ascii="黑体" w:hAnsi="黑体" w:eastAsia="黑体" w:cs="黑体"/>
                <w:color w:val="auto"/>
                <w:sz w:val="21"/>
                <w:szCs w:val="21"/>
              </w:rPr>
            </w:pPr>
            <w:r>
              <w:rPr>
                <w:rFonts w:hint="eastAsia" w:ascii="黑体" w:hAnsi="黑体" w:eastAsia="黑体" w:cs="黑体"/>
                <w:color w:val="auto"/>
                <w:sz w:val="21"/>
                <w:szCs w:val="21"/>
              </w:rPr>
              <w:t>完全满足</w:t>
            </w:r>
            <w:r>
              <w:rPr>
                <w:rFonts w:hint="eastAsia" w:ascii="黑体" w:hAnsi="黑体" w:eastAsia="黑体" w:cs="黑体"/>
                <w:color w:val="auto"/>
                <w:sz w:val="21"/>
                <w:szCs w:val="21"/>
                <w:lang w:val="en-US" w:eastAsia="zh-CN"/>
              </w:rPr>
              <w:t>招标</w:t>
            </w:r>
            <w:r>
              <w:rPr>
                <w:rFonts w:hint="eastAsia" w:ascii="黑体" w:hAnsi="黑体" w:eastAsia="黑体" w:cs="黑体"/>
                <w:color w:val="auto"/>
                <w:sz w:val="21"/>
                <w:szCs w:val="21"/>
              </w:rPr>
              <w:t>文件技术要求的</w:t>
            </w:r>
            <w:r>
              <w:rPr>
                <w:rFonts w:hint="eastAsia" w:ascii="黑体" w:hAnsi="黑体" w:eastAsia="黑体" w:cs="黑体"/>
                <w:color w:val="auto"/>
                <w:sz w:val="21"/>
                <w:szCs w:val="21"/>
                <w:lang w:eastAsia="zh-CN"/>
              </w:rPr>
              <w:t>（</w:t>
            </w:r>
            <w:r>
              <w:rPr>
                <w:rFonts w:hint="eastAsia" w:ascii="黑体" w:hAnsi="黑体" w:eastAsia="黑体" w:cs="黑体"/>
                <w:color w:val="auto"/>
                <w:sz w:val="21"/>
                <w:szCs w:val="21"/>
              </w:rPr>
              <w:t>没有负偏离）得</w:t>
            </w:r>
            <w:r>
              <w:rPr>
                <w:rFonts w:hint="eastAsia" w:ascii="黑体" w:hAnsi="黑体" w:eastAsia="黑体" w:cs="黑体"/>
                <w:color w:val="auto"/>
                <w:sz w:val="21"/>
                <w:szCs w:val="21"/>
                <w:lang w:val="en-US" w:eastAsia="zh-CN"/>
              </w:rPr>
              <w:t>12</w:t>
            </w:r>
            <w:r>
              <w:rPr>
                <w:rFonts w:hint="eastAsia" w:ascii="黑体" w:hAnsi="黑体" w:eastAsia="黑体" w:cs="黑体"/>
                <w:color w:val="auto"/>
                <w:sz w:val="21"/>
                <w:szCs w:val="21"/>
              </w:rPr>
              <w:t>分，负偏离一项扣</w:t>
            </w:r>
            <w:r>
              <w:rPr>
                <w:rFonts w:hint="eastAsia" w:ascii="黑体" w:hAnsi="黑体" w:eastAsia="黑体" w:cs="黑体"/>
                <w:color w:val="auto"/>
                <w:sz w:val="21"/>
                <w:szCs w:val="21"/>
                <w:lang w:val="en-US" w:eastAsia="zh-CN"/>
              </w:rPr>
              <w:t>3</w:t>
            </w:r>
            <w:r>
              <w:rPr>
                <w:rFonts w:hint="eastAsia" w:ascii="黑体" w:hAnsi="黑体" w:eastAsia="黑体" w:cs="黑体"/>
                <w:color w:val="auto"/>
                <w:sz w:val="21"/>
                <w:szCs w:val="21"/>
              </w:rPr>
              <w:t>分。</w:t>
            </w:r>
          </w:p>
        </w:tc>
        <w:tc>
          <w:tcPr>
            <w:tcW w:w="1320" w:type="dxa"/>
            <w:noWrap w:val="0"/>
            <w:vAlign w:val="center"/>
          </w:tcPr>
          <w:p w14:paraId="7B965580">
            <w:pPr>
              <w:spacing w:line="360" w:lineRule="auto"/>
              <w:jc w:val="center"/>
              <w:rPr>
                <w:rFonts w:hint="eastAsia" w:ascii="黑体" w:hAnsi="黑体" w:eastAsia="黑体" w:cs="黑体"/>
                <w:b w:val="0"/>
                <w:bCs/>
                <w:color w:val="auto"/>
                <w:sz w:val="24"/>
                <w:szCs w:val="24"/>
                <w:highlight w:val="none"/>
              </w:rPr>
            </w:pPr>
            <w:r>
              <w:rPr>
                <w:rFonts w:hint="eastAsia" w:ascii="黑体" w:hAnsi="黑体" w:eastAsia="黑体" w:cs="黑体"/>
                <w:color w:val="auto"/>
                <w:sz w:val="21"/>
                <w:szCs w:val="21"/>
              </w:rPr>
              <w:t>/</w:t>
            </w:r>
          </w:p>
        </w:tc>
      </w:tr>
      <w:tr w14:paraId="2272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noWrap w:val="0"/>
            <w:vAlign w:val="center"/>
          </w:tcPr>
          <w:p w14:paraId="5156228A">
            <w:pPr>
              <w:spacing w:line="360" w:lineRule="auto"/>
              <w:ind w:firstLine="28" w:firstLineChars="0"/>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color w:val="auto"/>
                <w:sz w:val="21"/>
                <w:szCs w:val="21"/>
              </w:rPr>
              <w:t>3</w:t>
            </w:r>
          </w:p>
        </w:tc>
        <w:tc>
          <w:tcPr>
            <w:tcW w:w="1383" w:type="dxa"/>
            <w:noWrap w:val="0"/>
            <w:vAlign w:val="center"/>
          </w:tcPr>
          <w:p w14:paraId="2253A7B1">
            <w:pPr>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服务方案</w:t>
            </w:r>
            <w:r>
              <w:rPr>
                <w:rFonts w:hint="eastAsia" w:ascii="黑体" w:hAnsi="黑体" w:eastAsia="黑体" w:cs="黑体"/>
                <w:color w:val="auto"/>
                <w:sz w:val="21"/>
                <w:szCs w:val="21"/>
                <w:lang w:val="en-US" w:eastAsia="zh-CN"/>
              </w:rPr>
              <w:t>30</w:t>
            </w:r>
            <w:r>
              <w:rPr>
                <w:rFonts w:hint="eastAsia" w:ascii="黑体" w:hAnsi="黑体" w:eastAsia="黑体" w:cs="黑体"/>
                <w:color w:val="auto"/>
                <w:sz w:val="21"/>
                <w:szCs w:val="21"/>
              </w:rPr>
              <w:t>%</w:t>
            </w:r>
          </w:p>
        </w:tc>
        <w:tc>
          <w:tcPr>
            <w:tcW w:w="850" w:type="dxa"/>
            <w:noWrap w:val="0"/>
            <w:vAlign w:val="center"/>
          </w:tcPr>
          <w:p w14:paraId="0CDD6C40">
            <w:pPr>
              <w:spacing w:line="360" w:lineRule="auto"/>
              <w:jc w:val="center"/>
              <w:rPr>
                <w:rFonts w:hint="default"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30分</w:t>
            </w:r>
          </w:p>
        </w:tc>
        <w:tc>
          <w:tcPr>
            <w:tcW w:w="4150" w:type="dxa"/>
            <w:noWrap w:val="0"/>
            <w:vAlign w:val="center"/>
          </w:tcPr>
          <w:p w14:paraId="7912C747">
            <w:pPr>
              <w:spacing w:line="360" w:lineRule="auto"/>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1.供应商</w:t>
            </w:r>
            <w:r>
              <w:rPr>
                <w:rFonts w:hint="eastAsia" w:ascii="黑体" w:hAnsi="黑体" w:eastAsia="黑体" w:cs="黑体"/>
                <w:color w:val="auto"/>
                <w:sz w:val="21"/>
                <w:szCs w:val="21"/>
              </w:rPr>
              <w:t>提供针对本项目的服务方案，方案内容至少包括</w:t>
            </w:r>
            <w:r>
              <w:rPr>
                <w:rFonts w:hint="eastAsia" w:ascii="黑体" w:hAnsi="黑体" w:eastAsia="黑体" w:cs="黑体"/>
                <w:color w:val="auto"/>
                <w:sz w:val="21"/>
                <w:szCs w:val="21"/>
                <w:lang w:eastAsia="zh-CN"/>
              </w:rPr>
              <w:t>：</w:t>
            </w:r>
            <w:r>
              <w:rPr>
                <w:rFonts w:hint="eastAsia" w:ascii="黑体" w:hAnsi="黑体" w:eastAsia="黑体" w:cs="黑体"/>
                <w:color w:val="auto"/>
                <w:sz w:val="21"/>
                <w:szCs w:val="21"/>
                <w:lang w:val="en-US" w:eastAsia="zh-CN"/>
              </w:rPr>
              <w:t>（1）</w:t>
            </w:r>
            <w:r>
              <w:rPr>
                <w:rFonts w:hint="eastAsia" w:ascii="黑体" w:hAnsi="黑体" w:eastAsia="黑体" w:cs="黑体"/>
                <w:color w:val="auto"/>
                <w:sz w:val="21"/>
                <w:szCs w:val="21"/>
              </w:rPr>
              <w:t>人员配置情况（人员架构及相关资证）</w:t>
            </w:r>
            <w:r>
              <w:rPr>
                <w:rFonts w:hint="eastAsia" w:ascii="黑体" w:hAnsi="黑体" w:eastAsia="黑体" w:cs="黑体"/>
                <w:color w:val="auto"/>
                <w:sz w:val="21"/>
                <w:szCs w:val="21"/>
                <w:lang w:eastAsia="zh-CN"/>
              </w:rPr>
              <w:t>；</w:t>
            </w:r>
            <w:r>
              <w:rPr>
                <w:rFonts w:hint="eastAsia" w:ascii="黑体" w:hAnsi="黑体" w:eastAsia="黑体" w:cs="黑体"/>
                <w:color w:val="auto"/>
                <w:sz w:val="21"/>
                <w:szCs w:val="21"/>
                <w:lang w:val="en-US" w:eastAsia="zh-CN"/>
              </w:rPr>
              <w:t>（2）</w:t>
            </w:r>
            <w:r>
              <w:rPr>
                <w:rFonts w:hint="eastAsia" w:ascii="黑体" w:hAnsi="黑体" w:eastAsia="黑体" w:cs="黑体"/>
                <w:color w:val="auto"/>
                <w:sz w:val="21"/>
                <w:szCs w:val="21"/>
              </w:rPr>
              <w:t>项目管理措施（包括不限于实施具体流程、进度安排）</w:t>
            </w:r>
            <w:r>
              <w:rPr>
                <w:rFonts w:hint="eastAsia" w:ascii="黑体" w:hAnsi="黑体" w:eastAsia="黑体" w:cs="黑体"/>
                <w:color w:val="auto"/>
                <w:sz w:val="21"/>
                <w:szCs w:val="21"/>
                <w:lang w:eastAsia="zh-CN"/>
              </w:rPr>
              <w:t>；（</w:t>
            </w:r>
            <w:r>
              <w:rPr>
                <w:rFonts w:hint="eastAsia" w:ascii="黑体" w:hAnsi="黑体" w:eastAsia="黑体" w:cs="黑体"/>
                <w:color w:val="auto"/>
                <w:sz w:val="21"/>
                <w:szCs w:val="21"/>
                <w:lang w:val="en-US" w:eastAsia="zh-CN"/>
              </w:rPr>
              <w:t>3</w:t>
            </w:r>
            <w:r>
              <w:rPr>
                <w:rFonts w:hint="eastAsia" w:ascii="黑体" w:hAnsi="黑体" w:eastAsia="黑体" w:cs="黑体"/>
                <w:color w:val="auto"/>
                <w:sz w:val="21"/>
                <w:szCs w:val="21"/>
                <w:lang w:eastAsia="zh-CN"/>
              </w:rPr>
              <w:t>）</w:t>
            </w:r>
            <w:r>
              <w:rPr>
                <w:rFonts w:hint="eastAsia" w:ascii="黑体" w:hAnsi="黑体" w:eastAsia="黑体" w:cs="黑体"/>
                <w:color w:val="auto"/>
                <w:sz w:val="21"/>
                <w:szCs w:val="21"/>
              </w:rPr>
              <w:t>技术和服务质量保证措施</w:t>
            </w:r>
            <w:r>
              <w:rPr>
                <w:rFonts w:hint="eastAsia" w:ascii="黑体" w:hAnsi="黑体" w:eastAsia="黑体" w:cs="黑体"/>
                <w:color w:val="auto"/>
                <w:sz w:val="21"/>
                <w:szCs w:val="21"/>
                <w:lang w:eastAsia="zh-CN"/>
              </w:rPr>
              <w:t>；（</w:t>
            </w:r>
            <w:r>
              <w:rPr>
                <w:rFonts w:hint="eastAsia" w:ascii="黑体" w:hAnsi="黑体" w:eastAsia="黑体" w:cs="黑体"/>
                <w:color w:val="auto"/>
                <w:sz w:val="21"/>
                <w:szCs w:val="21"/>
                <w:lang w:val="en-US" w:eastAsia="zh-CN"/>
              </w:rPr>
              <w:t>4</w:t>
            </w:r>
            <w:r>
              <w:rPr>
                <w:rFonts w:hint="eastAsia" w:ascii="黑体" w:hAnsi="黑体" w:eastAsia="黑体" w:cs="黑体"/>
                <w:color w:val="auto"/>
                <w:sz w:val="21"/>
                <w:szCs w:val="21"/>
                <w:lang w:eastAsia="zh-CN"/>
              </w:rPr>
              <w:t>）</w:t>
            </w:r>
            <w:r>
              <w:rPr>
                <w:rFonts w:hint="eastAsia" w:ascii="黑体" w:hAnsi="黑体" w:eastAsia="黑体" w:cs="黑体"/>
                <w:color w:val="auto"/>
                <w:sz w:val="21"/>
                <w:szCs w:val="21"/>
              </w:rPr>
              <w:t>环境保护管理体系与措施方案</w:t>
            </w:r>
            <w:r>
              <w:rPr>
                <w:rFonts w:hint="eastAsia" w:ascii="黑体" w:hAnsi="黑体" w:eastAsia="黑体" w:cs="黑体"/>
                <w:color w:val="auto"/>
                <w:sz w:val="21"/>
                <w:szCs w:val="21"/>
                <w:lang w:eastAsia="zh-CN"/>
              </w:rPr>
              <w:t>；（</w:t>
            </w:r>
            <w:r>
              <w:rPr>
                <w:rFonts w:hint="eastAsia" w:ascii="黑体" w:hAnsi="黑体" w:eastAsia="黑体" w:cs="黑体"/>
                <w:color w:val="auto"/>
                <w:sz w:val="21"/>
                <w:szCs w:val="21"/>
                <w:lang w:val="en-US" w:eastAsia="zh-CN"/>
              </w:rPr>
              <w:t>5</w:t>
            </w:r>
            <w:r>
              <w:rPr>
                <w:rFonts w:hint="eastAsia" w:ascii="黑体" w:hAnsi="黑体" w:eastAsia="黑体" w:cs="黑体"/>
                <w:color w:val="auto"/>
                <w:sz w:val="21"/>
                <w:szCs w:val="21"/>
                <w:lang w:eastAsia="zh-CN"/>
              </w:rPr>
              <w:t>）</w:t>
            </w:r>
            <w:r>
              <w:rPr>
                <w:rFonts w:hint="eastAsia" w:ascii="黑体" w:hAnsi="黑体" w:eastAsia="黑体" w:cs="黑体"/>
                <w:color w:val="auto"/>
                <w:sz w:val="21"/>
                <w:szCs w:val="21"/>
              </w:rPr>
              <w:t>应急预案。方案能体现项目需求，并完全响应磋商文件内容且符合项目实际要求的得</w:t>
            </w:r>
            <w:r>
              <w:rPr>
                <w:rFonts w:hint="eastAsia" w:ascii="黑体" w:hAnsi="黑体" w:eastAsia="黑体" w:cs="黑体"/>
                <w:color w:val="auto"/>
                <w:sz w:val="21"/>
                <w:szCs w:val="21"/>
                <w:lang w:val="en-US" w:eastAsia="zh-CN"/>
              </w:rPr>
              <w:t>30</w:t>
            </w:r>
            <w:r>
              <w:rPr>
                <w:rFonts w:hint="eastAsia" w:ascii="黑体" w:hAnsi="黑体" w:eastAsia="黑体" w:cs="黑体"/>
                <w:color w:val="auto"/>
                <w:sz w:val="21"/>
                <w:szCs w:val="21"/>
              </w:rPr>
              <w:t>分，</w:t>
            </w:r>
            <w:r>
              <w:rPr>
                <w:rFonts w:hint="eastAsia" w:ascii="黑体" w:hAnsi="黑体" w:eastAsia="黑体" w:cs="黑体"/>
                <w:color w:val="auto"/>
                <w:sz w:val="21"/>
                <w:szCs w:val="21"/>
                <w:lang w:val="en-US" w:eastAsia="zh-CN"/>
              </w:rPr>
              <w:t>每缺一项或与本项目内容不符的扣6分，每一项方案内容</w:t>
            </w:r>
            <w:r>
              <w:rPr>
                <w:rFonts w:ascii="黑体" w:hAnsi="宋体" w:eastAsia="黑体" w:cs="黑体"/>
                <w:i w:val="0"/>
                <w:caps w:val="0"/>
                <w:color w:val="000000"/>
                <w:spacing w:val="0"/>
                <w:sz w:val="21"/>
                <w:szCs w:val="21"/>
                <w:shd w:val="clear" w:color="auto" w:fill="FFFFFF"/>
              </w:rPr>
              <w:t>如有不完整、不科学、不明确或存在逻辑错误等情况</w:t>
            </w:r>
            <w:r>
              <w:rPr>
                <w:rFonts w:hint="eastAsia" w:ascii="黑体" w:hAnsi="宋体" w:eastAsia="黑体" w:cs="黑体"/>
                <w:i w:val="0"/>
                <w:caps w:val="0"/>
                <w:color w:val="000000"/>
                <w:spacing w:val="0"/>
                <w:sz w:val="21"/>
                <w:szCs w:val="21"/>
                <w:shd w:val="clear" w:color="auto" w:fill="FFFFFF"/>
                <w:lang w:val="en-US" w:eastAsia="zh-CN"/>
              </w:rPr>
              <w:t>的</w:t>
            </w:r>
            <w:r>
              <w:rPr>
                <w:rFonts w:ascii="黑体" w:hAnsi="宋体" w:eastAsia="黑体" w:cs="黑体"/>
                <w:i w:val="0"/>
                <w:caps w:val="0"/>
                <w:color w:val="000000"/>
                <w:spacing w:val="0"/>
                <w:sz w:val="21"/>
                <w:szCs w:val="21"/>
                <w:shd w:val="clear" w:color="auto" w:fill="FFFFFF"/>
              </w:rPr>
              <w:t>，</w:t>
            </w:r>
            <w:r>
              <w:rPr>
                <w:rFonts w:hint="eastAsia" w:ascii="黑体" w:hAnsi="黑体" w:eastAsia="黑体" w:cs="黑体"/>
                <w:color w:val="auto"/>
                <w:sz w:val="21"/>
                <w:szCs w:val="21"/>
                <w:lang w:val="en-US" w:eastAsia="zh-CN"/>
              </w:rPr>
              <w:t>扣3分。</w:t>
            </w:r>
          </w:p>
        </w:tc>
        <w:tc>
          <w:tcPr>
            <w:tcW w:w="1320" w:type="dxa"/>
            <w:noWrap w:val="0"/>
            <w:vAlign w:val="center"/>
          </w:tcPr>
          <w:p w14:paraId="40E80E0D">
            <w:pPr>
              <w:tabs>
                <w:tab w:val="left" w:pos="395"/>
              </w:tabs>
              <w:spacing w:line="360" w:lineRule="auto"/>
              <w:jc w:val="center"/>
              <w:rPr>
                <w:rFonts w:hint="eastAsia" w:ascii="黑体" w:hAnsi="黑体" w:eastAsia="黑体" w:cs="黑体"/>
                <w:b w:val="0"/>
                <w:bCs/>
                <w:color w:val="auto"/>
                <w:sz w:val="24"/>
                <w:szCs w:val="24"/>
                <w:highlight w:val="none"/>
                <w:lang w:eastAsia="zh-CN"/>
              </w:rPr>
            </w:pPr>
            <w:r>
              <w:rPr>
                <w:rFonts w:hint="eastAsia" w:ascii="黑体" w:hAnsi="黑体" w:eastAsia="黑体" w:cs="黑体"/>
                <w:color w:val="auto"/>
                <w:sz w:val="21"/>
                <w:szCs w:val="21"/>
              </w:rPr>
              <w:t>/</w:t>
            </w:r>
          </w:p>
        </w:tc>
      </w:tr>
      <w:tr w14:paraId="2A86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6FF48411">
            <w:pPr>
              <w:spacing w:line="360" w:lineRule="auto"/>
              <w:ind w:firstLine="28" w:firstLineChars="0"/>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color w:val="auto"/>
                <w:sz w:val="21"/>
                <w:szCs w:val="21"/>
                <w:lang w:val="en-US" w:eastAsia="zh-CN"/>
              </w:rPr>
              <w:t>4</w:t>
            </w:r>
          </w:p>
        </w:tc>
        <w:tc>
          <w:tcPr>
            <w:tcW w:w="1383" w:type="dxa"/>
            <w:noWrap w:val="0"/>
            <w:vAlign w:val="center"/>
          </w:tcPr>
          <w:p w14:paraId="67CE9A13">
            <w:pPr>
              <w:spacing w:line="360" w:lineRule="auto"/>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综合实力</w:t>
            </w:r>
          </w:p>
          <w:p w14:paraId="7E397127">
            <w:pPr>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18%</w:t>
            </w:r>
          </w:p>
        </w:tc>
        <w:tc>
          <w:tcPr>
            <w:tcW w:w="850" w:type="dxa"/>
            <w:noWrap w:val="0"/>
            <w:vAlign w:val="center"/>
          </w:tcPr>
          <w:p w14:paraId="012E4463">
            <w:pPr>
              <w:spacing w:line="360" w:lineRule="auto"/>
              <w:jc w:val="center"/>
              <w:rPr>
                <w:rFonts w:hint="default"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18分</w:t>
            </w:r>
          </w:p>
        </w:tc>
        <w:tc>
          <w:tcPr>
            <w:tcW w:w="4150" w:type="dxa"/>
            <w:noWrap w:val="0"/>
            <w:vAlign w:val="center"/>
          </w:tcPr>
          <w:p w14:paraId="724891AA">
            <w:pPr>
              <w:spacing w:line="360" w:lineRule="auto"/>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1.供应商</w:t>
            </w:r>
            <w:r>
              <w:rPr>
                <w:rFonts w:hint="eastAsia" w:ascii="黑体" w:hAnsi="黑体" w:eastAsia="黑体" w:cs="黑体"/>
                <w:color w:val="auto"/>
                <w:sz w:val="21"/>
                <w:szCs w:val="21"/>
              </w:rPr>
              <w:t>派往本项目的工作人员</w:t>
            </w:r>
            <w:r>
              <w:rPr>
                <w:rFonts w:hint="eastAsia" w:ascii="黑体" w:hAnsi="黑体" w:eastAsia="黑体" w:cs="黑体"/>
                <w:color w:val="auto"/>
                <w:sz w:val="21"/>
                <w:szCs w:val="21"/>
                <w:lang w:val="en-US" w:eastAsia="zh-CN"/>
              </w:rPr>
              <w:t>中</w:t>
            </w:r>
            <w:r>
              <w:rPr>
                <w:rFonts w:hint="eastAsia" w:ascii="黑体" w:hAnsi="黑体" w:eastAsia="黑体" w:cs="黑体"/>
                <w:color w:val="auto"/>
                <w:sz w:val="21"/>
                <w:szCs w:val="21"/>
              </w:rPr>
              <w:t>具有</w:t>
            </w:r>
            <w:r>
              <w:rPr>
                <w:rFonts w:hint="eastAsia" w:ascii="黑体" w:hAnsi="黑体" w:eastAsia="黑体" w:cs="黑体"/>
                <w:color w:val="auto"/>
                <w:sz w:val="21"/>
                <w:szCs w:val="21"/>
                <w:lang w:val="en-US" w:eastAsia="zh-CN"/>
              </w:rPr>
              <w:t>环保类工程师或安全类工程师</w:t>
            </w:r>
            <w:r>
              <w:rPr>
                <w:rFonts w:hint="eastAsia" w:ascii="黑体" w:hAnsi="黑体" w:eastAsia="黑体" w:cs="黑体"/>
                <w:color w:val="auto"/>
                <w:sz w:val="21"/>
                <w:szCs w:val="21"/>
              </w:rPr>
              <w:t>证书</w:t>
            </w:r>
            <w:r>
              <w:rPr>
                <w:rFonts w:hint="eastAsia" w:ascii="黑体" w:hAnsi="黑体" w:eastAsia="黑体" w:cs="黑体"/>
                <w:color w:val="auto"/>
                <w:sz w:val="21"/>
                <w:szCs w:val="21"/>
                <w:lang w:val="en-US" w:eastAsia="zh-CN"/>
              </w:rPr>
              <w:t>的</w:t>
            </w:r>
            <w:r>
              <w:rPr>
                <w:rFonts w:hint="eastAsia" w:ascii="黑体" w:hAnsi="黑体" w:eastAsia="黑体" w:cs="黑体"/>
                <w:color w:val="auto"/>
                <w:sz w:val="21"/>
                <w:szCs w:val="21"/>
              </w:rPr>
              <w:t>，每提供一个得</w:t>
            </w:r>
            <w:r>
              <w:rPr>
                <w:rFonts w:hint="eastAsia" w:ascii="黑体" w:hAnsi="黑体" w:eastAsia="黑体" w:cs="黑体"/>
                <w:color w:val="auto"/>
                <w:sz w:val="21"/>
                <w:szCs w:val="21"/>
                <w:lang w:val="en-US" w:eastAsia="zh-CN"/>
              </w:rPr>
              <w:t>3</w:t>
            </w:r>
            <w:r>
              <w:rPr>
                <w:rFonts w:hint="eastAsia" w:ascii="黑体" w:hAnsi="黑体" w:eastAsia="黑体" w:cs="黑体"/>
                <w:color w:val="auto"/>
                <w:sz w:val="21"/>
                <w:szCs w:val="21"/>
              </w:rPr>
              <w:t>分，本项最高</w:t>
            </w:r>
            <w:r>
              <w:rPr>
                <w:rFonts w:hint="eastAsia" w:ascii="黑体" w:hAnsi="黑体" w:eastAsia="黑体" w:cs="黑体"/>
                <w:color w:val="auto"/>
                <w:sz w:val="21"/>
                <w:szCs w:val="21"/>
                <w:lang w:val="en-US" w:eastAsia="zh-CN"/>
              </w:rPr>
              <w:t>9</w:t>
            </w:r>
            <w:r>
              <w:rPr>
                <w:rFonts w:hint="eastAsia" w:ascii="黑体" w:hAnsi="黑体" w:eastAsia="黑体" w:cs="黑体"/>
                <w:color w:val="auto"/>
                <w:sz w:val="21"/>
                <w:szCs w:val="21"/>
              </w:rPr>
              <w:t>分。</w:t>
            </w:r>
          </w:p>
          <w:p w14:paraId="2A98C1F6">
            <w:pPr>
              <w:spacing w:line="360" w:lineRule="auto"/>
              <w:rPr>
                <w:rFonts w:hint="eastAsia" w:ascii="黑体" w:hAnsi="黑体" w:eastAsia="黑体" w:cs="黑体"/>
                <w:color w:val="auto"/>
                <w:sz w:val="21"/>
                <w:szCs w:val="21"/>
              </w:rPr>
            </w:pPr>
            <w:r>
              <w:rPr>
                <w:rFonts w:hint="eastAsia" w:ascii="黑体" w:hAnsi="黑体" w:eastAsia="黑体" w:cs="黑体"/>
                <w:color w:val="auto"/>
                <w:sz w:val="21"/>
                <w:szCs w:val="21"/>
              </w:rPr>
              <w:t>2</w:t>
            </w:r>
            <w:r>
              <w:rPr>
                <w:rFonts w:hint="eastAsia" w:ascii="黑体" w:hAnsi="黑体" w:eastAsia="黑体" w:cs="黑体"/>
                <w:color w:val="auto"/>
                <w:sz w:val="21"/>
                <w:szCs w:val="21"/>
                <w:lang w:val="en-US" w:eastAsia="zh-CN"/>
              </w:rPr>
              <w:t>.供应商</w:t>
            </w:r>
            <w:r>
              <w:rPr>
                <w:rFonts w:hint="eastAsia" w:ascii="黑体" w:hAnsi="黑体" w:eastAsia="黑体" w:cs="黑体"/>
                <w:color w:val="auto"/>
                <w:sz w:val="21"/>
                <w:szCs w:val="21"/>
              </w:rPr>
              <w:t>派往本项目的工作人员</w:t>
            </w:r>
            <w:r>
              <w:rPr>
                <w:rFonts w:hint="eastAsia" w:ascii="黑体" w:hAnsi="黑体" w:eastAsia="黑体" w:cs="黑体"/>
                <w:color w:val="auto"/>
                <w:sz w:val="21"/>
                <w:szCs w:val="21"/>
                <w:lang w:val="en-US" w:eastAsia="zh-CN"/>
              </w:rPr>
              <w:t>中</w:t>
            </w:r>
            <w:r>
              <w:rPr>
                <w:rFonts w:hint="eastAsia" w:ascii="黑体" w:hAnsi="黑体" w:eastAsia="黑体" w:cs="黑体"/>
                <w:color w:val="auto"/>
                <w:sz w:val="21"/>
                <w:szCs w:val="21"/>
              </w:rPr>
              <w:t>具有</w:t>
            </w:r>
            <w:r>
              <w:rPr>
                <w:rFonts w:hint="eastAsia" w:ascii="黑体" w:hAnsi="黑体" w:eastAsia="黑体" w:cs="黑体"/>
                <w:color w:val="auto"/>
                <w:sz w:val="21"/>
                <w:szCs w:val="21"/>
                <w:lang w:val="en-US" w:eastAsia="zh-CN"/>
              </w:rPr>
              <w:t>与化粪池清掏相关的</w:t>
            </w:r>
            <w:r>
              <w:rPr>
                <w:rFonts w:hint="eastAsia" w:ascii="黑体" w:hAnsi="黑体" w:eastAsia="黑体" w:cs="黑体"/>
                <w:color w:val="auto"/>
                <w:sz w:val="21"/>
                <w:szCs w:val="21"/>
              </w:rPr>
              <w:t>职业技能证书（如</w:t>
            </w:r>
            <w:r>
              <w:rPr>
                <w:rFonts w:hint="eastAsia" w:ascii="黑体" w:hAnsi="黑体" w:eastAsia="黑体" w:cs="黑体"/>
                <w:color w:val="auto"/>
                <w:sz w:val="21"/>
                <w:szCs w:val="21"/>
                <w:lang w:val="en-US" w:eastAsia="zh-CN"/>
              </w:rPr>
              <w:t>化粪池清理员</w:t>
            </w:r>
            <w:r>
              <w:rPr>
                <w:rFonts w:hint="eastAsia" w:ascii="黑体" w:hAnsi="黑体" w:eastAsia="黑体" w:cs="黑体"/>
                <w:color w:val="auto"/>
                <w:sz w:val="21"/>
                <w:szCs w:val="21"/>
              </w:rPr>
              <w:t>等），每提供一个得</w:t>
            </w:r>
            <w:r>
              <w:rPr>
                <w:rFonts w:hint="eastAsia" w:ascii="黑体" w:hAnsi="黑体" w:eastAsia="黑体" w:cs="黑体"/>
                <w:color w:val="auto"/>
                <w:sz w:val="21"/>
                <w:szCs w:val="21"/>
                <w:lang w:val="en-US" w:eastAsia="zh-CN"/>
              </w:rPr>
              <w:t>3</w:t>
            </w:r>
            <w:r>
              <w:rPr>
                <w:rFonts w:hint="eastAsia" w:ascii="黑体" w:hAnsi="黑体" w:eastAsia="黑体" w:cs="黑体"/>
                <w:color w:val="auto"/>
                <w:sz w:val="21"/>
                <w:szCs w:val="21"/>
              </w:rPr>
              <w:t>分，本项最高得</w:t>
            </w:r>
            <w:r>
              <w:rPr>
                <w:rFonts w:hint="eastAsia" w:ascii="黑体" w:hAnsi="黑体" w:eastAsia="黑体" w:cs="黑体"/>
                <w:color w:val="auto"/>
                <w:sz w:val="21"/>
                <w:szCs w:val="21"/>
                <w:lang w:val="en-US" w:eastAsia="zh-CN"/>
              </w:rPr>
              <w:t>9</w:t>
            </w:r>
            <w:r>
              <w:rPr>
                <w:rFonts w:hint="eastAsia" w:ascii="黑体" w:hAnsi="黑体" w:eastAsia="黑体" w:cs="黑体"/>
                <w:color w:val="auto"/>
                <w:sz w:val="21"/>
                <w:szCs w:val="21"/>
              </w:rPr>
              <w:t>分。</w:t>
            </w:r>
          </w:p>
          <w:p w14:paraId="26B1ADCD">
            <w:pPr>
              <w:spacing w:line="360" w:lineRule="auto"/>
              <w:rPr>
                <w:rFonts w:hint="default" w:ascii="黑体" w:hAnsi="黑体" w:eastAsia="宋体" w:cs="黑体"/>
                <w:color w:val="auto"/>
                <w:sz w:val="21"/>
                <w:szCs w:val="21"/>
                <w:lang w:val="en-US" w:eastAsia="zh-CN"/>
              </w:rPr>
            </w:pPr>
            <w:r>
              <w:rPr>
                <w:rFonts w:hint="eastAsia" w:ascii="黑体" w:hAnsi="黑体" w:eastAsia="黑体" w:cs="黑体"/>
                <w:color w:val="auto"/>
                <w:szCs w:val="21"/>
                <w:lang w:val="en-US" w:eastAsia="zh-CN"/>
              </w:rPr>
              <w:t>注：以上人员提供的证明资料不重复得分。</w:t>
            </w:r>
          </w:p>
        </w:tc>
        <w:tc>
          <w:tcPr>
            <w:tcW w:w="1320" w:type="dxa"/>
            <w:noWrap w:val="0"/>
            <w:vAlign w:val="center"/>
          </w:tcPr>
          <w:p w14:paraId="7184518E">
            <w:pPr>
              <w:spacing w:line="360" w:lineRule="auto"/>
              <w:jc w:val="center"/>
              <w:rPr>
                <w:rFonts w:hint="eastAsia" w:ascii="黑体" w:hAnsi="黑体" w:eastAsia="黑体" w:cs="黑体"/>
                <w:b w:val="0"/>
                <w:bCs/>
                <w:color w:val="auto"/>
                <w:sz w:val="24"/>
                <w:szCs w:val="24"/>
                <w:highlight w:val="none"/>
              </w:rPr>
            </w:pPr>
            <w:r>
              <w:rPr>
                <w:rFonts w:hint="eastAsia" w:ascii="黑体" w:hAnsi="黑体" w:eastAsia="黑体" w:cs="黑体"/>
                <w:color w:val="auto"/>
                <w:sz w:val="21"/>
                <w:szCs w:val="21"/>
              </w:rPr>
              <w:t>/</w:t>
            </w:r>
          </w:p>
        </w:tc>
      </w:tr>
      <w:tr w14:paraId="24FA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819" w:type="dxa"/>
            <w:noWrap w:val="0"/>
            <w:vAlign w:val="center"/>
          </w:tcPr>
          <w:p w14:paraId="6252BE4A">
            <w:pPr>
              <w:spacing w:line="360" w:lineRule="auto"/>
              <w:ind w:firstLine="28" w:firstLineChars="0"/>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color w:val="auto"/>
                <w:sz w:val="21"/>
                <w:szCs w:val="21"/>
                <w:lang w:val="en-US" w:eastAsia="zh-CN"/>
              </w:rPr>
              <w:t>5</w:t>
            </w:r>
          </w:p>
        </w:tc>
        <w:tc>
          <w:tcPr>
            <w:tcW w:w="1383" w:type="dxa"/>
            <w:noWrap w:val="0"/>
            <w:vAlign w:val="center"/>
          </w:tcPr>
          <w:p w14:paraId="7DEEF548">
            <w:pPr>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履约能力10</w:t>
            </w:r>
            <w:r>
              <w:rPr>
                <w:rFonts w:hint="eastAsia" w:ascii="黑体" w:hAnsi="黑体" w:eastAsia="黑体" w:cs="黑体"/>
                <w:color w:val="auto"/>
                <w:sz w:val="21"/>
                <w:szCs w:val="21"/>
              </w:rPr>
              <w:t>%</w:t>
            </w:r>
          </w:p>
        </w:tc>
        <w:tc>
          <w:tcPr>
            <w:tcW w:w="850" w:type="dxa"/>
            <w:noWrap w:val="0"/>
            <w:vAlign w:val="center"/>
          </w:tcPr>
          <w:p w14:paraId="0D079581">
            <w:pPr>
              <w:spacing w:line="360" w:lineRule="auto"/>
              <w:jc w:val="center"/>
              <w:rPr>
                <w:rFonts w:hint="default"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10分</w:t>
            </w:r>
          </w:p>
        </w:tc>
        <w:tc>
          <w:tcPr>
            <w:tcW w:w="4150" w:type="dxa"/>
            <w:noWrap w:val="0"/>
            <w:vAlign w:val="center"/>
          </w:tcPr>
          <w:p w14:paraId="4A6F6327">
            <w:pPr>
              <w:spacing w:line="360" w:lineRule="auto"/>
              <w:rPr>
                <w:rFonts w:hint="eastAsia" w:ascii="黑体" w:hAnsi="黑体" w:eastAsia="黑体" w:cs="黑体"/>
                <w:color w:val="auto"/>
                <w:szCs w:val="21"/>
              </w:rPr>
            </w:pPr>
            <w:r>
              <w:rPr>
                <w:rFonts w:hint="eastAsia" w:ascii="黑体" w:hAnsi="黑体" w:eastAsia="黑体" w:cs="黑体"/>
                <w:color w:val="auto"/>
                <w:sz w:val="21"/>
                <w:szCs w:val="21"/>
                <w:lang w:val="en-US" w:eastAsia="zh-CN"/>
              </w:rPr>
              <w:t>供应商提供具有</w:t>
            </w:r>
            <w:r>
              <w:rPr>
                <w:rFonts w:hint="eastAsia" w:ascii="黑体" w:hAnsi="黑体" w:eastAsia="黑体" w:cs="黑体"/>
                <w:color w:val="auto"/>
                <w:sz w:val="21"/>
                <w:szCs w:val="21"/>
              </w:rPr>
              <w:t>202</w:t>
            </w:r>
            <w:r>
              <w:rPr>
                <w:rFonts w:hint="eastAsia" w:ascii="黑体" w:hAnsi="黑体" w:eastAsia="黑体" w:cs="黑体"/>
                <w:color w:val="auto"/>
                <w:sz w:val="21"/>
                <w:szCs w:val="21"/>
                <w:lang w:val="en-US" w:eastAsia="zh-CN"/>
              </w:rPr>
              <w:t>2</w:t>
            </w:r>
            <w:r>
              <w:rPr>
                <w:rFonts w:hint="eastAsia" w:ascii="黑体" w:hAnsi="黑体" w:eastAsia="黑体" w:cs="黑体"/>
                <w:color w:val="auto"/>
                <w:sz w:val="21"/>
                <w:szCs w:val="21"/>
              </w:rPr>
              <w:t>年</w:t>
            </w:r>
            <w:r>
              <w:rPr>
                <w:rFonts w:hint="eastAsia" w:ascii="黑体" w:hAnsi="黑体" w:eastAsia="黑体" w:cs="黑体"/>
                <w:color w:val="auto"/>
                <w:sz w:val="21"/>
                <w:szCs w:val="21"/>
                <w:lang w:val="en-US" w:eastAsia="zh-CN"/>
              </w:rPr>
              <w:t>9</w:t>
            </w:r>
            <w:r>
              <w:rPr>
                <w:rFonts w:hint="eastAsia" w:ascii="黑体" w:hAnsi="黑体" w:eastAsia="黑体" w:cs="黑体"/>
                <w:color w:val="auto"/>
                <w:sz w:val="21"/>
                <w:szCs w:val="21"/>
              </w:rPr>
              <w:t>月1日至今</w:t>
            </w:r>
            <w:r>
              <w:rPr>
                <w:rFonts w:hint="eastAsia" w:ascii="黑体" w:hAnsi="黑体" w:eastAsia="黑体" w:cs="黑体"/>
                <w:color w:val="auto"/>
                <w:sz w:val="21"/>
                <w:szCs w:val="21"/>
                <w:lang w:val="en-US" w:eastAsia="zh-CN"/>
              </w:rPr>
              <w:t>化粪池清掏处置类似</w:t>
            </w:r>
            <w:r>
              <w:rPr>
                <w:rFonts w:hint="eastAsia" w:ascii="黑体" w:hAnsi="黑体" w:eastAsia="黑体" w:cs="黑体"/>
                <w:color w:val="auto"/>
                <w:sz w:val="21"/>
                <w:szCs w:val="21"/>
              </w:rPr>
              <w:t>业绩，每提供一个得</w:t>
            </w:r>
            <w:r>
              <w:rPr>
                <w:rFonts w:hint="eastAsia" w:ascii="黑体" w:hAnsi="黑体" w:eastAsia="黑体" w:cs="黑体"/>
                <w:color w:val="auto"/>
                <w:sz w:val="21"/>
                <w:szCs w:val="21"/>
                <w:lang w:val="en-US" w:eastAsia="zh-CN"/>
              </w:rPr>
              <w:t>2</w:t>
            </w:r>
            <w:r>
              <w:rPr>
                <w:rFonts w:hint="eastAsia" w:ascii="黑体" w:hAnsi="黑体" w:eastAsia="黑体" w:cs="黑体"/>
                <w:color w:val="auto"/>
                <w:sz w:val="21"/>
                <w:szCs w:val="21"/>
              </w:rPr>
              <w:t>分，最多得</w:t>
            </w:r>
            <w:r>
              <w:rPr>
                <w:rFonts w:hint="eastAsia" w:ascii="黑体" w:hAnsi="黑体" w:eastAsia="黑体" w:cs="黑体"/>
                <w:color w:val="auto"/>
                <w:sz w:val="21"/>
                <w:szCs w:val="21"/>
                <w:lang w:val="en-US" w:eastAsia="zh-CN"/>
              </w:rPr>
              <w:t>10</w:t>
            </w:r>
            <w:r>
              <w:rPr>
                <w:rFonts w:hint="eastAsia" w:ascii="黑体" w:hAnsi="黑体" w:eastAsia="黑体" w:cs="黑体"/>
                <w:color w:val="auto"/>
                <w:sz w:val="21"/>
                <w:szCs w:val="21"/>
              </w:rPr>
              <w:t>分。未提供不得分。</w:t>
            </w:r>
          </w:p>
          <w:p w14:paraId="70D04659">
            <w:pPr>
              <w:spacing w:line="360" w:lineRule="auto"/>
              <w:rPr>
                <w:rFonts w:hint="eastAsia" w:ascii="黑体" w:hAnsi="黑体" w:eastAsia="黑体" w:cs="黑体"/>
                <w:color w:val="auto"/>
                <w:sz w:val="21"/>
                <w:szCs w:val="21"/>
              </w:rPr>
            </w:pPr>
            <w:r>
              <w:rPr>
                <w:rFonts w:hint="eastAsia" w:ascii="黑体" w:hAnsi="黑体" w:eastAsia="黑体" w:cs="黑体"/>
                <w:color w:val="auto"/>
                <w:szCs w:val="21"/>
                <w:lang w:eastAsia="zh-CN"/>
              </w:rPr>
              <w:t>注：业绩时间以合同签订时间为准或中标/成交通知书发放时间为准。</w:t>
            </w:r>
          </w:p>
        </w:tc>
        <w:tc>
          <w:tcPr>
            <w:tcW w:w="1320" w:type="dxa"/>
            <w:noWrap w:val="0"/>
            <w:vAlign w:val="center"/>
          </w:tcPr>
          <w:p w14:paraId="5574218B">
            <w:pPr>
              <w:spacing w:line="360" w:lineRule="auto"/>
              <w:jc w:val="center"/>
              <w:rPr>
                <w:rFonts w:hint="eastAsia" w:ascii="黑体" w:hAnsi="黑体" w:eastAsia="黑体" w:cs="黑体"/>
                <w:b w:val="0"/>
                <w:bCs/>
                <w:color w:val="auto"/>
                <w:sz w:val="24"/>
                <w:szCs w:val="24"/>
                <w:highlight w:val="none"/>
              </w:rPr>
            </w:pPr>
            <w:r>
              <w:rPr>
                <w:rFonts w:hint="eastAsia" w:ascii="黑体" w:hAnsi="黑体" w:eastAsia="黑体" w:cs="黑体"/>
                <w:color w:val="auto"/>
                <w:sz w:val="21"/>
                <w:szCs w:val="21"/>
              </w:rPr>
              <w:t>提供销售合同或中标/成交通知书复印件</w:t>
            </w:r>
          </w:p>
        </w:tc>
      </w:tr>
    </w:tbl>
    <w:p w14:paraId="51AE05C5">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p>
    <w:p w14:paraId="6A5BC28B">
      <w:pPr>
        <w:rPr>
          <w:rFonts w:hint="eastAsia" w:ascii="宋体" w:hAnsi="宋体" w:cs="宋体"/>
          <w:b/>
          <w:bCs/>
          <w:color w:val="auto"/>
          <w:kern w:val="0"/>
          <w:sz w:val="24"/>
          <w:szCs w:val="24"/>
          <w:highlight w:val="none"/>
          <w:u w:val="single"/>
          <w:lang w:val="en-US" w:eastAsia="zh-CN"/>
        </w:rPr>
      </w:pPr>
      <w:r>
        <w:rPr>
          <w:rFonts w:hint="eastAsia" w:ascii="宋体" w:hAnsi="宋体" w:cs="宋体"/>
          <w:b/>
          <w:bCs/>
          <w:color w:val="auto"/>
          <w:kern w:val="0"/>
          <w:sz w:val="24"/>
          <w:szCs w:val="24"/>
          <w:highlight w:val="none"/>
          <w:u w:val="single"/>
          <w:lang w:val="en-US" w:eastAsia="zh-CN"/>
        </w:rPr>
        <w:br w:type="page"/>
      </w:r>
    </w:p>
    <w:p w14:paraId="31FE6D57">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r>
        <w:rPr>
          <w:rFonts w:hint="eastAsia" w:ascii="宋体" w:hAnsi="宋体" w:cs="宋体"/>
          <w:b/>
          <w:bCs/>
          <w:color w:val="auto"/>
          <w:kern w:val="0"/>
          <w:sz w:val="24"/>
          <w:szCs w:val="24"/>
          <w:highlight w:val="none"/>
          <w:u w:val="single"/>
          <w:lang w:val="en-US" w:eastAsia="zh-CN"/>
        </w:rPr>
        <w:t>附件2 主要表格格式</w:t>
      </w:r>
    </w:p>
    <w:p w14:paraId="484BA29E">
      <w:pPr>
        <w:pStyle w:val="11"/>
        <w:jc w:val="left"/>
        <w:rPr>
          <w:rFonts w:hint="eastAsia" w:ascii="宋体" w:hAnsi="宋体" w:cs="宋体"/>
          <w:b/>
          <w:bCs/>
          <w:color w:val="auto"/>
          <w:kern w:val="0"/>
          <w:sz w:val="24"/>
          <w:szCs w:val="24"/>
          <w:highlight w:val="none"/>
          <w:u w:val="single"/>
          <w:lang w:val="en-US" w:eastAsia="zh-CN"/>
        </w:rPr>
      </w:pPr>
      <w:r>
        <w:rPr>
          <w:rFonts w:hint="eastAsia" w:ascii="宋体" w:hAnsi="宋体" w:cs="宋体"/>
          <w:b/>
          <w:bCs/>
          <w:color w:val="auto"/>
          <w:kern w:val="0"/>
          <w:sz w:val="24"/>
          <w:szCs w:val="24"/>
          <w:highlight w:val="none"/>
          <w:u w:val="single"/>
          <w:lang w:val="en-US" w:eastAsia="zh-CN"/>
        </w:rPr>
        <w:t>2-1</w:t>
      </w:r>
    </w:p>
    <w:p w14:paraId="460AA6EB">
      <w:pPr>
        <w:rPr>
          <w:rFonts w:hint="eastAsia" w:ascii="宋体" w:hAnsi="宋体" w:cs="宋体"/>
          <w:b/>
          <w:bCs/>
          <w:color w:val="auto"/>
          <w:kern w:val="0"/>
          <w:sz w:val="24"/>
          <w:szCs w:val="24"/>
          <w:highlight w:val="none"/>
          <w:u w:val="single"/>
          <w:lang w:val="en-US" w:eastAsia="zh-CN"/>
        </w:rPr>
      </w:pPr>
    </w:p>
    <w:p w14:paraId="13552E91">
      <w:pPr>
        <w:pStyle w:val="11"/>
        <w:rPr>
          <w:rFonts w:hint="default"/>
          <w:lang w:val="en-US" w:eastAsia="zh-CN"/>
        </w:rPr>
      </w:pPr>
    </w:p>
    <w:p w14:paraId="0458095D">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14:paraId="13728087">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21"/>
        <w:tblW w:w="82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3945"/>
        <w:gridCol w:w="3555"/>
      </w:tblGrid>
      <w:tr w14:paraId="7687F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96" w:type="dxa"/>
            <w:vAlign w:val="top"/>
          </w:tcPr>
          <w:p w14:paraId="3466F747">
            <w:pPr>
              <w:pStyle w:val="20"/>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945" w:type="dxa"/>
            <w:vAlign w:val="top"/>
          </w:tcPr>
          <w:p w14:paraId="23692452">
            <w:pPr>
              <w:pStyle w:val="20"/>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eastAsia" w:ascii="宋体" w:hAnsi="宋体" w:eastAsia="宋体" w:cs="宋体"/>
                <w:sz w:val="24"/>
                <w:szCs w:val="24"/>
              </w:rPr>
            </w:pPr>
            <w:r>
              <w:rPr>
                <w:rFonts w:hint="eastAsia" w:cs="宋体"/>
                <w:sz w:val="24"/>
                <w:szCs w:val="24"/>
                <w:lang w:val="en-US" w:eastAsia="zh-CN"/>
              </w:rPr>
              <w:t>项目</w:t>
            </w:r>
            <w:r>
              <w:rPr>
                <w:rFonts w:hint="eastAsia" w:ascii="宋体" w:hAnsi="宋体" w:eastAsia="宋体" w:cs="宋体"/>
                <w:sz w:val="24"/>
                <w:szCs w:val="24"/>
              </w:rPr>
              <w:t>名称</w:t>
            </w:r>
          </w:p>
        </w:tc>
        <w:tc>
          <w:tcPr>
            <w:tcW w:w="3555" w:type="dxa"/>
            <w:vAlign w:val="top"/>
          </w:tcPr>
          <w:p w14:paraId="0F5CA207">
            <w:pPr>
              <w:pStyle w:val="20"/>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报价（元/kg）</w:t>
            </w:r>
          </w:p>
        </w:tc>
      </w:tr>
      <w:tr w14:paraId="7BA99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96" w:type="dxa"/>
            <w:vAlign w:val="top"/>
          </w:tcPr>
          <w:p w14:paraId="13FF5E04">
            <w:pPr>
              <w:pStyle w:val="17"/>
              <w:numPr>
                <w:ilvl w:val="0"/>
                <w:numId w:val="0"/>
              </w:numPr>
              <w:ind w:leftChars="0"/>
              <w:jc w:val="center"/>
              <w:rPr>
                <w:rFonts w:hint="eastAsia" w:hAnsi="宋体"/>
                <w:lang w:val="en-US" w:eastAsia="zh-CN"/>
              </w:rPr>
            </w:pPr>
            <w:r>
              <w:rPr>
                <w:rFonts w:hint="eastAsia" w:hAnsi="宋体"/>
                <w:lang w:val="en-US" w:eastAsia="zh-CN"/>
              </w:rPr>
              <w:t>1</w:t>
            </w:r>
          </w:p>
        </w:tc>
        <w:tc>
          <w:tcPr>
            <w:tcW w:w="3945" w:type="dxa"/>
            <w:shd w:val="clear" w:color="auto" w:fill="FFFFFF" w:themeFill="background1"/>
            <w:vAlign w:val="top"/>
          </w:tcPr>
          <w:p w14:paraId="69A1D446">
            <w:pPr>
              <w:pStyle w:val="17"/>
              <w:numPr>
                <w:ilvl w:val="0"/>
                <w:numId w:val="0"/>
              </w:numPr>
              <w:ind w:leftChars="0"/>
              <w:jc w:val="center"/>
              <w:rPr>
                <w:rFonts w:hint="eastAsia" w:hAnsi="宋体"/>
                <w:lang w:val="en-US" w:eastAsia="zh-CN"/>
              </w:rPr>
            </w:pPr>
          </w:p>
        </w:tc>
        <w:tc>
          <w:tcPr>
            <w:tcW w:w="3555" w:type="dxa"/>
            <w:shd w:val="clear" w:color="auto" w:fill="FFFFFF" w:themeFill="background1"/>
            <w:vAlign w:val="center"/>
          </w:tcPr>
          <w:p w14:paraId="2930A427">
            <w:pPr>
              <w:pStyle w:val="20"/>
              <w:keepNext w:val="0"/>
              <w:keepLines w:val="0"/>
              <w:pageBreakBefore w:val="0"/>
              <w:widowControl w:val="0"/>
              <w:kinsoku/>
              <w:wordWrap/>
              <w:overflowPunct/>
              <w:topLinePunct w:val="0"/>
              <w:autoSpaceDE/>
              <w:autoSpaceDN/>
              <w:bidi w:val="0"/>
              <w:adjustRightInd/>
              <w:snapToGrid w:val="0"/>
              <w:spacing w:before="33" w:line="240" w:lineRule="auto"/>
              <w:ind w:left="41" w:right="56"/>
              <w:jc w:val="center"/>
              <w:textAlignment w:val="auto"/>
              <w:rPr>
                <w:rFonts w:hint="eastAsia" w:ascii="宋体" w:hAnsi="宋体" w:eastAsia="宋体" w:cs="宋体"/>
                <w:sz w:val="24"/>
                <w:szCs w:val="24"/>
                <w:lang w:val="en-US" w:eastAsia="zh-CN"/>
              </w:rPr>
            </w:pPr>
          </w:p>
        </w:tc>
      </w:tr>
    </w:tbl>
    <w:p w14:paraId="565E5CCA">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14:paraId="25088D96">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14:paraId="1B36826E">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印章。</w:t>
      </w:r>
    </w:p>
    <w:p w14:paraId="29A80BFC">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w:t>
      </w:r>
      <w:r>
        <w:rPr>
          <w:rFonts w:hint="eastAsia" w:ascii="宋体" w:hAnsi="宋体" w:cs="宋体"/>
          <w:color w:val="auto"/>
          <w:kern w:val="0"/>
          <w:sz w:val="24"/>
          <w:szCs w:val="24"/>
          <w:highlight w:val="none"/>
          <w:lang w:val="en-US" w:eastAsia="zh-CN"/>
        </w:rPr>
        <w:t>单独密封</w:t>
      </w:r>
      <w:r>
        <w:rPr>
          <w:rFonts w:hint="eastAsia" w:ascii="宋体" w:hAnsi="宋体" w:eastAsia="宋体" w:cs="宋体"/>
          <w:color w:val="auto"/>
          <w:kern w:val="0"/>
          <w:sz w:val="24"/>
          <w:szCs w:val="24"/>
          <w:highlight w:val="none"/>
        </w:rPr>
        <w:t>。</w:t>
      </w:r>
    </w:p>
    <w:p w14:paraId="2BDC2B08">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p>
    <w:p w14:paraId="30923CF7">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14:paraId="285A1527">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14:paraId="094CC581">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14:paraId="260C3AA9">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3EDCA4A4">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14:paraId="7DEAA9FB">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14:paraId="4F26218B">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14:paraId="79600574">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14:paraId="6A4B5DB8">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57FD6CEC">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622F09D9">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14:paraId="1C8FACC3">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14:paraId="6703F358">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14:paraId="454EB094">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14:paraId="6E0B41B0">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14:paraId="0E8CC696">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w:t>
      </w:r>
    </w:p>
    <w:p w14:paraId="12140B34">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5BACB4CB">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14:paraId="79B5FFFC">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14:paraId="2B84FD2A">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14:paraId="357DA842">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名称）</w:t>
      </w:r>
      <w:r>
        <w:rPr>
          <w:rFonts w:hint="eastAsia" w:ascii="宋体" w:hAnsi="宋体" w:eastAsia="宋体" w:cs="宋体"/>
          <w:color w:val="auto"/>
          <w:sz w:val="24"/>
          <w:szCs w:val="24"/>
          <w:highlight w:val="none"/>
          <w:u w:val="single"/>
          <w:lang w:val="zh-CN"/>
        </w:rPr>
        <w:t xml:space="preserve">           </w:t>
      </w:r>
    </w:p>
    <w:p w14:paraId="073637B8">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活动的合法代表，以我方名义全权处理该项目有关</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lang w:val="zh-CN"/>
        </w:rPr>
        <w:t>、签订合同以及执行合同等一切事宜。</w:t>
      </w:r>
    </w:p>
    <w:p w14:paraId="1AB1C9D8">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057D4A98">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p>
    <w:p w14:paraId="6924D734">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p>
    <w:p w14:paraId="13C63BEB">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7D0514EB">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29E4E804">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14:paraId="7F3B628A">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22BD3FD">
      <w:pPr>
        <w:keepNext w:val="0"/>
        <w:keepLines w:val="0"/>
        <w:pageBreakBefore w:val="0"/>
        <w:numPr>
          <w:ilvl w:val="0"/>
          <w:numId w:val="4"/>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14:paraId="40C09874">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14:paraId="7E42ADD4">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14:paraId="2CC934E3">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06831BEB">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036237EA">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031C6330">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14:paraId="5A746D9B">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EC6EF0F">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66E0A5C1">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19B3C6C9">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033697B3">
      <w:pPr>
        <w:keepNext w:val="0"/>
        <w:keepLines w:val="0"/>
        <w:pageBreakBefore w:val="0"/>
        <w:kinsoku/>
        <w:wordWrap/>
        <w:overflowPunct/>
        <w:topLinePunct w:val="0"/>
        <w:autoSpaceDE/>
        <w:autoSpaceDN/>
        <w:bidi w:val="0"/>
        <w:spacing w:beforeAutospacing="0" w:afterAutospacing="0" w:line="360" w:lineRule="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2-3</w:t>
      </w:r>
    </w:p>
    <w:p w14:paraId="4CB1D8BE">
      <w:pPr>
        <w:pStyle w:val="22"/>
        <w:keepNext w:val="0"/>
        <w:keepLines w:val="0"/>
        <w:pageBreakBefore w:val="0"/>
        <w:kinsoku/>
        <w:overflowPunct/>
        <w:topLinePunct w:val="0"/>
        <w:autoSpaceDE/>
        <w:autoSpaceDN/>
        <w:bidi w:val="0"/>
        <w:snapToGrid w:val="0"/>
        <w:spacing w:before="156" w:beforeLines="50" w:after="312" w:afterLines="10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承诺函</w:t>
      </w:r>
    </w:p>
    <w:p w14:paraId="042814EF">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14:paraId="7743EA30">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（供应商全称）        </w:t>
      </w:r>
      <w:r>
        <w:rPr>
          <w:rFonts w:hint="eastAsia" w:ascii="宋体" w:hAnsi="宋体" w:eastAsia="宋体" w:cs="宋体"/>
          <w:sz w:val="24"/>
          <w:szCs w:val="24"/>
        </w:rPr>
        <w:t>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lang w:val="en-US" w:eastAsia="zh-CN"/>
        </w:rPr>
        <w:t>评审</w:t>
      </w:r>
      <w:r>
        <w:rPr>
          <w:rFonts w:hint="eastAsia" w:ascii="宋体" w:hAnsi="宋体" w:eastAsia="宋体" w:cs="宋体"/>
          <w:sz w:val="24"/>
          <w:szCs w:val="24"/>
        </w:rPr>
        <w:t>活动，现郑重承诺：</w:t>
      </w:r>
    </w:p>
    <w:p w14:paraId="3FA2EB89">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14:paraId="65A1F425">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14:paraId="09FFF5D3">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14:paraId="7087C13C">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14:paraId="7C164FF6">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14:paraId="7938B699">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14:paraId="3BC44A65">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14:paraId="390EE1FC">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14:paraId="07A0C9C1">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14:paraId="2BCDB391">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四、参加本次磋商采购活动，不存在和其他供应商在同一合同项下的采购项目中，同时委托同一个自然人、同一家庭的人员、同一单位的人员作为代理人的行为。</w:t>
      </w:r>
    </w:p>
    <w:p w14:paraId="58BB398F">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14:paraId="695A0BC9">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14:paraId="24289912">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14:paraId="549B83FE">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1ACA105C">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14:paraId="67B5C1CF">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14:paraId="658F7F74">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 期：</w:t>
      </w:r>
    </w:p>
    <w:p w14:paraId="3E34161A">
      <w:pPr>
        <w:pStyle w:val="7"/>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p>
    <w:p w14:paraId="73D8B303">
      <w:pPr>
        <w:pStyle w:val="2"/>
        <w:rPr>
          <w:rFonts w:hint="default"/>
          <w:lang w:val="en-US" w:eastAsia="zh-CN"/>
        </w:rPr>
      </w:pPr>
    </w:p>
    <w:p w14:paraId="3C532056">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2D1980B2">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4BCFA9B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880B3F2">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C5EC5EA">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24D8BE5B">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044A149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14D647C">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030AACC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5E145F1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0A7C5B1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173D8C7C">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6EB983DA">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43DB6AED">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1CF99CB">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7ACAD7D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063C971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75D88BC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5D1E901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74BAE684">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E5A34BD">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29B6180D">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16BA2840">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7EFEC370">
      <w:pPr>
        <w:keepNext w:val="0"/>
        <w:keepLines w:val="0"/>
        <w:pageBreakBefore w:val="0"/>
        <w:kinsoku/>
        <w:wordWrap/>
        <w:overflowPunct/>
        <w:topLinePunct w:val="0"/>
        <w:autoSpaceDE/>
        <w:autoSpaceDN/>
        <w:bidi w:val="0"/>
        <w:spacing w:beforeAutospacing="0" w:afterAutospacing="0"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4</w:t>
      </w:r>
    </w:p>
    <w:p w14:paraId="2C99F8BC">
      <w:pPr>
        <w:pStyle w:val="12"/>
        <w:keepNext w:val="0"/>
        <w:keepLines w:val="0"/>
        <w:pageBreakBefore w:val="0"/>
        <w:widowControl/>
        <w:suppressLineNumbers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商务、</w:t>
      </w:r>
      <w:r>
        <w:rPr>
          <w:rFonts w:hint="eastAsia" w:ascii="宋体" w:hAnsi="宋体" w:eastAsia="宋体" w:cs="宋体"/>
          <w:b/>
          <w:color w:val="auto"/>
          <w:sz w:val="24"/>
          <w:szCs w:val="24"/>
        </w:rPr>
        <w:t>技术、服务响应/偏离表</w:t>
      </w:r>
    </w:p>
    <w:p w14:paraId="79E4DBE9">
      <w:pPr>
        <w:pStyle w:val="12"/>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供应商名称：</w:t>
      </w:r>
      <w:r>
        <w:rPr>
          <w:rFonts w:hint="eastAsia" w:ascii="宋体" w:hAnsi="宋体" w:eastAsia="宋体" w:cs="宋体"/>
          <w:b/>
          <w:color w:val="auto"/>
          <w:sz w:val="24"/>
          <w:szCs w:val="24"/>
          <w:u w:val="single"/>
        </w:rPr>
        <w:t>             </w:t>
      </w:r>
    </w:p>
    <w:p w14:paraId="3C675641">
      <w:pPr>
        <w:pStyle w:val="12"/>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采购编号：</w:t>
      </w:r>
      <w:r>
        <w:rPr>
          <w:rFonts w:hint="eastAsia" w:ascii="宋体" w:hAnsi="宋体" w:eastAsia="宋体" w:cs="宋体"/>
          <w:b/>
          <w:color w:val="auto"/>
          <w:sz w:val="24"/>
          <w:szCs w:val="24"/>
          <w:u w:val="single"/>
        </w:rPr>
        <w:t>             </w:t>
      </w:r>
      <w:r>
        <w:rPr>
          <w:rFonts w:hint="eastAsia" w:ascii="宋体" w:hAnsi="宋体" w:eastAsia="宋体" w:cs="宋体"/>
          <w:b/>
          <w:color w:val="auto"/>
          <w:sz w:val="24"/>
          <w:szCs w:val="24"/>
        </w:rPr>
        <w:t> </w:t>
      </w:r>
    </w:p>
    <w:tbl>
      <w:tblPr>
        <w:tblStyle w:val="14"/>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14:paraId="289960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9AA65B">
            <w:pPr>
              <w:pStyle w:val="12"/>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A378BC">
            <w:pPr>
              <w:pStyle w:val="12"/>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F9AC5F">
            <w:pPr>
              <w:pStyle w:val="12"/>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A22DE8">
            <w:pPr>
              <w:pStyle w:val="12"/>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D8240E">
            <w:pPr>
              <w:pStyle w:val="12"/>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响应/偏离</w:t>
            </w:r>
          </w:p>
        </w:tc>
      </w:tr>
      <w:tr w14:paraId="0F3A25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AD24AB3">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FB858A1">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F43915C">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D456D7C">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02A3F34">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42A83B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EBD8D17">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0D1A9C7">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D188C58">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5640EDD">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73C65C7">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DC1E4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3997383">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A28868E">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50FA970">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8896B88">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67BE2A2">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4785C9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394EBA">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5FBF5CD">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3B883E9">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3261643">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67E7144">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1266D6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BE669F4">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00BA28E">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C887C6A">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EEDC7D9">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1171EC8">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CD4E9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AF7FA76">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F91D156">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ED7468B">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CC54E2F">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9336E16">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14:paraId="12CF31DD">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p>
    <w:p w14:paraId="11A3205D">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p>
    <w:p w14:paraId="5695BF83">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供应商名称：         （盖章）</w:t>
      </w:r>
    </w:p>
    <w:p w14:paraId="2B8BAC31">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法定代表人/单位负责人或授权代表（签字或加盖个人名章）：</w:t>
      </w:r>
    </w:p>
    <w:p w14:paraId="0A7B5407">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027861B2">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p>
    <w:p w14:paraId="62842103">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注：供应商必须据实填写，不得虚假应答，否则将取消其报价或成交资格。如与</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文件所列★相关条款有偏离条款，请将偏离条款逐条应答。未明确偏离的条款，视为默认接受，供应商不得籍未作应答而拒不接受。</w:t>
      </w:r>
      <w:r>
        <w:rPr>
          <w:rFonts w:hint="eastAsia" w:ascii="宋体" w:hAnsi="宋体" w:eastAsia="宋体" w:cs="宋体"/>
          <w:color w:val="auto"/>
          <w:sz w:val="24"/>
          <w:szCs w:val="24"/>
          <w:lang w:val="en-US" w:eastAsia="zh-CN"/>
        </w:rPr>
        <w:t>如无偏离，请填写无偏离或正偏离。</w:t>
      </w:r>
      <w:r>
        <w:rPr>
          <w:rFonts w:hint="eastAsia" w:ascii="宋体" w:hAnsi="宋体" w:eastAsia="宋体" w:cs="宋体"/>
          <w:color w:val="auto"/>
          <w:sz w:val="24"/>
          <w:szCs w:val="24"/>
        </w:rPr>
        <w:t>若</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文件中有要求提供证明材料的★相关条款应当在此表中列出并应答。</w:t>
      </w:r>
    </w:p>
    <w:p w14:paraId="4D7D022F">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FF32246">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3 《</w:t>
      </w:r>
      <w:r>
        <w:rPr>
          <w:rFonts w:hint="eastAsia" w:ascii="宋体" w:hAnsi="宋体" w:cs="宋体"/>
          <w:b/>
          <w:bCs/>
          <w:color w:val="auto"/>
          <w:sz w:val="24"/>
          <w:szCs w:val="24"/>
          <w:highlight w:val="none"/>
          <w:lang w:val="en-US" w:eastAsia="zh-CN"/>
        </w:rPr>
        <w:t>响应文件</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装订顺序</w:t>
      </w:r>
    </w:p>
    <w:p w14:paraId="5DBF711E">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14:paraId="5A6AA764">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14:paraId="56B06F3C">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14:paraId="1B1329EC">
      <w:pPr>
        <w:keepNext w:val="0"/>
        <w:keepLines w:val="0"/>
        <w:pageBreakBefore w:val="0"/>
        <w:numPr>
          <w:ilvl w:val="0"/>
          <w:numId w:val="5"/>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14:paraId="47446317">
      <w:pPr>
        <w:keepNext w:val="0"/>
        <w:keepLines w:val="0"/>
        <w:pageBreakBefore w:val="0"/>
        <w:numPr>
          <w:ilvl w:val="0"/>
          <w:numId w:val="5"/>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14:paraId="7A4585C3">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14:paraId="1684703A">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14:paraId="0785B03C">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14:paraId="562CF58A">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14:paraId="4481F8F3">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14:paraId="6F8EB23B">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r>
        <w:rPr>
          <w:rFonts w:hint="eastAsia" w:ascii="宋体" w:hAnsi="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en-US" w:eastAsia="zh-CN"/>
        </w:rPr>
        <w:t>认为需要提供的其它文件</w:t>
      </w:r>
    </w:p>
    <w:p w14:paraId="3710EF44">
      <w:pPr>
        <w:keepNext w:val="0"/>
        <w:keepLines w:val="0"/>
        <w:pageBreakBefore w:val="0"/>
        <w:numPr>
          <w:ilvl w:val="0"/>
          <w:numId w:val="5"/>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14:paraId="27DC5455">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14:paraId="563323F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14:paraId="45AACA90">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5FCBB3D2">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4E837F1E">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48A1D78D">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735FF47E">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04AE44F1">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3A0F4510">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62CA80AA">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46E254FD">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70DBC572">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685B803A">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01FF752B">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6AD4B357">
      <w:pPr>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br w:type="page"/>
      </w:r>
    </w:p>
    <w:p w14:paraId="5FFA147B">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14:paraId="7D5966B0">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14:paraId="079054A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27613D8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1A551E1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14:paraId="0AAE7FB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w:t>
      </w:r>
      <w:r>
        <w:rPr>
          <w:rFonts w:hint="eastAsia" w:ascii="宋体" w:hAnsi="宋体" w:cs="宋体"/>
          <w:b w:val="0"/>
          <w:i w:val="0"/>
          <w:caps w:val="0"/>
          <w:color w:val="auto"/>
          <w:spacing w:val="0"/>
          <w:w w:val="100"/>
          <w:sz w:val="24"/>
          <w:szCs w:val="24"/>
          <w:highlight w:val="none"/>
          <w:lang w:eastAsia="zh-CN"/>
        </w:rPr>
        <w:t>供应商</w:t>
      </w:r>
      <w:r>
        <w:rPr>
          <w:rFonts w:hint="eastAsia" w:ascii="宋体" w:hAnsi="宋体" w:eastAsia="宋体" w:cs="宋体"/>
          <w:b w:val="0"/>
          <w:i w:val="0"/>
          <w:caps w:val="0"/>
          <w:color w:val="auto"/>
          <w:spacing w:val="0"/>
          <w:w w:val="100"/>
          <w:sz w:val="24"/>
          <w:szCs w:val="24"/>
          <w:highlight w:val="none"/>
        </w:rPr>
        <w:t>相互串通投标报价，损害贵院的合法权益；</w:t>
      </w:r>
    </w:p>
    <w:p w14:paraId="7B873FB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14:paraId="172A69E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14:paraId="3CC8E94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14:paraId="2E3670E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14:paraId="44EF3C2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14:paraId="38FBF71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14:paraId="6104162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14:paraId="7E474E9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14:paraId="5E2D16E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14:paraId="4018AEF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1FE6E89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14:paraId="3C21052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14:paraId="6B911E8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14:paraId="6E881C2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14:paraId="4158DF9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14:paraId="342FC85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14:paraId="1EFFC39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14:paraId="06D41F5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14:paraId="7A8245F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14:paraId="2732B97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14:paraId="42CF6ED1">
      <w:pPr>
        <w:pStyle w:val="13"/>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14:paraId="17E0CDC9">
      <w:pPr>
        <w:pStyle w:val="13"/>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14:paraId="28B1175D">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714575F2">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76A76F1">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4AC4F6C">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4A44C93">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36C027B">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BBF4F03">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C88FE14">
      <w:pPr>
        <w:pStyle w:val="2"/>
        <w:keepNext w:val="0"/>
        <w:keepLines w:val="0"/>
        <w:pageBreakBefore w:val="0"/>
        <w:kinsoku/>
        <w:wordWrap/>
        <w:overflowPunct/>
        <w:topLinePunct w:val="0"/>
        <w:autoSpaceDE/>
        <w:autoSpaceDN/>
        <w:bidi w:val="0"/>
        <w:spacing w:beforeAutospacing="0" w:line="360" w:lineRule="auto"/>
        <w:rPr>
          <w:rFonts w:hint="eastAsia" w:ascii="宋体" w:hAnsi="宋体" w:cs="宋体"/>
          <w:b/>
          <w:bCs/>
          <w:color w:val="auto"/>
          <w:sz w:val="24"/>
          <w:szCs w:val="24"/>
          <w:highlight w:val="none"/>
          <w:lang w:val="en-US" w:eastAsia="zh-CN"/>
        </w:rPr>
      </w:pPr>
    </w:p>
    <w:p w14:paraId="1ED9E8F6">
      <w:pPr>
        <w:pStyle w:val="2"/>
        <w:keepNext w:val="0"/>
        <w:keepLines w:val="0"/>
        <w:pageBreakBefore w:val="0"/>
        <w:kinsoku/>
        <w:wordWrap/>
        <w:overflowPunct/>
        <w:topLinePunct w:val="0"/>
        <w:autoSpaceDE/>
        <w:autoSpaceDN/>
        <w:bidi w:val="0"/>
        <w:spacing w:beforeAutospacing="0" w:line="360" w:lineRule="auto"/>
        <w:rPr>
          <w:rFonts w:hint="eastAsia" w:ascii="宋体" w:hAnsi="宋体" w:cs="宋体"/>
          <w:b/>
          <w:bCs/>
          <w:color w:val="auto"/>
          <w:sz w:val="24"/>
          <w:szCs w:val="24"/>
          <w:highlight w:val="none"/>
          <w:lang w:val="en-US" w:eastAsia="zh-CN"/>
        </w:rPr>
      </w:pPr>
    </w:p>
    <w:p w14:paraId="5F4EE27E">
      <w:pPr>
        <w:pStyle w:val="2"/>
        <w:keepNext w:val="0"/>
        <w:keepLines w:val="0"/>
        <w:pageBreakBefore w:val="0"/>
        <w:kinsoku/>
        <w:wordWrap/>
        <w:overflowPunct/>
        <w:topLinePunct w:val="0"/>
        <w:autoSpaceDE/>
        <w:autoSpaceDN/>
        <w:bidi w:val="0"/>
        <w:spacing w:beforeAutospacing="0" w:line="360" w:lineRule="auto"/>
        <w:rPr>
          <w:rFonts w:hint="eastAsia" w:ascii="宋体" w:hAnsi="宋体" w:cs="宋体"/>
          <w:b/>
          <w:bCs/>
          <w:color w:val="auto"/>
          <w:sz w:val="24"/>
          <w:szCs w:val="24"/>
          <w:highlight w:val="none"/>
          <w:lang w:val="en-US" w:eastAsia="zh-CN"/>
        </w:rPr>
      </w:pPr>
    </w:p>
    <w:p w14:paraId="58BA1997">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附件5</w:t>
      </w:r>
    </w:p>
    <w:p w14:paraId="7F305D90">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14:paraId="1D3DDB54">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14:paraId="482319A9">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14:paraId="5E79847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14:paraId="43DCFD63">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14:paraId="716EE17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14:paraId="1CC9E0FC">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14:paraId="7301833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14:paraId="616E341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14:paraId="03D49A5B">
      <w:pPr>
        <w:pStyle w:val="2"/>
        <w:keepNext w:val="0"/>
        <w:keepLines w:val="0"/>
        <w:pageBreakBefore w:val="0"/>
        <w:numPr>
          <w:ilvl w:val="0"/>
          <w:numId w:val="0"/>
        </w:numPr>
        <w:kinsoku/>
        <w:wordWrap/>
        <w:overflowPunct/>
        <w:topLinePunct w:val="0"/>
        <w:autoSpaceDE/>
        <w:autoSpaceDN/>
        <w:bidi w:val="0"/>
        <w:spacing w:beforeAutospacing="0" w:afterAutospacing="0"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14:paraId="47C84903">
      <w:pPr>
        <w:keepNext w:val="0"/>
        <w:keepLines w:val="0"/>
        <w:pageBreakBefore w:val="0"/>
        <w:numPr>
          <w:ilvl w:val="0"/>
          <w:numId w:val="0"/>
        </w:numPr>
        <w:kinsoku/>
        <w:wordWrap/>
        <w:overflowPunct/>
        <w:topLinePunct w:val="0"/>
        <w:autoSpaceDE/>
        <w:autoSpaceDN/>
        <w:bidi w:val="0"/>
        <w:spacing w:beforeAutospacing="0" w:afterAutospacing="0"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14:paraId="007467CE">
      <w:pPr>
        <w:keepNext w:val="0"/>
        <w:keepLines w:val="0"/>
        <w:pageBreakBefore w:val="0"/>
        <w:numPr>
          <w:ilvl w:val="0"/>
          <w:numId w:val="0"/>
        </w:numPr>
        <w:kinsoku/>
        <w:wordWrap/>
        <w:overflowPunct/>
        <w:topLinePunct w:val="0"/>
        <w:autoSpaceDE/>
        <w:autoSpaceDN/>
        <w:bidi w:val="0"/>
        <w:spacing w:beforeAutospacing="0" w:afterAutospacing="0"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14:paraId="4BF5FCE0">
      <w:pPr>
        <w:keepNext w:val="0"/>
        <w:keepLines w:val="0"/>
        <w:pageBreakBefore w:val="0"/>
        <w:numPr>
          <w:ilvl w:val="0"/>
          <w:numId w:val="0"/>
        </w:numPr>
        <w:kinsoku/>
        <w:wordWrap/>
        <w:overflowPunct/>
        <w:topLinePunct w:val="0"/>
        <w:autoSpaceDE/>
        <w:autoSpaceDN/>
        <w:bidi w:val="0"/>
        <w:spacing w:beforeAutospacing="0" w:afterAutospacing="0"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14:paraId="7AAB4689">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14:paraId="1FF6B15C">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供应商法人代表或委托代理人（承诺人） ：</w:t>
      </w:r>
    </w:p>
    <w:p w14:paraId="0D4A938F">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cs="宋体"/>
          <w:color w:val="auto"/>
          <w:sz w:val="24"/>
          <w:szCs w:val="24"/>
          <w:highlight w:val="none"/>
          <w:lang w:val="en-US" w:eastAsia="zh-CN"/>
        </w:rPr>
        <w:t>名称</w:t>
      </w:r>
      <w:r>
        <w:rPr>
          <w:rFonts w:hint="eastAsia" w:ascii="宋体" w:hAnsi="宋体" w:eastAsia="宋体" w:cs="宋体"/>
          <w:color w:val="auto"/>
          <w:sz w:val="24"/>
          <w:szCs w:val="24"/>
          <w:highlight w:val="none"/>
          <w:lang w:val="en-US" w:eastAsia="zh-CN"/>
        </w:rPr>
        <w:t xml:space="preserve">：（公章）  </w:t>
      </w:r>
    </w:p>
    <w:p w14:paraId="7519A418">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14:paraId="470A03BE">
      <w:pPr>
        <w:pStyle w:val="8"/>
        <w:numPr>
          <w:ilvl w:val="0"/>
          <w:numId w:val="0"/>
        </w:numPr>
        <w:ind w:left="1680" w:leftChars="0"/>
        <w:rPr>
          <w:rFonts w:hint="default"/>
          <w:lang w:val="en-US" w:eastAsia="zh-CN"/>
        </w:rPr>
      </w:pPr>
    </w:p>
    <w:p w14:paraId="4CF4AD6A">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79041522">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110F2A72">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5A053891">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AF48A18">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5641694F">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 xml:space="preserve"> </w:t>
      </w:r>
    </w:p>
    <w:p w14:paraId="41044EC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14:paraId="5D46DA7B">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四川省妇幼保健院：</w:t>
      </w:r>
    </w:p>
    <w:p w14:paraId="7CAA2A02">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14:paraId="074089D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14:paraId="7363E3E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14:paraId="3CF2C60D">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14:paraId="0DAB908A">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14:paraId="39362E5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14:paraId="07C3A5B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14:paraId="04F2605F">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14:paraId="483587C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14:paraId="73FCD19A">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14:paraId="1210440C">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14:paraId="4EEF8BD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6736BB53">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eastAsia="宋体" w:cs="宋体"/>
          <w:color w:val="auto"/>
          <w:sz w:val="24"/>
          <w:szCs w:val="24"/>
          <w:highlight w:val="none"/>
        </w:rPr>
      </w:pPr>
    </w:p>
    <w:p w14:paraId="178A4E1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14:paraId="16422B7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14:paraId="0733AC82">
      <w:pPr>
        <w:keepNext w:val="0"/>
        <w:keepLines w:val="0"/>
        <w:pageBreakBefore w:val="0"/>
        <w:kinsoku/>
        <w:wordWrap/>
        <w:overflowPunct/>
        <w:topLinePunct w:val="0"/>
        <w:autoSpaceDE/>
        <w:autoSpaceDN/>
        <w:bidi w:val="0"/>
        <w:spacing w:beforeAutospacing="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BE70B"/>
    <w:multiLevelType w:val="singleLevel"/>
    <w:tmpl w:val="9B4BE70B"/>
    <w:lvl w:ilvl="0" w:tentative="0">
      <w:start w:val="1"/>
      <w:numFmt w:val="decimal"/>
      <w:lvlText w:val="%1."/>
      <w:lvlJc w:val="left"/>
      <w:pPr>
        <w:ind w:left="425" w:hanging="425"/>
      </w:pPr>
      <w:rPr>
        <w:rFonts w:hint="default"/>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10EECAEC"/>
    <w:multiLevelType w:val="singleLevel"/>
    <w:tmpl w:val="10EECAEC"/>
    <w:lvl w:ilvl="0" w:tentative="0">
      <w:start w:val="1"/>
      <w:numFmt w:val="bullet"/>
      <w:pStyle w:val="8"/>
      <w:lvlText w:val=""/>
      <w:lvlJc w:val="left"/>
      <w:pPr>
        <w:tabs>
          <w:tab w:val="left" w:pos="2040"/>
        </w:tabs>
        <w:ind w:left="2040" w:hanging="360"/>
      </w:pPr>
      <w:rPr>
        <w:rFonts w:hint="default" w:ascii="Wingdings" w:hAnsi="Wingdings"/>
      </w:rPr>
    </w:lvl>
  </w:abstractNum>
  <w:abstractNum w:abstractNumId="3">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D3D1A"/>
    <w:rsid w:val="01FE6BD3"/>
    <w:rsid w:val="02FE6776"/>
    <w:rsid w:val="04865C14"/>
    <w:rsid w:val="0A325E03"/>
    <w:rsid w:val="0BF65853"/>
    <w:rsid w:val="0E2A3E4A"/>
    <w:rsid w:val="0FC95E75"/>
    <w:rsid w:val="110F482C"/>
    <w:rsid w:val="13F910D3"/>
    <w:rsid w:val="150B2214"/>
    <w:rsid w:val="1C831556"/>
    <w:rsid w:val="1FEA0D76"/>
    <w:rsid w:val="20D451E9"/>
    <w:rsid w:val="2239241F"/>
    <w:rsid w:val="224805CD"/>
    <w:rsid w:val="22E9628F"/>
    <w:rsid w:val="2B4E089B"/>
    <w:rsid w:val="2DD66DE3"/>
    <w:rsid w:val="2EAA00A6"/>
    <w:rsid w:val="343B728A"/>
    <w:rsid w:val="34AD7EA2"/>
    <w:rsid w:val="36482F72"/>
    <w:rsid w:val="371B2276"/>
    <w:rsid w:val="39D64F8F"/>
    <w:rsid w:val="3C046D30"/>
    <w:rsid w:val="3F056573"/>
    <w:rsid w:val="3F135889"/>
    <w:rsid w:val="408908EE"/>
    <w:rsid w:val="426A4E5F"/>
    <w:rsid w:val="428A38B6"/>
    <w:rsid w:val="43EE6A01"/>
    <w:rsid w:val="45940E0F"/>
    <w:rsid w:val="45EE3F48"/>
    <w:rsid w:val="477D3E56"/>
    <w:rsid w:val="47B03B5B"/>
    <w:rsid w:val="4922747B"/>
    <w:rsid w:val="4D951D36"/>
    <w:rsid w:val="50E23A41"/>
    <w:rsid w:val="54645881"/>
    <w:rsid w:val="55EC5708"/>
    <w:rsid w:val="560D3D1A"/>
    <w:rsid w:val="57BB6C94"/>
    <w:rsid w:val="58D64F0E"/>
    <w:rsid w:val="5BD9413E"/>
    <w:rsid w:val="5C414DE8"/>
    <w:rsid w:val="5CE951D8"/>
    <w:rsid w:val="66D03901"/>
    <w:rsid w:val="68A47FBA"/>
    <w:rsid w:val="6BA32EA6"/>
    <w:rsid w:val="6F4F5991"/>
    <w:rsid w:val="6F756ED1"/>
    <w:rsid w:val="70DF0F9F"/>
    <w:rsid w:val="719974E5"/>
    <w:rsid w:val="72162E3A"/>
    <w:rsid w:val="727608D5"/>
    <w:rsid w:val="72CA79DF"/>
    <w:rsid w:val="74FD4DFC"/>
    <w:rsid w:val="75F3408F"/>
    <w:rsid w:val="769E4528"/>
    <w:rsid w:val="7D6C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qFormat/>
    <w:uiPriority w:val="0"/>
    <w:pPr>
      <w:snapToGrid w:val="0"/>
      <w:spacing w:before="40" w:after="40" w:line="288" w:lineRule="auto"/>
      <w:ind w:firstLine="482"/>
    </w:pPr>
    <w:rPr>
      <w:rFonts w:ascii="仿宋_GB2312" w:hAnsi="仿宋_GB2312" w:eastAsia="仿宋_GB2312"/>
      <w:szCs w:val="20"/>
    </w:rPr>
  </w:style>
  <w:style w:type="paragraph" w:styleId="5">
    <w:name w:val="annotation text"/>
    <w:basedOn w:val="1"/>
    <w:unhideWhenUsed/>
    <w:qFormat/>
    <w:uiPriority w:val="99"/>
    <w:pPr>
      <w:jc w:val="left"/>
    </w:pPr>
  </w:style>
  <w:style w:type="paragraph" w:styleId="6">
    <w:name w:val="Body Text Indent"/>
    <w:basedOn w:val="1"/>
    <w:qFormat/>
    <w:uiPriority w:val="0"/>
    <w:pPr>
      <w:ind w:firstLine="630"/>
    </w:pPr>
    <w:rPr>
      <w:sz w:val="32"/>
      <w:szCs w:val="20"/>
    </w:rPr>
  </w:style>
  <w:style w:type="paragraph" w:styleId="7">
    <w:name w:val="Plain Text"/>
    <w:basedOn w:val="1"/>
    <w:qFormat/>
    <w:uiPriority w:val="0"/>
    <w:pPr>
      <w:spacing w:line="460" w:lineRule="exact"/>
      <w:ind w:firstLine="567"/>
    </w:pPr>
    <w:rPr>
      <w:rFonts w:ascii="宋体" w:hAnsi="Courier New" w:eastAsia="仿宋_GB2312"/>
      <w:sz w:val="28"/>
      <w:szCs w:val="20"/>
    </w:rPr>
  </w:style>
  <w:style w:type="paragraph" w:styleId="8">
    <w:name w:val="List Bullet 5"/>
    <w:basedOn w:val="1"/>
    <w:qFormat/>
    <w:uiPriority w:val="0"/>
    <w:pPr>
      <w:numPr>
        <w:ilvl w:val="0"/>
        <w:numId w:val="1"/>
      </w:numPr>
    </w:pPr>
  </w:style>
  <w:style w:type="paragraph" w:styleId="9">
    <w:name w:val="Body Text Indent 2"/>
    <w:basedOn w:val="1"/>
    <w:qFormat/>
    <w:uiPriority w:val="0"/>
    <w:pPr>
      <w:widowControl w:val="0"/>
      <w:ind w:firstLine="540" w:firstLineChars="257"/>
      <w:jc w:val="both"/>
    </w:pPr>
    <w:rPr>
      <w:kern w:val="2"/>
      <w:sz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toc 1"/>
    <w:basedOn w:val="1"/>
    <w:next w:val="1"/>
    <w:qFormat/>
    <w:uiPriority w:val="0"/>
    <w:pPr>
      <w:spacing w:line="180" w:lineRule="auto"/>
      <w:jc w:val="center"/>
    </w:pPr>
    <w:rPr>
      <w:sz w:val="30"/>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6"/>
    <w:qFormat/>
    <w:uiPriority w:val="0"/>
    <w:pPr>
      <w:ind w:firstLine="42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标题 5（有编号）（绿盟科技）"/>
    <w:basedOn w:val="1"/>
    <w:next w:val="19"/>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1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0">
    <w:name w:val="Table Text"/>
    <w:basedOn w:val="1"/>
    <w:semiHidden/>
    <w:qFormat/>
    <w:uiPriority w:val="0"/>
    <w:rPr>
      <w:rFonts w:ascii="宋体" w:hAnsi="宋体" w:eastAsia="宋体" w:cs="宋体"/>
      <w:sz w:val="16"/>
      <w:szCs w:val="16"/>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5785</Words>
  <Characters>5981</Characters>
  <Lines>0</Lines>
  <Paragraphs>0</Paragraphs>
  <TotalTime>0</TotalTime>
  <ScaleCrop>false</ScaleCrop>
  <LinksUpToDate>false</LinksUpToDate>
  <CharactersWithSpaces>6360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2025-07-30T15:06:00Z</dcterms:created>
  <dc:creator>罗珊珊</dc:creator>
  <cp:lastModifiedBy>罗珊珊</cp:lastModifiedBy>
  <dcterms:modified xsi:type="dcterms:W3CDTF">2025-08-28T03:36:14Z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D2A74AA9A3F0418D919D00A295717A50_13</vt:lpwstr>
  </property>
  <property fmtid="{D5CDD505-2E9C-101B-9397-08002B2CF9AE}" pid="4" name="KSOTemplateDocerSaveRecord">
    <vt:lpwstr>eyJoZGlkIjoiODcwZmE0ZmU3Y2M1ZWQ5MWU4OTc0ZDQ0OGMzYzM2NmMiLCJ1c2VySWQiOiIxMzE0MjM0OTg5In0=</vt:lpwstr>
  </property>
</Properties>
</file>