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C02F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i w:val="0"/>
          <w:caps w:val="0"/>
          <w:color w:val="auto"/>
          <w:spacing w:val="0"/>
          <w:sz w:val="24"/>
          <w:szCs w:val="24"/>
          <w:shd w:val="clear" w:color="auto" w:fill="FFFFFF"/>
          <w:lang w:val="en-US" w:eastAsia="zh-CN"/>
        </w:rPr>
        <w:t>附件1：采购</w:t>
      </w:r>
      <w:r>
        <w:rPr>
          <w:rFonts w:hint="eastAsia" w:ascii="宋体" w:hAnsi="宋体" w:eastAsia="宋体" w:cs="宋体"/>
          <w:b/>
          <w:bCs/>
          <w:i w:val="0"/>
          <w:caps w:val="0"/>
          <w:color w:val="auto"/>
          <w:spacing w:val="0"/>
          <w:sz w:val="24"/>
          <w:szCs w:val="24"/>
          <w:shd w:val="clear" w:color="auto" w:fill="FFFFFF"/>
        </w:rPr>
        <w:t>需求</w:t>
      </w:r>
    </w:p>
    <w:p w14:paraId="6E2B4F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p w14:paraId="5E0DA7E4">
      <w:pPr>
        <w:bidi w:val="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一、项目概况</w:t>
      </w:r>
    </w:p>
    <w:p w14:paraId="640E127C">
      <w:pPr>
        <w:bidi w:val="0"/>
        <w:spacing w:line="360" w:lineRule="auto"/>
        <w:ind w:firstLine="480" w:firstLineChars="2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1.项目名称：</w:t>
      </w:r>
      <w:r>
        <w:rPr>
          <w:rFonts w:hint="eastAsia" w:ascii="宋体" w:hAnsi="宋体" w:cs="宋体"/>
          <w:sz w:val="24"/>
          <w:szCs w:val="24"/>
          <w:lang w:val="en-US" w:eastAsia="zh-CN"/>
        </w:rPr>
        <w:t>消防设备、器材维修配件采购项目（三次）</w:t>
      </w:r>
    </w:p>
    <w:p w14:paraId="6964C538">
      <w:pPr>
        <w:bidi w:val="0"/>
        <w:spacing w:line="360" w:lineRule="auto"/>
        <w:ind w:firstLine="480" w:firstLineChars="200"/>
        <w:rPr>
          <w:rFonts w:hint="eastAsia" w:ascii="宋体" w:hAnsi="宋体" w:cs="宋体"/>
          <w:b w:val="0"/>
          <w:bCs w:val="0"/>
          <w:sz w:val="24"/>
          <w:szCs w:val="24"/>
          <w:lang w:val="en-US" w:eastAsia="zh-CN"/>
        </w:rPr>
      </w:pPr>
      <w:r>
        <w:rPr>
          <w:rFonts w:hint="eastAsia" w:ascii="宋体" w:hAnsi="宋体" w:eastAsia="宋体" w:cs="宋体"/>
          <w:b w:val="0"/>
          <w:bCs w:val="0"/>
          <w:sz w:val="24"/>
          <w:szCs w:val="24"/>
          <w:lang w:val="en-US" w:eastAsia="zh-CN"/>
        </w:rPr>
        <w:t>2.项目地址：</w:t>
      </w:r>
      <w:r>
        <w:rPr>
          <w:rFonts w:hint="eastAsia" w:ascii="宋体" w:hAnsi="宋体" w:cs="宋体"/>
          <w:b w:val="0"/>
          <w:bCs w:val="0"/>
          <w:sz w:val="24"/>
          <w:szCs w:val="24"/>
          <w:lang w:val="en-US" w:eastAsia="zh-CN"/>
        </w:rPr>
        <w:t>采购人指定地点</w:t>
      </w:r>
    </w:p>
    <w:p w14:paraId="0F7F32C7">
      <w:pPr>
        <w:bidi w:val="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二、项目要求</w:t>
      </w:r>
      <w:bookmarkStart w:id="0" w:name="_GoBack"/>
      <w:bookmarkEnd w:id="0"/>
    </w:p>
    <w:p w14:paraId="137D9C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标的物详见附件采购清单。</w:t>
      </w:r>
    </w:p>
    <w:p w14:paraId="6C0505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t>本项目最高限价为人民币</w:t>
      </w:r>
      <w:r>
        <w:rPr>
          <w:rFonts w:hint="eastAsia" w:ascii="宋体" w:hAnsi="宋体" w:cs="宋体"/>
          <w:b w:val="0"/>
          <w:bCs w:val="0"/>
          <w:sz w:val="24"/>
          <w:szCs w:val="24"/>
          <w:lang w:val="en-US" w:eastAsia="zh-CN"/>
        </w:rPr>
        <w:t>30</w:t>
      </w:r>
      <w:r>
        <w:rPr>
          <w:rFonts w:hint="eastAsia" w:ascii="宋体" w:hAnsi="宋体" w:eastAsia="宋体" w:cs="宋体"/>
          <w:b w:val="0"/>
          <w:bCs w:val="0"/>
          <w:sz w:val="24"/>
          <w:szCs w:val="24"/>
          <w:lang w:val="en-US" w:eastAsia="zh-CN"/>
        </w:rPr>
        <w:t>万元，</w:t>
      </w:r>
    </w:p>
    <w:p w14:paraId="0E0EDD4F">
      <w:pPr>
        <w:keepNext w:val="0"/>
        <w:keepLines w:val="0"/>
        <w:pageBreakBefore w:val="0"/>
        <w:widowControl/>
        <w:kinsoku/>
        <w:wordWrap/>
        <w:overflowPunct/>
        <w:topLinePunct w:val="0"/>
        <w:autoSpaceDE/>
        <w:autoSpaceDN/>
        <w:bidi w:val="0"/>
        <w:snapToGrid/>
        <w:spacing w:beforeAutospacing="0" w:afterAutospacing="0" w:line="360" w:lineRule="auto"/>
        <w:ind w:firstLine="485"/>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3.详见下表：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2696"/>
        <w:gridCol w:w="2416"/>
        <w:gridCol w:w="2433"/>
      </w:tblGrid>
      <w:tr w14:paraId="7FD3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522" w:type="dxa"/>
            <w:gridSpan w:val="4"/>
            <w:noWrap w:val="0"/>
            <w:vAlign w:val="center"/>
          </w:tcPr>
          <w:p w14:paraId="62E7F226">
            <w:pPr>
              <w:keepNext w:val="0"/>
              <w:keepLines w:val="0"/>
              <w:pageBreakBefore w:val="0"/>
              <w:widowControl/>
              <w:tabs>
                <w:tab w:val="left" w:pos="3573"/>
              </w:tabs>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技术要求和商务要求</w:t>
            </w:r>
          </w:p>
        </w:tc>
      </w:tr>
      <w:tr w14:paraId="7CC5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noWrap w:val="0"/>
            <w:vAlign w:val="center"/>
          </w:tcPr>
          <w:p w14:paraId="4A4F592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包号</w:t>
            </w:r>
          </w:p>
        </w:tc>
        <w:tc>
          <w:tcPr>
            <w:tcW w:w="2696" w:type="dxa"/>
            <w:noWrap w:val="0"/>
            <w:vAlign w:val="center"/>
          </w:tcPr>
          <w:p w14:paraId="6222898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技术要求</w:t>
            </w:r>
            <w:r>
              <w:rPr>
                <w:rFonts w:hint="eastAsia" w:ascii="宋体" w:hAnsi="宋体" w:eastAsia="宋体" w:cs="宋体"/>
                <w:color w:val="000000"/>
                <w:sz w:val="24"/>
                <w:szCs w:val="24"/>
                <w:vertAlign w:val="baseline"/>
                <w:lang w:val="en-US" w:eastAsia="zh-CN"/>
              </w:rPr>
              <w:br w:type="textWrapping"/>
            </w:r>
            <w:r>
              <w:rPr>
                <w:rFonts w:hint="eastAsia" w:ascii="宋体" w:hAnsi="宋体" w:eastAsia="宋体" w:cs="宋体"/>
                <w:color w:val="000000"/>
                <w:sz w:val="24"/>
                <w:szCs w:val="24"/>
                <w:vertAlign w:val="baseline"/>
                <w:lang w:val="en-US" w:eastAsia="zh-CN"/>
              </w:rPr>
              <w:t>（功能和质量要求）</w:t>
            </w:r>
          </w:p>
        </w:tc>
        <w:tc>
          <w:tcPr>
            <w:tcW w:w="2416" w:type="dxa"/>
            <w:noWrap w:val="0"/>
            <w:vAlign w:val="center"/>
          </w:tcPr>
          <w:p w14:paraId="1A75F6E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商务要求</w:t>
            </w:r>
          </w:p>
        </w:tc>
        <w:tc>
          <w:tcPr>
            <w:tcW w:w="2433" w:type="dxa"/>
            <w:noWrap w:val="0"/>
            <w:vAlign w:val="center"/>
          </w:tcPr>
          <w:p w14:paraId="0444E35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其他需求</w:t>
            </w:r>
          </w:p>
          <w:p w14:paraId="6FCAB31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（根据项目实际情况进行增减）</w:t>
            </w:r>
          </w:p>
        </w:tc>
      </w:tr>
      <w:tr w14:paraId="48268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77" w:type="dxa"/>
            <w:noWrap w:val="0"/>
            <w:vAlign w:val="center"/>
          </w:tcPr>
          <w:p w14:paraId="24397C6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包1</w:t>
            </w:r>
          </w:p>
        </w:tc>
        <w:tc>
          <w:tcPr>
            <w:tcW w:w="2696" w:type="dxa"/>
            <w:noWrap w:val="0"/>
            <w:vAlign w:val="center"/>
          </w:tcPr>
          <w:p w14:paraId="1E531489">
            <w:pPr>
              <w:bidi w:val="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1.所有消防器材品牌为国产且技术指标须符合国家及行业最新标准；</w:t>
            </w:r>
          </w:p>
          <w:p w14:paraId="549E53A4">
            <w:pPr>
              <w:bidi w:val="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2.所有性能要求和技术要求须符合国家及行业最新标准；</w:t>
            </w:r>
          </w:p>
          <w:p w14:paraId="0C3E6CFF">
            <w:pPr>
              <w:bidi w:val="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3.严格依照《产品质量法》及国家相关规定，保证消防器材和消防设备材料的质量；</w:t>
            </w:r>
          </w:p>
          <w:p w14:paraId="00F87261">
            <w:pPr>
              <w:bidi w:val="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4.所有消防设备安装耗材更换须符合相关的国家标准、行业规范以及设备制造商的安装指南，确保消防设备的安装质量和使用效果；</w:t>
            </w:r>
          </w:p>
          <w:p w14:paraId="510E5958">
            <w:pPr>
              <w:spacing w:line="360" w:lineRule="auto"/>
              <w:ind w:firstLine="480" w:firstLineChars="200"/>
              <w:rPr>
                <w:rFonts w:hint="eastAsia" w:ascii="宋体" w:hAnsi="宋体" w:eastAsia="宋体" w:cs="宋体"/>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highlight w:val="none"/>
                <w:lang w:val="en-US" w:eastAsia="zh-CN"/>
              </w:rPr>
              <w:t>消防器材及消防设备材料如国家标准要求</w:t>
            </w:r>
            <w:r>
              <w:rPr>
                <w:rFonts w:hint="eastAsia" w:ascii="宋体" w:hAnsi="宋体" w:eastAsia="宋体" w:cs="宋体"/>
                <w:sz w:val="24"/>
                <w:szCs w:val="24"/>
              </w:rPr>
              <w:t>须具备国家强制性产品认证证书</w:t>
            </w:r>
            <w:r>
              <w:rPr>
                <w:rFonts w:hint="eastAsia" w:ascii="宋体" w:hAnsi="宋体" w:eastAsia="宋体" w:cs="宋体"/>
                <w:sz w:val="24"/>
                <w:szCs w:val="24"/>
                <w:lang w:val="en-US" w:eastAsia="zh-CN"/>
              </w:rPr>
              <w:t>的，潜在供应商提供的产品必须具备</w:t>
            </w:r>
            <w:r>
              <w:rPr>
                <w:rFonts w:hint="eastAsia" w:ascii="宋体" w:hAnsi="宋体" w:eastAsia="宋体" w:cs="宋体"/>
                <w:sz w:val="24"/>
                <w:szCs w:val="24"/>
              </w:rPr>
              <w:t>。</w:t>
            </w:r>
          </w:p>
          <w:p w14:paraId="1B0A02F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vertAlign w:val="baseline"/>
                <w:lang w:val="en-US" w:eastAsia="zh-CN"/>
              </w:rPr>
            </w:pPr>
          </w:p>
        </w:tc>
        <w:tc>
          <w:tcPr>
            <w:tcW w:w="2416" w:type="dxa"/>
            <w:noWrap w:val="0"/>
            <w:vAlign w:val="top"/>
          </w:tcPr>
          <w:p w14:paraId="5249F8D6">
            <w:pPr>
              <w:bidi w:val="0"/>
              <w:spacing w:line="240" w:lineRule="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（一）本项目最高限价为人民币</w:t>
            </w:r>
            <w:r>
              <w:rPr>
                <w:rFonts w:hint="eastAsia" w:ascii="宋体" w:hAnsi="宋体" w:cs="宋体"/>
                <w:color w:val="000000"/>
                <w:sz w:val="24"/>
                <w:szCs w:val="24"/>
                <w:vertAlign w:val="baseline"/>
                <w:lang w:val="en-US" w:eastAsia="zh-CN"/>
              </w:rPr>
              <w:t>30</w:t>
            </w:r>
            <w:r>
              <w:rPr>
                <w:rFonts w:hint="eastAsia" w:ascii="宋体" w:hAnsi="宋体" w:eastAsia="宋体" w:cs="宋体"/>
                <w:color w:val="000000"/>
                <w:sz w:val="24"/>
                <w:szCs w:val="24"/>
                <w:vertAlign w:val="baseline"/>
                <w:lang w:val="en-US" w:eastAsia="zh-CN"/>
              </w:rPr>
              <w:t>万元，按采购方消防耗材明细表分项报价，报价不得超过每项“最高限价”，一旦超过视为无效报价。报价包括人工费、材料费、运输费、企业管理费、安装费、税金等。</w:t>
            </w:r>
          </w:p>
          <w:p w14:paraId="39AC4CAF">
            <w:pPr>
              <w:bidi w:val="0"/>
              <w:spacing w:line="240" w:lineRule="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（二）合同结算方式：消防设备、器材维修配件按中标价据实结算。</w:t>
            </w:r>
          </w:p>
          <w:p w14:paraId="12558719">
            <w:pPr>
              <w:bidi w:val="0"/>
              <w:spacing w:line="240" w:lineRule="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（三）合同期限：一年。</w:t>
            </w:r>
          </w:p>
          <w:p w14:paraId="58FAAD96">
            <w:pPr>
              <w:bidi w:val="0"/>
              <w:spacing w:line="24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vertAlign w:val="baseline"/>
                <w:lang w:val="en-US" w:eastAsia="zh-CN"/>
              </w:rPr>
              <w:t>（四）</w:t>
            </w:r>
            <w:r>
              <w:rPr>
                <w:rFonts w:hint="eastAsia" w:ascii="宋体" w:hAnsi="宋体" w:eastAsia="宋体" w:cs="宋体"/>
                <w:b w:val="0"/>
                <w:bCs w:val="0"/>
                <w:color w:val="000000"/>
                <w:sz w:val="24"/>
                <w:szCs w:val="24"/>
                <w:lang w:val="en-US" w:eastAsia="zh-CN"/>
              </w:rPr>
              <w:t>各供应商拟</w:t>
            </w:r>
            <w:r>
              <w:rPr>
                <w:rFonts w:hint="eastAsia" w:ascii="宋体" w:hAnsi="宋体" w:eastAsia="宋体" w:cs="宋体"/>
                <w:color w:val="000000"/>
                <w:sz w:val="24"/>
                <w:szCs w:val="24"/>
              </w:rPr>
              <w:t>配送的产品</w:t>
            </w:r>
            <w:r>
              <w:rPr>
                <w:rFonts w:hint="eastAsia" w:ascii="宋体" w:hAnsi="宋体" w:eastAsia="宋体" w:cs="宋体"/>
                <w:color w:val="000000"/>
                <w:sz w:val="24"/>
                <w:szCs w:val="24"/>
                <w:lang w:val="en-US" w:eastAsia="zh-CN"/>
              </w:rPr>
              <w:t>与采购方配置的消防设施设备、器材</w:t>
            </w:r>
            <w:r>
              <w:rPr>
                <w:rFonts w:hint="eastAsia" w:ascii="宋体" w:hAnsi="宋体" w:eastAsia="宋体" w:cs="宋体"/>
                <w:color w:val="000000"/>
                <w:sz w:val="24"/>
                <w:szCs w:val="24"/>
              </w:rPr>
              <w:t>品牌</w:t>
            </w:r>
            <w:r>
              <w:rPr>
                <w:rFonts w:hint="eastAsia" w:ascii="宋体" w:hAnsi="宋体" w:eastAsia="宋体" w:cs="宋体"/>
                <w:color w:val="000000"/>
                <w:sz w:val="24"/>
                <w:szCs w:val="24"/>
                <w:lang w:val="en-US" w:eastAsia="zh-CN"/>
              </w:rPr>
              <w:t>需保持一致，确不能保持一致的，需经采购方同意后提供</w:t>
            </w:r>
            <w:r>
              <w:rPr>
                <w:rFonts w:hint="eastAsia" w:ascii="宋体" w:hAnsi="宋体" w:eastAsia="宋体" w:cs="宋体"/>
                <w:color w:val="000000"/>
                <w:sz w:val="24"/>
                <w:szCs w:val="24"/>
              </w:rPr>
              <w:t>同类国标产品</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所配送的产品生产日期不得超过</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个月</w:t>
            </w:r>
            <w:r>
              <w:rPr>
                <w:rFonts w:hint="eastAsia" w:ascii="宋体" w:hAnsi="宋体" w:eastAsia="宋体" w:cs="宋体"/>
                <w:color w:val="000000"/>
                <w:sz w:val="24"/>
                <w:szCs w:val="24"/>
                <w:lang w:eastAsia="zh-CN"/>
              </w:rPr>
              <w:t>。</w:t>
            </w:r>
          </w:p>
          <w:p w14:paraId="2EE7ABE7">
            <w:pPr>
              <w:spacing w:line="240" w:lineRule="auto"/>
              <w:ind w:firstLine="0" w:firstLineChars="0"/>
              <w:jc w:val="left"/>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lang w:val="en-US" w:eastAsia="zh-CN" w:bidi="ar"/>
              </w:rPr>
              <w:t>（五）产品质保期 2 年，含配件；售后服务响应 时间 30 分钟内； 质保期内， 同 一问题发生 3 次， 可要求供应商更换全新同型号产品。</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配送安装完成，经</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验收合格，且</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开出合法有效的发票后，</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在发票开出日期90天以内用银行转帐的方式支付</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开具发票费用</w:t>
            </w:r>
            <w:r>
              <w:rPr>
                <w:rFonts w:hint="eastAsia" w:ascii="宋体" w:hAnsi="宋体" w:eastAsia="宋体" w:cs="宋体"/>
                <w:color w:val="000000"/>
                <w:sz w:val="24"/>
                <w:szCs w:val="24"/>
                <w:lang w:eastAsia="zh-CN"/>
              </w:rPr>
              <w:t>。</w:t>
            </w:r>
          </w:p>
          <w:p w14:paraId="04D57ABB">
            <w:pPr>
              <w:spacing w:line="240" w:lineRule="auto"/>
              <w:ind w:firstLine="0" w:firstLineChars="0"/>
              <w:jc w:val="left"/>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（六）供应商需在服务期限内根据采购人需求进行供货，突发紧急情况下交货时间不超过3小时（但不限夜间 ）。</w:t>
            </w:r>
          </w:p>
          <w:p w14:paraId="4D383E7A">
            <w:pPr>
              <w:spacing w:line="240" w:lineRule="auto"/>
              <w:ind w:firstLine="0" w:firstLineChars="0"/>
              <w:jc w:val="left"/>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（七）供应商需在服务期限内根据采购人需求进行供货，非突发紧急情况下交货时间不超过3天。</w:t>
            </w:r>
          </w:p>
          <w:p w14:paraId="145B79CA">
            <w:pPr>
              <w:spacing w:line="240" w:lineRule="auto"/>
              <w:rPr>
                <w:rFonts w:hint="default" w:ascii="宋体" w:hAnsi="宋体" w:eastAsia="宋体" w:cs="宋体"/>
                <w:color w:val="000000"/>
                <w:sz w:val="24"/>
                <w:szCs w:val="24"/>
                <w:vertAlign w:val="baseline"/>
                <w:lang w:val="en-US" w:eastAsia="zh-CN"/>
              </w:rPr>
            </w:pPr>
            <w:r>
              <w:rPr>
                <w:rFonts w:hint="eastAsia" w:ascii="宋体" w:hAnsi="宋体" w:eastAsia="宋体" w:cs="宋体"/>
                <w:color w:val="000000"/>
                <w:kern w:val="2"/>
                <w:sz w:val="24"/>
                <w:szCs w:val="24"/>
                <w:highlight w:val="none"/>
                <w:lang w:val="en-US" w:eastAsia="zh-CN" w:bidi="ar"/>
              </w:rPr>
              <w:t>（八）</w:t>
            </w:r>
            <w:r>
              <w:rPr>
                <w:rFonts w:hint="eastAsia" w:ascii="宋体" w:hAnsi="宋体" w:eastAsia="宋体" w:cs="宋体"/>
                <w:color w:val="000000"/>
                <w:sz w:val="24"/>
                <w:szCs w:val="24"/>
              </w:rPr>
              <w:t xml:space="preserve">配送地点 ： </w:t>
            </w:r>
            <w:r>
              <w:rPr>
                <w:rFonts w:hint="eastAsia" w:ascii="宋体" w:hAnsi="宋体" w:eastAsia="宋体" w:cs="宋体"/>
                <w:color w:val="000000"/>
                <w:sz w:val="24"/>
                <w:szCs w:val="24"/>
                <w:lang w:val="en-US" w:eastAsia="zh-CN"/>
              </w:rPr>
              <w:t>采购人</w:t>
            </w:r>
            <w:r>
              <w:rPr>
                <w:rFonts w:hint="eastAsia" w:ascii="宋体" w:hAnsi="宋体" w:eastAsia="宋体" w:cs="宋体"/>
                <w:color w:val="000000"/>
                <w:sz w:val="24"/>
                <w:szCs w:val="24"/>
              </w:rPr>
              <w:t>指定地点。</w:t>
            </w:r>
          </w:p>
        </w:tc>
        <w:tc>
          <w:tcPr>
            <w:tcW w:w="2433" w:type="dxa"/>
            <w:noWrap w:val="0"/>
            <w:vAlign w:val="top"/>
          </w:tcPr>
          <w:p w14:paraId="139BC88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实际使用据实结算</w:t>
            </w:r>
          </w:p>
        </w:tc>
      </w:tr>
    </w:tbl>
    <w:p w14:paraId="1C447D5A">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cs="宋体"/>
          <w:b w:val="0"/>
          <w:bCs w:val="0"/>
          <w:sz w:val="24"/>
          <w:szCs w:val="24"/>
          <w:lang w:val="en-US" w:eastAsia="zh-CN"/>
        </w:rPr>
        <w:t>三</w:t>
      </w:r>
      <w:r>
        <w:rPr>
          <w:rFonts w:hint="eastAsia" w:ascii="宋体" w:hAnsi="宋体" w:eastAsia="宋体" w:cs="宋体"/>
          <w:b w:val="0"/>
          <w:bCs w:val="0"/>
          <w:sz w:val="24"/>
          <w:szCs w:val="24"/>
          <w:lang w:val="en-US" w:eastAsia="zh-CN"/>
        </w:rPr>
        <w:t>、</w:t>
      </w:r>
      <w:r>
        <w:rPr>
          <w:rFonts w:hint="eastAsia" w:ascii="宋体" w:hAnsi="宋体" w:eastAsia="宋体" w:cs="宋体"/>
          <w:b/>
          <w:bCs/>
          <w:color w:val="auto"/>
          <w:kern w:val="0"/>
          <w:sz w:val="24"/>
          <w:szCs w:val="24"/>
          <w:highlight w:val="none"/>
          <w:lang w:val="en-US" w:eastAsia="zh-CN"/>
        </w:rPr>
        <w:t>投标文件的评审</w:t>
      </w:r>
    </w:p>
    <w:p w14:paraId="3191AB7D">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1.由</w:t>
      </w:r>
      <w:r>
        <w:rPr>
          <w:rFonts w:hint="eastAsia" w:ascii="宋体" w:hAnsi="宋体" w:cs="宋体"/>
          <w:color w:val="auto"/>
          <w:kern w:val="0"/>
          <w:sz w:val="24"/>
          <w:szCs w:val="24"/>
          <w:highlight w:val="none"/>
          <w:lang w:val="en-US" w:eastAsia="zh-CN"/>
        </w:rPr>
        <w:t>招标采购部</w:t>
      </w:r>
      <w:r>
        <w:rPr>
          <w:rFonts w:hint="eastAsia" w:ascii="宋体" w:hAnsi="宋体" w:eastAsia="宋体" w:cs="宋体"/>
          <w:color w:val="auto"/>
          <w:kern w:val="0"/>
          <w:sz w:val="24"/>
          <w:szCs w:val="24"/>
          <w:highlight w:val="none"/>
          <w:lang w:val="en-US" w:eastAsia="zh-CN"/>
        </w:rPr>
        <w:t>组织</w:t>
      </w:r>
      <w:r>
        <w:rPr>
          <w:rFonts w:hint="eastAsia" w:ascii="宋体" w:hAnsi="宋体" w:eastAsia="宋体" w:cs="宋体"/>
          <w:color w:val="auto"/>
          <w:kern w:val="0"/>
          <w:sz w:val="24"/>
          <w:szCs w:val="24"/>
          <w:highlight w:val="none"/>
        </w:rPr>
        <w:t>成立评审</w:t>
      </w:r>
      <w:r>
        <w:rPr>
          <w:rFonts w:hint="eastAsia" w:ascii="宋体" w:hAnsi="宋体" w:eastAsia="宋体" w:cs="宋体"/>
          <w:color w:val="auto"/>
          <w:kern w:val="0"/>
          <w:sz w:val="24"/>
          <w:szCs w:val="24"/>
          <w:highlight w:val="none"/>
          <w:lang w:val="en-US" w:eastAsia="zh-CN"/>
        </w:rPr>
        <w:t>小组</w:t>
      </w:r>
      <w:r>
        <w:rPr>
          <w:rFonts w:hint="eastAsia" w:ascii="宋体" w:hAnsi="宋体" w:eastAsia="宋体" w:cs="宋体"/>
          <w:color w:val="auto"/>
          <w:kern w:val="0"/>
          <w:sz w:val="24"/>
          <w:szCs w:val="24"/>
          <w:highlight w:val="none"/>
        </w:rPr>
        <w:t>，对投标文件进行</w:t>
      </w:r>
      <w:r>
        <w:rPr>
          <w:rFonts w:hint="eastAsia" w:ascii="宋体" w:hAnsi="宋体" w:eastAsia="宋体" w:cs="宋体"/>
          <w:color w:val="auto"/>
          <w:kern w:val="0"/>
          <w:sz w:val="24"/>
          <w:szCs w:val="24"/>
          <w:highlight w:val="none"/>
          <w:lang w:val="en-US" w:eastAsia="zh-CN"/>
        </w:rPr>
        <w:t>评审</w:t>
      </w:r>
      <w:r>
        <w:rPr>
          <w:rFonts w:hint="eastAsia" w:ascii="宋体" w:hAnsi="宋体" w:eastAsia="宋体" w:cs="宋体"/>
          <w:color w:val="auto"/>
          <w:kern w:val="0"/>
          <w:sz w:val="24"/>
          <w:szCs w:val="24"/>
          <w:highlight w:val="none"/>
        </w:rPr>
        <w:t>。</w:t>
      </w:r>
    </w:p>
    <w:p w14:paraId="47DF7672">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2.评审方法</w:t>
      </w:r>
    </w:p>
    <w:p w14:paraId="3DF7A961">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本项目采用</w:t>
      </w:r>
      <w:r>
        <w:rPr>
          <w:rFonts w:hint="eastAsia" w:ascii="宋体" w:hAnsi="宋体" w:eastAsia="宋体" w:cs="宋体"/>
          <w:color w:val="auto"/>
          <w:kern w:val="0"/>
          <w:sz w:val="24"/>
          <w:szCs w:val="24"/>
          <w:highlight w:val="none"/>
          <w:lang w:val="en-US" w:eastAsia="zh-CN"/>
        </w:rPr>
        <w:t>综合评分法</w:t>
      </w:r>
      <w:r>
        <w:rPr>
          <w:rFonts w:hint="eastAsia" w:ascii="宋体" w:hAnsi="宋体" w:eastAsia="宋体" w:cs="宋体"/>
          <w:color w:val="auto"/>
          <w:kern w:val="0"/>
          <w:sz w:val="24"/>
          <w:szCs w:val="24"/>
          <w:highlight w:val="none"/>
        </w:rPr>
        <w:t>，评审</w:t>
      </w:r>
      <w:r>
        <w:rPr>
          <w:rFonts w:hint="eastAsia" w:ascii="宋体" w:hAnsi="宋体" w:eastAsia="宋体" w:cs="宋体"/>
          <w:color w:val="auto"/>
          <w:kern w:val="0"/>
          <w:sz w:val="24"/>
          <w:szCs w:val="24"/>
          <w:highlight w:val="none"/>
          <w:lang w:val="en-US" w:eastAsia="zh-CN"/>
        </w:rPr>
        <w:t>小组</w:t>
      </w:r>
      <w:r>
        <w:rPr>
          <w:rFonts w:hint="eastAsia" w:ascii="宋体" w:hAnsi="宋体" w:eastAsia="宋体" w:cs="宋体"/>
          <w:color w:val="auto"/>
          <w:kern w:val="0"/>
          <w:sz w:val="24"/>
          <w:szCs w:val="24"/>
          <w:highlight w:val="none"/>
        </w:rPr>
        <w:t>将对各投标人的投标方案、各项报价、企业综合能力、对项目的投入等方面进行综合评审，对实质上响应招标文件的投标人，根据符合采购需求、质量和服务相等且最后</w:t>
      </w:r>
      <w:r>
        <w:rPr>
          <w:rFonts w:hint="eastAsia" w:ascii="宋体" w:hAnsi="宋体" w:eastAsia="宋体" w:cs="宋体"/>
          <w:color w:val="auto"/>
          <w:kern w:val="0"/>
          <w:sz w:val="24"/>
          <w:szCs w:val="24"/>
          <w:highlight w:val="none"/>
          <w:lang w:val="en-US" w:eastAsia="zh-CN"/>
        </w:rPr>
        <w:t>得分最高</w:t>
      </w:r>
      <w:r>
        <w:rPr>
          <w:rFonts w:hint="eastAsia" w:ascii="宋体" w:hAnsi="宋体" w:eastAsia="宋体" w:cs="宋体"/>
          <w:color w:val="auto"/>
          <w:kern w:val="0"/>
          <w:sz w:val="24"/>
          <w:szCs w:val="24"/>
          <w:highlight w:val="none"/>
        </w:rPr>
        <w:t>原则确定成交供应商</w:t>
      </w:r>
      <w:r>
        <w:rPr>
          <w:rFonts w:hint="eastAsia" w:ascii="宋体" w:hAnsi="宋体" w:eastAsia="宋体" w:cs="宋体"/>
          <w:color w:val="auto"/>
          <w:kern w:val="0"/>
          <w:sz w:val="24"/>
          <w:szCs w:val="24"/>
          <w:highlight w:val="none"/>
          <w:lang w:eastAsia="zh-CN"/>
        </w:rPr>
        <w:t>。</w:t>
      </w:r>
    </w:p>
    <w:p w14:paraId="45EDC132">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不正当竞争预防措施</w:t>
      </w:r>
      <w:r>
        <w:rPr>
          <w:rFonts w:hint="eastAsia" w:ascii="宋体" w:hAnsi="宋体" w:eastAsia="宋体" w:cs="宋体"/>
          <w:color w:val="auto"/>
          <w:kern w:val="0"/>
          <w:sz w:val="24"/>
          <w:szCs w:val="24"/>
          <w:highlight w:val="none"/>
          <w:lang w:eastAsia="zh-CN"/>
        </w:rPr>
        <w:t>：磋商小组认为供应商的报价明显低于其他实质性响应的供应商报价，有可能影响质量或者不能诚信履约的，应当要求其在合理的时间内提供书面说明，必要时提交相关证明材料；供应商不能证明其报价合理性的，磋商小组应当将其作为无效响应处理。</w:t>
      </w:r>
    </w:p>
    <w:p w14:paraId="1B351EA1">
      <w:pPr>
        <w:widowControl/>
        <w:bidi w:val="0"/>
        <w:spacing w:line="360" w:lineRule="auto"/>
        <w:ind w:firstLine="480" w:firstLineChars="0"/>
        <w:rPr>
          <w:rFonts w:hint="eastAsia" w:ascii="宋体" w:hAnsi="宋体" w:eastAsia="宋体" w:cs="宋体"/>
          <w:b w:val="0"/>
          <w:bCs w:val="0"/>
          <w:sz w:val="24"/>
          <w:szCs w:val="24"/>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sz w:val="24"/>
          <w:szCs w:val="24"/>
          <w:highlight w:val="none"/>
        </w:rPr>
        <w:t>评分标准</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1659"/>
        <w:gridCol w:w="815"/>
        <w:gridCol w:w="4036"/>
        <w:gridCol w:w="1035"/>
      </w:tblGrid>
      <w:tr w14:paraId="647A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noWrap w:val="0"/>
            <w:vAlign w:val="center"/>
          </w:tcPr>
          <w:p w14:paraId="1A323B3D">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auto"/>
                <w:sz w:val="24"/>
                <w:szCs w:val="24"/>
                <w:highlight w:val="none"/>
              </w:rPr>
              <w:t>序号</w:t>
            </w:r>
          </w:p>
        </w:tc>
        <w:tc>
          <w:tcPr>
            <w:tcW w:w="1659" w:type="dxa"/>
            <w:noWrap w:val="0"/>
            <w:vAlign w:val="center"/>
          </w:tcPr>
          <w:p w14:paraId="5E6A30D6">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auto"/>
                <w:sz w:val="24"/>
                <w:szCs w:val="24"/>
                <w:highlight w:val="none"/>
              </w:rPr>
              <w:t>评分因素</w:t>
            </w:r>
          </w:p>
        </w:tc>
        <w:tc>
          <w:tcPr>
            <w:tcW w:w="815" w:type="dxa"/>
            <w:noWrap w:val="0"/>
            <w:vAlign w:val="center"/>
          </w:tcPr>
          <w:p w14:paraId="59E36526">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auto"/>
                <w:sz w:val="24"/>
                <w:szCs w:val="24"/>
                <w:highlight w:val="none"/>
              </w:rPr>
              <w:t>分值</w:t>
            </w:r>
          </w:p>
        </w:tc>
        <w:tc>
          <w:tcPr>
            <w:tcW w:w="4036" w:type="dxa"/>
            <w:noWrap w:val="0"/>
            <w:vAlign w:val="center"/>
          </w:tcPr>
          <w:p w14:paraId="6B039C21">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评分标准</w:t>
            </w:r>
          </w:p>
        </w:tc>
        <w:tc>
          <w:tcPr>
            <w:tcW w:w="1035" w:type="dxa"/>
            <w:noWrap w:val="0"/>
            <w:vAlign w:val="center"/>
          </w:tcPr>
          <w:p w14:paraId="6FE7BA44">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说明</w:t>
            </w:r>
          </w:p>
        </w:tc>
      </w:tr>
      <w:tr w14:paraId="3DA35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noWrap w:val="0"/>
            <w:vAlign w:val="center"/>
          </w:tcPr>
          <w:p w14:paraId="6067B9DB">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1659" w:type="dxa"/>
            <w:noWrap w:val="0"/>
            <w:vAlign w:val="center"/>
          </w:tcPr>
          <w:p w14:paraId="196BC188">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spacing w:val="-8"/>
                <w:kern w:val="2"/>
                <w:sz w:val="24"/>
                <w:szCs w:val="24"/>
                <w:highlight w:val="none"/>
                <w:lang w:val="en-US" w:eastAsia="en-US" w:bidi="ar-SA"/>
              </w:rPr>
            </w:pPr>
            <w:r>
              <w:rPr>
                <w:rFonts w:hint="eastAsia" w:ascii="宋体" w:hAnsi="宋体" w:eastAsia="宋体" w:cs="宋体"/>
                <w:b w:val="0"/>
                <w:bCs w:val="0"/>
                <w:spacing w:val="-8"/>
                <w:kern w:val="2"/>
                <w:sz w:val="24"/>
                <w:szCs w:val="24"/>
                <w:highlight w:val="none"/>
                <w:lang w:val="en-US" w:eastAsia="en-US" w:bidi="ar-SA"/>
              </w:rPr>
              <w:t>报价3</w:t>
            </w:r>
            <w:r>
              <w:rPr>
                <w:rFonts w:hint="eastAsia" w:ascii="宋体" w:hAnsi="宋体" w:eastAsia="宋体" w:cs="宋体"/>
                <w:b w:val="0"/>
                <w:bCs w:val="0"/>
                <w:spacing w:val="-8"/>
                <w:kern w:val="2"/>
                <w:sz w:val="24"/>
                <w:szCs w:val="24"/>
                <w:highlight w:val="none"/>
                <w:lang w:val="en-US" w:eastAsia="zh-CN" w:bidi="ar-SA"/>
              </w:rPr>
              <w:t>5</w:t>
            </w:r>
            <w:r>
              <w:rPr>
                <w:rFonts w:hint="eastAsia" w:ascii="宋体" w:hAnsi="宋体" w:eastAsia="宋体" w:cs="宋体"/>
                <w:b w:val="0"/>
                <w:bCs w:val="0"/>
                <w:spacing w:val="-8"/>
                <w:kern w:val="2"/>
                <w:sz w:val="24"/>
                <w:szCs w:val="24"/>
                <w:highlight w:val="none"/>
                <w:lang w:val="en-US" w:eastAsia="en-US" w:bidi="ar-SA"/>
              </w:rPr>
              <w:t>%</w:t>
            </w:r>
          </w:p>
          <w:p w14:paraId="670BEC7F">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spacing w:val="-8"/>
                <w:kern w:val="2"/>
                <w:sz w:val="24"/>
                <w:szCs w:val="24"/>
                <w:highlight w:val="none"/>
                <w:lang w:val="en-US" w:eastAsia="en-US" w:bidi="ar-SA"/>
              </w:rPr>
            </w:pPr>
            <w:r>
              <w:rPr>
                <w:rFonts w:hint="eastAsia" w:ascii="宋体" w:hAnsi="宋体" w:eastAsia="宋体" w:cs="宋体"/>
                <w:b w:val="0"/>
                <w:bCs w:val="0"/>
                <w:spacing w:val="-8"/>
                <w:kern w:val="2"/>
                <w:sz w:val="24"/>
                <w:szCs w:val="24"/>
                <w:highlight w:val="none"/>
                <w:lang w:val="en-US" w:eastAsia="en-US" w:bidi="ar-SA"/>
              </w:rPr>
              <w:t>（主要评分因素）</w:t>
            </w:r>
          </w:p>
        </w:tc>
        <w:tc>
          <w:tcPr>
            <w:tcW w:w="815" w:type="dxa"/>
            <w:noWrap w:val="0"/>
            <w:vAlign w:val="center"/>
          </w:tcPr>
          <w:p w14:paraId="03CBC2EB">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spacing w:val="-8"/>
                <w:kern w:val="2"/>
                <w:sz w:val="24"/>
                <w:szCs w:val="24"/>
                <w:highlight w:val="none"/>
                <w:lang w:val="en-US" w:eastAsia="zh-CN" w:bidi="ar-SA"/>
              </w:rPr>
            </w:pPr>
            <w:r>
              <w:rPr>
                <w:rFonts w:hint="eastAsia" w:ascii="宋体" w:hAnsi="宋体" w:eastAsia="宋体" w:cs="宋体"/>
                <w:b w:val="0"/>
                <w:bCs w:val="0"/>
                <w:spacing w:val="-8"/>
                <w:kern w:val="2"/>
                <w:sz w:val="24"/>
                <w:szCs w:val="24"/>
                <w:highlight w:val="none"/>
                <w:lang w:val="en-US" w:eastAsia="zh-CN" w:bidi="ar-SA"/>
              </w:rPr>
              <w:t>35</w:t>
            </w:r>
          </w:p>
        </w:tc>
        <w:tc>
          <w:tcPr>
            <w:tcW w:w="4036" w:type="dxa"/>
            <w:noWrap w:val="0"/>
            <w:vAlign w:val="center"/>
          </w:tcPr>
          <w:p w14:paraId="74AF0CDF">
            <w:pPr>
              <w:keepNext w:val="0"/>
              <w:keepLines w:val="0"/>
              <w:pageBreakBefore w:val="0"/>
              <w:widowControl w:val="0"/>
              <w:kinsoku/>
              <w:wordWrap w:val="0"/>
              <w:overflowPunct w:val="0"/>
              <w:topLinePunct/>
              <w:autoSpaceDE/>
              <w:autoSpaceDN/>
              <w:bidi w:val="0"/>
              <w:adjustRightInd/>
              <w:snapToGrid/>
              <w:spacing w:line="240" w:lineRule="exact"/>
              <w:ind w:right="0" w:rightChars="0" w:firstLine="0" w:firstLineChars="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1.“常用灭火</w:t>
            </w:r>
            <w:r>
              <w:rPr>
                <w:rFonts w:hint="eastAsia" w:ascii="宋体" w:hAnsi="宋体" w:eastAsia="宋体" w:cs="宋体"/>
                <w:b w:val="0"/>
                <w:bCs w:val="0"/>
                <w:color w:val="auto"/>
                <w:sz w:val="24"/>
                <w:szCs w:val="24"/>
                <w:highlight w:val="none"/>
                <w:lang w:val="en-US" w:eastAsia="zh-CN"/>
              </w:rPr>
              <w:t>器</w:t>
            </w:r>
            <w:r>
              <w:rPr>
                <w:rFonts w:hint="eastAsia" w:ascii="宋体" w:hAnsi="宋体" w:eastAsia="宋体" w:cs="宋体"/>
                <w:b w:val="0"/>
                <w:bCs w:val="0"/>
                <w:color w:val="auto"/>
                <w:sz w:val="24"/>
                <w:szCs w:val="24"/>
                <w:highlight w:val="none"/>
              </w:rPr>
              <w:t>设施”消防设备器材维修配件报价得1</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分，以本次统一折扣率最低有效磋商报价为基准价，磋商报价得分=(基准价／磋商价)*1</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*100%；</w:t>
            </w:r>
          </w:p>
          <w:p w14:paraId="307A3C7E">
            <w:pPr>
              <w:keepNext w:val="0"/>
              <w:keepLines w:val="0"/>
              <w:pageBreakBefore w:val="0"/>
              <w:widowControl w:val="0"/>
              <w:kinsoku/>
              <w:wordWrap w:val="0"/>
              <w:overflowPunct w:val="0"/>
              <w:topLinePunct/>
              <w:autoSpaceDE/>
              <w:autoSpaceDN/>
              <w:bidi w:val="0"/>
              <w:adjustRightInd/>
              <w:snapToGrid/>
              <w:spacing w:line="240" w:lineRule="exact"/>
              <w:ind w:right="0" w:rightChars="0" w:firstLine="0" w:firstLineChars="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2.“消防电系统”消防设备器材维修配件报价得3分，以本次统一折扣率最低有效磋商报价为基准价，磋商报价得分=(基准价／磋商价)*3*100%；</w:t>
            </w:r>
          </w:p>
          <w:p w14:paraId="151E889C">
            <w:pPr>
              <w:keepNext w:val="0"/>
              <w:keepLines w:val="0"/>
              <w:pageBreakBefore w:val="0"/>
              <w:widowControl w:val="0"/>
              <w:kinsoku/>
              <w:wordWrap w:val="0"/>
              <w:overflowPunct w:val="0"/>
              <w:topLinePunct/>
              <w:autoSpaceDE/>
              <w:autoSpaceDN/>
              <w:bidi w:val="0"/>
              <w:adjustRightInd/>
              <w:snapToGrid/>
              <w:spacing w:line="240" w:lineRule="exact"/>
              <w:ind w:right="0" w:rightChars="0" w:firstLine="0" w:firstLineChars="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3.“应急照明系统”消防设备器材维修配件报价得3分，以本次统一折扣率最低有效磋商报价为基准价，磋商报价得分=(基准价／磋商价)*3*100%；</w:t>
            </w:r>
          </w:p>
          <w:p w14:paraId="177696EC">
            <w:pPr>
              <w:keepNext w:val="0"/>
              <w:keepLines w:val="0"/>
              <w:pageBreakBefore w:val="0"/>
              <w:widowControl w:val="0"/>
              <w:kinsoku/>
              <w:wordWrap w:val="0"/>
              <w:overflowPunct w:val="0"/>
              <w:topLinePunct/>
              <w:autoSpaceDE/>
              <w:autoSpaceDN/>
              <w:bidi w:val="0"/>
              <w:adjustRightInd/>
              <w:snapToGrid/>
              <w:spacing w:line="240" w:lineRule="exact"/>
              <w:ind w:right="0" w:rightChars="0" w:firstLine="0" w:firstLineChars="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4.“消防水系统”消防设备器材维修配件报价得3分，以本次统一折扣率最低有效磋商报价为基准价，磋商报价得分=(基准价／磋商价)*3*100%；</w:t>
            </w:r>
          </w:p>
          <w:p w14:paraId="45A71861">
            <w:pPr>
              <w:keepNext w:val="0"/>
              <w:keepLines w:val="0"/>
              <w:pageBreakBefore w:val="0"/>
              <w:widowControl w:val="0"/>
              <w:kinsoku/>
              <w:wordWrap w:val="0"/>
              <w:overflowPunct w:val="0"/>
              <w:topLinePunct/>
              <w:autoSpaceDE/>
              <w:autoSpaceDN/>
              <w:bidi w:val="0"/>
              <w:adjustRightInd/>
              <w:snapToGrid/>
              <w:spacing w:line="240" w:lineRule="exact"/>
              <w:ind w:right="0" w:rightChars="0" w:firstLine="0" w:firstLineChars="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5.“防排烟</w:t>
            </w:r>
            <w:r>
              <w:rPr>
                <w:rFonts w:hint="eastAsia" w:ascii="宋体" w:hAnsi="宋体" w:eastAsia="宋体" w:cs="宋体"/>
                <w:b w:val="0"/>
                <w:bCs w:val="0"/>
                <w:color w:val="auto"/>
                <w:sz w:val="24"/>
                <w:szCs w:val="24"/>
                <w:highlight w:val="none"/>
                <w:lang w:val="en-US" w:eastAsia="zh-CN"/>
              </w:rPr>
              <w:t>及</w:t>
            </w:r>
            <w:r>
              <w:rPr>
                <w:rFonts w:hint="eastAsia" w:ascii="宋体" w:hAnsi="宋体" w:eastAsia="宋体" w:cs="宋体"/>
                <w:b w:val="0"/>
                <w:bCs w:val="0"/>
                <w:color w:val="auto"/>
                <w:sz w:val="24"/>
                <w:szCs w:val="24"/>
                <w:highlight w:val="none"/>
              </w:rPr>
              <w:t>防火封堵系统”消防设备器材维修配件报价得3分，以本次统一折扣率最低有效磋商报价为基准价，磋商报价得分=(基准价／磋商价)*3*100%；</w:t>
            </w:r>
          </w:p>
          <w:p w14:paraId="42EB34EA">
            <w:pPr>
              <w:keepNext w:val="0"/>
              <w:keepLines w:val="0"/>
              <w:pageBreakBefore w:val="0"/>
              <w:widowControl w:val="0"/>
              <w:kinsoku/>
              <w:wordWrap w:val="0"/>
              <w:overflowPunct w:val="0"/>
              <w:topLinePunct/>
              <w:autoSpaceDE/>
              <w:autoSpaceDN/>
              <w:bidi w:val="0"/>
              <w:adjustRightInd/>
              <w:snapToGrid/>
              <w:spacing w:line="240" w:lineRule="exact"/>
              <w:ind w:right="0" w:rightChars="0" w:firstLine="0" w:firstLineChars="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6.“防火卷帘系统”消防设备器材维修配件报价得3分，以本次统一折扣率最低有效磋商报价为基准价，磋商报价得分=(基准价／磋商价)*3*100%；</w:t>
            </w:r>
          </w:p>
          <w:p w14:paraId="72E6484D">
            <w:pPr>
              <w:keepNext w:val="0"/>
              <w:keepLines w:val="0"/>
              <w:pageBreakBefore w:val="0"/>
              <w:widowControl w:val="0"/>
              <w:kinsoku/>
              <w:wordWrap w:val="0"/>
              <w:overflowPunct w:val="0"/>
              <w:topLinePunct/>
              <w:autoSpaceDE/>
              <w:autoSpaceDN/>
              <w:bidi w:val="0"/>
              <w:adjustRightInd/>
              <w:snapToGrid/>
              <w:spacing w:line="240" w:lineRule="exact"/>
              <w:ind w:right="0" w:rightChars="0" w:firstLine="0" w:firstLineChars="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7.“其他灭火系统”消防设备器材维修配件报价得3分，以本次统一折扣率最低有效磋商报价为基准价，磋商报价得分=(基准价／磋商价)*3*100%；</w:t>
            </w:r>
          </w:p>
          <w:p w14:paraId="78539CF8">
            <w:pPr>
              <w:keepNext w:val="0"/>
              <w:keepLines w:val="0"/>
              <w:pageBreakBefore w:val="0"/>
              <w:widowControl w:val="0"/>
              <w:kinsoku/>
              <w:wordWrap w:val="0"/>
              <w:overflowPunct w:val="0"/>
              <w:topLinePunct/>
              <w:autoSpaceDE/>
              <w:autoSpaceDN/>
              <w:bidi w:val="0"/>
              <w:adjustRightInd/>
              <w:snapToGrid/>
              <w:spacing w:line="240" w:lineRule="exact"/>
              <w:ind w:right="0" w:rightChars="0" w:firstLine="0" w:firstLineChars="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以本次最低有效磋商报价为基准价，磋商报价得分=(基准价／磋商报价)*10*100%。</w:t>
            </w:r>
          </w:p>
          <w:p w14:paraId="5E6ADFE3">
            <w:pPr>
              <w:keepNext w:val="0"/>
              <w:keepLines w:val="0"/>
              <w:pageBreakBefore w:val="0"/>
              <w:widowControl w:val="0"/>
              <w:kinsoku/>
              <w:wordWrap w:val="0"/>
              <w:overflowPunct w:val="0"/>
              <w:topLinePunct/>
              <w:autoSpaceDE/>
              <w:autoSpaceDN/>
              <w:bidi w:val="0"/>
              <w:adjustRightInd/>
              <w:snapToGrid/>
              <w:spacing w:line="240" w:lineRule="exact"/>
              <w:ind w:right="0" w:rightChars="0" w:firstLine="0" w:firstLineChars="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注：每项评分的取值按四舍五入法，保留小数点后两位。本项最高得分3</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w:t>
            </w:r>
          </w:p>
        </w:tc>
        <w:tc>
          <w:tcPr>
            <w:tcW w:w="1035" w:type="dxa"/>
            <w:noWrap w:val="0"/>
            <w:vAlign w:val="center"/>
          </w:tcPr>
          <w:p w14:paraId="1EA3D22C">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spacing w:val="-8"/>
                <w:kern w:val="2"/>
                <w:sz w:val="24"/>
                <w:szCs w:val="24"/>
                <w:highlight w:val="none"/>
                <w:lang w:val="en-US" w:eastAsia="en-US" w:bidi="ar-SA"/>
              </w:rPr>
              <w:t>共同评分因素</w:t>
            </w:r>
          </w:p>
        </w:tc>
      </w:tr>
      <w:tr w14:paraId="3FF79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noWrap w:val="0"/>
            <w:vAlign w:val="center"/>
          </w:tcPr>
          <w:p w14:paraId="4DCD320B">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1659" w:type="dxa"/>
            <w:noWrap w:val="0"/>
            <w:vAlign w:val="center"/>
          </w:tcPr>
          <w:p w14:paraId="4472561C">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spacing w:val="-8"/>
                <w:kern w:val="2"/>
                <w:sz w:val="24"/>
                <w:szCs w:val="24"/>
                <w:highlight w:val="none"/>
                <w:lang w:val="en-US" w:eastAsia="en-US" w:bidi="ar-SA"/>
              </w:rPr>
              <w:t>技术、服务要求</w:t>
            </w:r>
            <w:r>
              <w:rPr>
                <w:rFonts w:hint="eastAsia" w:ascii="宋体" w:hAnsi="宋体" w:eastAsia="宋体" w:cs="宋体"/>
                <w:b w:val="0"/>
                <w:bCs w:val="0"/>
                <w:spacing w:val="-8"/>
                <w:kern w:val="2"/>
                <w:sz w:val="24"/>
                <w:szCs w:val="24"/>
                <w:highlight w:val="none"/>
                <w:lang w:val="en-US" w:eastAsia="zh-CN" w:bidi="ar-SA"/>
              </w:rPr>
              <w:t>35</w:t>
            </w:r>
            <w:r>
              <w:rPr>
                <w:rFonts w:hint="eastAsia" w:ascii="宋体" w:hAnsi="宋体" w:eastAsia="宋体" w:cs="宋体"/>
                <w:b w:val="0"/>
                <w:bCs w:val="0"/>
                <w:spacing w:val="-8"/>
                <w:kern w:val="2"/>
                <w:sz w:val="24"/>
                <w:szCs w:val="24"/>
                <w:highlight w:val="none"/>
                <w:lang w:val="en-US" w:eastAsia="en-US" w:bidi="ar-SA"/>
              </w:rPr>
              <w:t>%（主要评分因素）</w:t>
            </w:r>
          </w:p>
        </w:tc>
        <w:tc>
          <w:tcPr>
            <w:tcW w:w="815" w:type="dxa"/>
            <w:noWrap w:val="0"/>
            <w:vAlign w:val="center"/>
          </w:tcPr>
          <w:p w14:paraId="13A950A6">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pacing w:val="-8"/>
                <w:kern w:val="2"/>
                <w:sz w:val="24"/>
                <w:szCs w:val="24"/>
                <w:highlight w:val="none"/>
                <w:lang w:val="en-US" w:eastAsia="zh-CN" w:bidi="ar-SA"/>
              </w:rPr>
              <w:t>35分</w:t>
            </w:r>
          </w:p>
        </w:tc>
        <w:tc>
          <w:tcPr>
            <w:tcW w:w="4036" w:type="dxa"/>
            <w:noWrap w:val="0"/>
            <w:vAlign w:val="center"/>
          </w:tcPr>
          <w:p w14:paraId="3EA00693">
            <w:pPr>
              <w:keepNext w:val="0"/>
              <w:keepLines w:val="0"/>
              <w:pageBreakBefore w:val="0"/>
              <w:widowControl w:val="0"/>
              <w:kinsoku/>
              <w:wordWrap w:val="0"/>
              <w:overflowPunct w:val="0"/>
              <w:topLinePunct/>
              <w:autoSpaceDE/>
              <w:autoSpaceDN/>
              <w:bidi w:val="0"/>
              <w:adjustRightInd/>
              <w:snapToGrid/>
              <w:spacing w:line="240" w:lineRule="exact"/>
              <w:ind w:right="0" w:rightChars="0" w:firstLine="0" w:firstLineChars="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zh-CN" w:eastAsia="en-US"/>
              </w:rPr>
              <w:t>投标人针对招标文件</w:t>
            </w:r>
            <w:r>
              <w:rPr>
                <w:rFonts w:hint="eastAsia" w:ascii="宋体" w:hAnsi="宋体" w:eastAsia="宋体" w:cs="宋体"/>
                <w:b w:val="0"/>
                <w:bCs w:val="0"/>
                <w:color w:val="auto"/>
                <w:sz w:val="24"/>
                <w:szCs w:val="24"/>
                <w:highlight w:val="none"/>
                <w:lang w:val="en-US" w:eastAsia="zh-CN"/>
              </w:rPr>
              <w:t>项目种类及技术参数要求</w:t>
            </w:r>
            <w:r>
              <w:rPr>
                <w:rFonts w:hint="eastAsia" w:ascii="宋体" w:hAnsi="宋体" w:eastAsia="宋体" w:cs="宋体"/>
                <w:b w:val="0"/>
                <w:bCs w:val="0"/>
                <w:color w:val="auto"/>
                <w:sz w:val="24"/>
                <w:szCs w:val="24"/>
                <w:highlight w:val="none"/>
                <w:lang w:val="zh-CN" w:eastAsia="en-US"/>
              </w:rPr>
              <w:t>条款的响应得分规则如下：</w:t>
            </w:r>
          </w:p>
          <w:p w14:paraId="0A70DA9F">
            <w:pPr>
              <w:pStyle w:val="2"/>
              <w:numPr>
                <w:ilvl w:val="0"/>
                <w:numId w:val="3"/>
              </w:numPr>
              <w:rPr>
                <w:rFonts w:hint="eastAsia" w:ascii="宋体" w:hAnsi="宋体" w:eastAsia="宋体" w:cs="宋体"/>
                <w:b w:val="0"/>
                <w:bCs w:val="0"/>
                <w:color w:val="auto"/>
                <w:sz w:val="24"/>
                <w:szCs w:val="24"/>
                <w:highlight w:val="none"/>
                <w:lang w:val="zh-CN" w:eastAsia="en-US"/>
              </w:rPr>
            </w:pPr>
            <w:r>
              <w:rPr>
                <w:rFonts w:hint="eastAsia" w:ascii="宋体" w:hAnsi="宋体" w:eastAsia="宋体" w:cs="宋体"/>
                <w:b w:val="0"/>
                <w:bCs w:val="0"/>
                <w:color w:val="auto"/>
                <w:sz w:val="24"/>
                <w:szCs w:val="24"/>
                <w:highlight w:val="none"/>
                <w:lang w:val="en-US" w:eastAsia="en-US"/>
              </w:rPr>
              <w:t>技术、服务要求</w:t>
            </w:r>
            <w:r>
              <w:rPr>
                <w:rFonts w:hint="eastAsia" w:hAnsi="宋体" w:cs="宋体"/>
                <w:b w:val="0"/>
                <w:bCs w:val="0"/>
                <w:color w:val="auto"/>
                <w:sz w:val="24"/>
                <w:szCs w:val="24"/>
                <w:highlight w:val="none"/>
                <w:lang w:val="en-US" w:eastAsia="zh-CN"/>
              </w:rPr>
              <w:t>及采购清单规格型号</w:t>
            </w:r>
            <w:r>
              <w:rPr>
                <w:rFonts w:hint="eastAsia" w:ascii="宋体" w:hAnsi="宋体" w:eastAsia="宋体" w:cs="宋体"/>
                <w:b w:val="0"/>
                <w:bCs w:val="0"/>
                <w:color w:val="auto"/>
                <w:sz w:val="24"/>
                <w:szCs w:val="24"/>
                <w:highlight w:val="none"/>
                <w:lang w:val="zh-CN" w:eastAsia="en-US"/>
              </w:rPr>
              <w:t>响应得分</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zh-CN" w:eastAsia="en-US"/>
              </w:rPr>
              <w:t>=</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zh-CN" w:eastAsia="en-US"/>
              </w:rPr>
              <w:t>（</w:t>
            </w:r>
            <w:r>
              <w:rPr>
                <w:rFonts w:hint="eastAsia" w:ascii="宋体" w:hAnsi="宋体" w:eastAsia="宋体" w:cs="宋体"/>
                <w:b w:val="0"/>
                <w:bCs w:val="0"/>
                <w:color w:val="auto"/>
                <w:sz w:val="24"/>
                <w:szCs w:val="24"/>
                <w:highlight w:val="none"/>
                <w:lang w:val="en-US" w:eastAsia="zh-CN"/>
              </w:rPr>
              <w:t>“常用灭火器设施”项+“消防电系统”项+“应急照明系统”项+“</w:t>
            </w:r>
            <w:r>
              <w:rPr>
                <w:rFonts w:hint="eastAsia" w:ascii="宋体" w:hAnsi="宋体" w:eastAsia="宋体" w:cs="宋体"/>
                <w:b w:val="0"/>
                <w:bCs w:val="0"/>
                <w:color w:val="auto"/>
                <w:sz w:val="24"/>
                <w:szCs w:val="24"/>
                <w:highlight w:val="none"/>
              </w:rPr>
              <w:t>消防水系统</w:t>
            </w:r>
            <w:r>
              <w:rPr>
                <w:rFonts w:hint="eastAsia" w:ascii="宋体" w:hAnsi="宋体" w:eastAsia="宋体" w:cs="宋体"/>
                <w:b w:val="0"/>
                <w:bCs w:val="0"/>
                <w:color w:val="auto"/>
                <w:sz w:val="24"/>
                <w:szCs w:val="24"/>
                <w:highlight w:val="none"/>
                <w:lang w:val="en-US" w:eastAsia="zh-CN"/>
              </w:rPr>
              <w:t>”项+“</w:t>
            </w:r>
            <w:r>
              <w:rPr>
                <w:rFonts w:hint="eastAsia" w:ascii="宋体" w:hAnsi="宋体" w:eastAsia="宋体" w:cs="宋体"/>
                <w:b w:val="0"/>
                <w:bCs w:val="0"/>
                <w:color w:val="auto"/>
                <w:sz w:val="24"/>
                <w:szCs w:val="24"/>
                <w:highlight w:val="none"/>
              </w:rPr>
              <w:t>防排烟及防火封堵系统</w:t>
            </w:r>
            <w:r>
              <w:rPr>
                <w:rFonts w:hint="eastAsia" w:ascii="宋体" w:hAnsi="宋体" w:eastAsia="宋体" w:cs="宋体"/>
                <w:b w:val="0"/>
                <w:bCs w:val="0"/>
                <w:color w:val="auto"/>
                <w:sz w:val="24"/>
                <w:szCs w:val="24"/>
                <w:highlight w:val="none"/>
                <w:lang w:val="en-US" w:eastAsia="zh-CN"/>
              </w:rPr>
              <w:t>”项+“</w:t>
            </w:r>
            <w:r>
              <w:rPr>
                <w:rFonts w:hint="eastAsia" w:ascii="宋体" w:hAnsi="宋体" w:eastAsia="宋体" w:cs="宋体"/>
                <w:b w:val="0"/>
                <w:bCs w:val="0"/>
                <w:color w:val="auto"/>
                <w:sz w:val="24"/>
                <w:szCs w:val="24"/>
                <w:highlight w:val="none"/>
              </w:rPr>
              <w:t>防火卷帘系统</w:t>
            </w:r>
            <w:r>
              <w:rPr>
                <w:rFonts w:hint="eastAsia" w:ascii="宋体" w:hAnsi="宋体" w:eastAsia="宋体" w:cs="宋体"/>
                <w:b w:val="0"/>
                <w:bCs w:val="0"/>
                <w:color w:val="auto"/>
                <w:sz w:val="24"/>
                <w:szCs w:val="24"/>
                <w:highlight w:val="none"/>
                <w:lang w:val="en-US" w:eastAsia="zh-CN"/>
              </w:rPr>
              <w:t>”项+“</w:t>
            </w:r>
            <w:r>
              <w:rPr>
                <w:rFonts w:hint="eastAsia" w:ascii="宋体" w:hAnsi="宋体" w:eastAsia="宋体" w:cs="宋体"/>
                <w:b w:val="0"/>
                <w:bCs w:val="0"/>
                <w:color w:val="auto"/>
                <w:sz w:val="24"/>
                <w:szCs w:val="24"/>
                <w:highlight w:val="none"/>
              </w:rPr>
              <w:t>其他灭火系统</w:t>
            </w:r>
            <w:r>
              <w:rPr>
                <w:rFonts w:hint="eastAsia" w:ascii="宋体" w:hAnsi="宋体" w:eastAsia="宋体" w:cs="宋体"/>
                <w:b w:val="0"/>
                <w:bCs w:val="0"/>
                <w:color w:val="auto"/>
                <w:sz w:val="24"/>
                <w:szCs w:val="24"/>
                <w:highlight w:val="none"/>
                <w:lang w:val="en-US" w:eastAsia="zh-CN"/>
              </w:rPr>
              <w:t>”项 = 35</w:t>
            </w:r>
            <w:r>
              <w:rPr>
                <w:rFonts w:hint="eastAsia" w:ascii="宋体" w:hAnsi="宋体" w:eastAsia="宋体" w:cs="宋体"/>
                <w:b w:val="0"/>
                <w:bCs w:val="0"/>
                <w:color w:val="auto"/>
                <w:sz w:val="24"/>
                <w:szCs w:val="24"/>
                <w:highlight w:val="none"/>
                <w:lang w:val="zh-CN" w:eastAsia="en-US"/>
              </w:rPr>
              <w:t>分。</w:t>
            </w:r>
          </w:p>
          <w:p w14:paraId="4755E2B8">
            <w:pPr>
              <w:keepNext w:val="0"/>
              <w:keepLines w:val="0"/>
              <w:pageBreakBefore w:val="0"/>
              <w:widowControl w:val="0"/>
              <w:kinsoku/>
              <w:wordWrap w:val="0"/>
              <w:overflowPunct w:val="0"/>
              <w:topLinePunct/>
              <w:autoSpaceDE/>
              <w:autoSpaceDN/>
              <w:bidi w:val="0"/>
              <w:adjustRightInd/>
              <w:snapToGrid/>
              <w:spacing w:line="240" w:lineRule="exact"/>
              <w:ind w:right="0" w:rightChars="0" w:firstLine="0" w:firstLineChars="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zh-CN" w:eastAsia="en-US"/>
              </w:rPr>
              <w:t>注：以（如“</w:t>
            </w:r>
            <w:r>
              <w:rPr>
                <w:rFonts w:hint="eastAsia" w:ascii="宋体" w:hAnsi="宋体" w:eastAsia="宋体" w:cs="宋体"/>
                <w:b w:val="0"/>
                <w:bCs w:val="0"/>
                <w:color w:val="auto"/>
                <w:sz w:val="24"/>
                <w:szCs w:val="24"/>
                <w:highlight w:val="none"/>
                <w:lang w:val="en-US" w:eastAsia="zh-CN"/>
              </w:rPr>
              <w:t>常用灭火设施</w:t>
            </w:r>
            <w:r>
              <w:rPr>
                <w:rFonts w:hint="eastAsia" w:ascii="宋体" w:hAnsi="宋体" w:eastAsia="宋体" w:cs="宋体"/>
                <w:b w:val="0"/>
                <w:bCs w:val="0"/>
                <w:color w:val="auto"/>
                <w:sz w:val="24"/>
                <w:szCs w:val="24"/>
                <w:highlight w:val="none"/>
                <w:lang w:val="zh-CN" w:eastAsia="en-US"/>
              </w:rPr>
              <w:t xml:space="preserve"> ”、“</w:t>
            </w:r>
            <w:r>
              <w:rPr>
                <w:rFonts w:hint="eastAsia" w:ascii="宋体" w:hAnsi="宋体" w:eastAsia="宋体" w:cs="宋体"/>
                <w:b w:val="0"/>
                <w:bCs w:val="0"/>
                <w:color w:val="auto"/>
                <w:sz w:val="24"/>
                <w:szCs w:val="24"/>
                <w:highlight w:val="none"/>
                <w:lang w:val="en-US" w:eastAsia="zh-CN"/>
              </w:rPr>
              <w:t>消防电系统</w:t>
            </w:r>
            <w:r>
              <w:rPr>
                <w:rFonts w:hint="eastAsia" w:ascii="宋体" w:hAnsi="宋体" w:eastAsia="宋体" w:cs="宋体"/>
                <w:b w:val="0"/>
                <w:bCs w:val="0"/>
                <w:color w:val="auto"/>
                <w:sz w:val="24"/>
                <w:szCs w:val="24"/>
                <w:highlight w:val="none"/>
                <w:lang w:val="zh-CN" w:eastAsia="en-US"/>
              </w:rPr>
              <w:t>” ）为一项，</w:t>
            </w:r>
            <w:r>
              <w:rPr>
                <w:rFonts w:hint="eastAsia" w:ascii="宋体" w:hAnsi="宋体" w:eastAsia="宋体" w:cs="宋体"/>
                <w:b w:val="0"/>
                <w:bCs w:val="0"/>
                <w:color w:val="auto"/>
                <w:sz w:val="24"/>
                <w:szCs w:val="24"/>
                <w:highlight w:val="none"/>
                <w:lang w:val="en-US" w:eastAsia="zh-CN"/>
              </w:rPr>
              <w:t>每</w:t>
            </w:r>
            <w:r>
              <w:rPr>
                <w:rFonts w:hint="eastAsia" w:ascii="宋体" w:hAnsi="宋体" w:eastAsia="宋体" w:cs="宋体"/>
                <w:b w:val="0"/>
                <w:bCs w:val="0"/>
                <w:color w:val="auto"/>
                <w:sz w:val="24"/>
                <w:szCs w:val="24"/>
                <w:highlight w:val="none"/>
                <w:lang w:val="zh-CN" w:eastAsia="en-US"/>
              </w:rPr>
              <w:t>项任意一条</w:t>
            </w:r>
            <w:r>
              <w:rPr>
                <w:rFonts w:hint="eastAsia" w:ascii="宋体" w:hAnsi="宋体" w:eastAsia="宋体" w:cs="宋体"/>
                <w:b w:val="0"/>
                <w:bCs w:val="0"/>
                <w:color w:val="auto"/>
                <w:sz w:val="24"/>
                <w:szCs w:val="24"/>
                <w:highlight w:val="none"/>
                <w:lang w:val="en-US" w:eastAsia="zh-CN"/>
              </w:rPr>
              <w:t>序号</w:t>
            </w:r>
            <w:r>
              <w:rPr>
                <w:rFonts w:hint="eastAsia" w:ascii="宋体" w:hAnsi="宋体" w:eastAsia="宋体" w:cs="宋体"/>
                <w:b w:val="0"/>
                <w:bCs w:val="0"/>
                <w:color w:val="auto"/>
                <w:sz w:val="24"/>
                <w:szCs w:val="24"/>
                <w:highlight w:val="none"/>
                <w:lang w:val="zh-CN" w:eastAsia="en-US"/>
              </w:rPr>
              <w:t>不满足，</w:t>
            </w:r>
            <w:r>
              <w:rPr>
                <w:rFonts w:hint="eastAsia" w:ascii="宋体" w:hAnsi="宋体" w:eastAsia="宋体" w:cs="宋体"/>
                <w:b w:val="0"/>
                <w:bCs w:val="0"/>
                <w:color w:val="auto"/>
                <w:sz w:val="24"/>
                <w:szCs w:val="24"/>
                <w:highlight w:val="none"/>
                <w:lang w:val="en-US" w:eastAsia="zh-CN"/>
              </w:rPr>
              <w:t>该项不得分</w:t>
            </w:r>
            <w:r>
              <w:rPr>
                <w:rFonts w:hint="eastAsia" w:ascii="宋体" w:hAnsi="宋体" w:eastAsia="宋体" w:cs="宋体"/>
                <w:b w:val="0"/>
                <w:bCs w:val="0"/>
                <w:color w:val="auto"/>
                <w:sz w:val="24"/>
                <w:szCs w:val="24"/>
                <w:highlight w:val="none"/>
                <w:lang w:val="zh-CN" w:eastAsia="en-US"/>
              </w:rPr>
              <w:t>。</w:t>
            </w:r>
            <w:r>
              <w:rPr>
                <w:rFonts w:hint="eastAsia" w:ascii="宋体" w:hAnsi="宋体" w:eastAsia="宋体" w:cs="宋体"/>
                <w:b w:val="0"/>
                <w:bCs w:val="0"/>
                <w:color w:val="auto"/>
                <w:sz w:val="24"/>
                <w:szCs w:val="24"/>
                <w:highlight w:val="none"/>
                <w:lang w:val="en-US" w:eastAsia="zh-CN"/>
              </w:rPr>
              <w:t>所有项目完全满足最高得分35分</w:t>
            </w:r>
          </w:p>
        </w:tc>
        <w:tc>
          <w:tcPr>
            <w:tcW w:w="1035" w:type="dxa"/>
            <w:noWrap w:val="0"/>
            <w:vAlign w:val="center"/>
          </w:tcPr>
          <w:p w14:paraId="36AC7A01">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spacing w:val="-8"/>
                <w:kern w:val="2"/>
                <w:sz w:val="24"/>
                <w:szCs w:val="24"/>
                <w:highlight w:val="none"/>
                <w:lang w:val="en-US" w:eastAsia="en-US" w:bidi="ar-SA"/>
              </w:rPr>
            </w:pPr>
            <w:r>
              <w:rPr>
                <w:rFonts w:hint="eastAsia" w:ascii="宋体" w:hAnsi="宋体" w:eastAsia="宋体" w:cs="宋体"/>
                <w:b w:val="0"/>
                <w:bCs w:val="0"/>
                <w:spacing w:val="-8"/>
                <w:kern w:val="2"/>
                <w:sz w:val="24"/>
                <w:szCs w:val="24"/>
                <w:highlight w:val="none"/>
                <w:lang w:val="en-US" w:eastAsia="en-US" w:bidi="ar-SA"/>
              </w:rPr>
              <w:t>共同评分因素</w:t>
            </w:r>
          </w:p>
        </w:tc>
      </w:tr>
      <w:tr w14:paraId="2D0A7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noWrap w:val="0"/>
            <w:vAlign w:val="center"/>
          </w:tcPr>
          <w:p w14:paraId="13094FAE">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659" w:type="dxa"/>
            <w:noWrap w:val="0"/>
            <w:vAlign w:val="center"/>
          </w:tcPr>
          <w:p w14:paraId="4E229AC6">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spacing w:val="-8"/>
                <w:kern w:val="2"/>
                <w:sz w:val="24"/>
                <w:szCs w:val="24"/>
                <w:highlight w:val="none"/>
                <w:lang w:val="en-US" w:eastAsia="en-US" w:bidi="ar-SA"/>
              </w:rPr>
              <w:t>业绩</w:t>
            </w:r>
            <w:r>
              <w:rPr>
                <w:rFonts w:hint="eastAsia" w:ascii="宋体" w:hAnsi="宋体" w:eastAsia="宋体" w:cs="宋体"/>
                <w:b w:val="0"/>
                <w:bCs w:val="0"/>
                <w:spacing w:val="-8"/>
                <w:kern w:val="2"/>
                <w:sz w:val="24"/>
                <w:szCs w:val="24"/>
                <w:highlight w:val="none"/>
                <w:lang w:val="en-US" w:eastAsia="zh-CN" w:bidi="ar-SA"/>
              </w:rPr>
              <w:t>10</w:t>
            </w:r>
            <w:r>
              <w:rPr>
                <w:rFonts w:hint="eastAsia" w:ascii="宋体" w:hAnsi="宋体" w:eastAsia="宋体" w:cs="宋体"/>
                <w:b w:val="0"/>
                <w:bCs w:val="0"/>
                <w:spacing w:val="-8"/>
                <w:kern w:val="2"/>
                <w:sz w:val="24"/>
                <w:szCs w:val="24"/>
                <w:highlight w:val="none"/>
                <w:lang w:val="en-US" w:eastAsia="en-US" w:bidi="ar-SA"/>
              </w:rPr>
              <w:t>%</w:t>
            </w:r>
          </w:p>
        </w:tc>
        <w:tc>
          <w:tcPr>
            <w:tcW w:w="815" w:type="dxa"/>
            <w:noWrap w:val="0"/>
            <w:vAlign w:val="center"/>
          </w:tcPr>
          <w:p w14:paraId="71D0C0CA">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pacing w:val="-8"/>
                <w:sz w:val="24"/>
                <w:szCs w:val="24"/>
                <w:highlight w:val="none"/>
                <w:lang w:val="en-US" w:eastAsia="en-US"/>
              </w:rPr>
              <w:t>10</w:t>
            </w:r>
            <w:r>
              <w:rPr>
                <w:rFonts w:hint="eastAsia" w:ascii="宋体" w:hAnsi="宋体" w:eastAsia="宋体" w:cs="宋体"/>
                <w:b w:val="0"/>
                <w:bCs w:val="0"/>
                <w:color w:val="auto"/>
                <w:spacing w:val="-8"/>
                <w:sz w:val="24"/>
                <w:szCs w:val="24"/>
                <w:highlight w:val="none"/>
                <w:lang w:val="en-US" w:eastAsia="zh-CN"/>
              </w:rPr>
              <w:t>分</w:t>
            </w:r>
          </w:p>
        </w:tc>
        <w:tc>
          <w:tcPr>
            <w:tcW w:w="4036" w:type="dxa"/>
            <w:noWrap w:val="0"/>
            <w:vAlign w:val="center"/>
          </w:tcPr>
          <w:p w14:paraId="19988C3E">
            <w:pPr>
              <w:keepNext w:val="0"/>
              <w:keepLines w:val="0"/>
              <w:pageBreakBefore w:val="0"/>
              <w:widowControl w:val="0"/>
              <w:kinsoku/>
              <w:wordWrap w:val="0"/>
              <w:overflowPunct w:val="0"/>
              <w:topLinePunct/>
              <w:autoSpaceDE/>
              <w:autoSpaceDN/>
              <w:bidi w:val="0"/>
              <w:adjustRightInd/>
              <w:snapToGrid/>
              <w:spacing w:line="240" w:lineRule="exact"/>
              <w:ind w:right="0" w:rightChars="0" w:firstLine="0" w:firstLineChars="0"/>
              <w:jc w:val="left"/>
              <w:textAlignment w:val="center"/>
              <w:rPr>
                <w:rFonts w:hint="eastAsia" w:ascii="宋体" w:hAnsi="宋体" w:eastAsia="宋体" w:cs="宋体"/>
                <w:b w:val="0"/>
                <w:bCs w:val="0"/>
                <w:color w:val="auto"/>
                <w:sz w:val="24"/>
                <w:szCs w:val="24"/>
                <w:highlight w:val="none"/>
                <w:lang w:val="en-US" w:eastAsia="en-US"/>
              </w:rPr>
            </w:pPr>
            <w:r>
              <w:rPr>
                <w:rFonts w:hint="eastAsia" w:ascii="宋体" w:hAnsi="宋体" w:eastAsia="宋体" w:cs="宋体"/>
                <w:b w:val="0"/>
                <w:bCs w:val="0"/>
                <w:color w:val="auto"/>
                <w:sz w:val="24"/>
                <w:szCs w:val="24"/>
                <w:highlight w:val="none"/>
                <w:lang w:val="en-US" w:eastAsia="en-US"/>
              </w:rPr>
              <w:t>投标人每提供1个20</w:t>
            </w:r>
            <w:r>
              <w:rPr>
                <w:rFonts w:hint="eastAsia" w:ascii="宋体" w:hAnsi="宋体" w:eastAsia="宋体" w:cs="宋体"/>
                <w:b w:val="0"/>
                <w:bCs w:val="0"/>
                <w:color w:val="auto"/>
                <w:sz w:val="24"/>
                <w:szCs w:val="24"/>
                <w:highlight w:val="none"/>
                <w:lang w:val="en-US" w:eastAsia="zh-CN"/>
              </w:rPr>
              <w:t>22</w:t>
            </w:r>
            <w:r>
              <w:rPr>
                <w:rFonts w:hint="eastAsia" w:ascii="宋体" w:hAnsi="宋体" w:eastAsia="宋体" w:cs="宋体"/>
                <w:b w:val="0"/>
                <w:bCs w:val="0"/>
                <w:color w:val="auto"/>
                <w:sz w:val="24"/>
                <w:szCs w:val="24"/>
                <w:highlight w:val="none"/>
                <w:lang w:val="en-US" w:eastAsia="en-US"/>
              </w:rPr>
              <w:t xml:space="preserve">年1月1日（含）至投交投标文件截止日的类似项目业绩得 </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en-US"/>
              </w:rPr>
              <w:t xml:space="preserve">分，最多得 </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val="en-US" w:eastAsia="en-US"/>
              </w:rPr>
              <w:t>分。无类似业绩不得分。</w:t>
            </w:r>
          </w:p>
          <w:p w14:paraId="7ACEB0E2">
            <w:pPr>
              <w:keepNext w:val="0"/>
              <w:keepLines w:val="0"/>
              <w:pageBreakBefore w:val="0"/>
              <w:widowControl w:val="0"/>
              <w:kinsoku/>
              <w:wordWrap w:val="0"/>
              <w:overflowPunct w:val="0"/>
              <w:topLinePunct/>
              <w:autoSpaceDE/>
              <w:autoSpaceDN/>
              <w:bidi w:val="0"/>
              <w:adjustRightInd/>
              <w:snapToGrid/>
              <w:spacing w:line="240" w:lineRule="exact"/>
              <w:ind w:right="0" w:rightChars="0" w:firstLine="0" w:firstLineChars="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en-US"/>
              </w:rPr>
              <w:t>说明：①类似业绩须提供中标（成交）通知书或合同（协议）、</w:t>
            </w:r>
            <w:r>
              <w:rPr>
                <w:rFonts w:hint="eastAsia" w:ascii="宋体" w:hAnsi="宋体" w:eastAsia="宋体" w:cs="宋体"/>
                <w:b w:val="0"/>
                <w:bCs w:val="0"/>
                <w:color w:val="auto"/>
                <w:sz w:val="24"/>
                <w:szCs w:val="24"/>
                <w:highlight w:val="none"/>
                <w:lang w:val="en-US" w:eastAsia="zh-CN"/>
              </w:rPr>
              <w:t>送货单</w:t>
            </w:r>
            <w:r>
              <w:rPr>
                <w:rFonts w:hint="eastAsia" w:ascii="宋体" w:hAnsi="宋体" w:eastAsia="宋体" w:cs="宋体"/>
                <w:b w:val="0"/>
                <w:bCs w:val="0"/>
                <w:color w:val="auto"/>
                <w:sz w:val="24"/>
                <w:szCs w:val="24"/>
                <w:highlight w:val="none"/>
                <w:lang w:val="en-US" w:eastAsia="en-US"/>
              </w:rPr>
              <w:t>（复印件加盖单位公章），不提供的不得分</w:t>
            </w:r>
            <w:r>
              <w:rPr>
                <w:rFonts w:hint="eastAsia" w:ascii="宋体" w:hAnsi="宋体" w:eastAsia="宋体" w:cs="宋体"/>
                <w:b w:val="0"/>
                <w:bCs w:val="0"/>
                <w:color w:val="auto"/>
                <w:sz w:val="24"/>
                <w:szCs w:val="24"/>
                <w:highlight w:val="none"/>
                <w:lang w:val="en-US" w:eastAsia="zh-CN"/>
              </w:rPr>
              <w:t>。</w:t>
            </w:r>
          </w:p>
        </w:tc>
        <w:tc>
          <w:tcPr>
            <w:tcW w:w="1035" w:type="dxa"/>
            <w:noWrap w:val="0"/>
            <w:vAlign w:val="center"/>
          </w:tcPr>
          <w:p w14:paraId="6105BAE4">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spacing w:val="-8"/>
                <w:kern w:val="2"/>
                <w:sz w:val="24"/>
                <w:szCs w:val="24"/>
                <w:highlight w:val="none"/>
                <w:lang w:val="en-US" w:eastAsia="en-US" w:bidi="ar-SA"/>
              </w:rPr>
              <w:t>共同评分因素</w:t>
            </w:r>
          </w:p>
        </w:tc>
      </w:tr>
      <w:tr w14:paraId="02E97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977" w:type="dxa"/>
            <w:noWrap w:val="0"/>
            <w:vAlign w:val="center"/>
          </w:tcPr>
          <w:p w14:paraId="61B6FA7A">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c>
          <w:tcPr>
            <w:tcW w:w="1659" w:type="dxa"/>
            <w:noWrap w:val="0"/>
            <w:vAlign w:val="center"/>
          </w:tcPr>
          <w:p w14:paraId="7EC2B7BA">
            <w:pPr>
              <w:jc w:val="center"/>
              <w:rPr>
                <w:rFonts w:hint="eastAsia" w:ascii="宋体" w:hAnsi="宋体" w:eastAsia="宋体" w:cs="宋体"/>
                <w:b w:val="0"/>
                <w:bCs w:val="0"/>
                <w:spacing w:val="-8"/>
                <w:kern w:val="2"/>
                <w:sz w:val="24"/>
                <w:szCs w:val="24"/>
                <w:highlight w:val="none"/>
                <w:lang w:val="en-US" w:eastAsia="en-US" w:bidi="ar-SA"/>
              </w:rPr>
            </w:pPr>
            <w:r>
              <w:rPr>
                <w:rFonts w:hint="eastAsia" w:ascii="宋体" w:hAnsi="宋体" w:eastAsia="宋体" w:cs="宋体"/>
                <w:b w:val="0"/>
                <w:bCs w:val="0"/>
                <w:spacing w:val="-8"/>
                <w:kern w:val="2"/>
                <w:sz w:val="24"/>
                <w:szCs w:val="24"/>
                <w:highlight w:val="none"/>
                <w:lang w:val="en-US" w:eastAsia="zh-CN" w:bidi="ar-SA"/>
              </w:rPr>
              <w:t>服务方案20</w:t>
            </w:r>
            <w:r>
              <w:rPr>
                <w:rFonts w:hint="eastAsia" w:ascii="宋体" w:hAnsi="宋体" w:eastAsia="宋体" w:cs="宋体"/>
                <w:b w:val="0"/>
                <w:bCs w:val="0"/>
                <w:spacing w:val="-8"/>
                <w:kern w:val="2"/>
                <w:sz w:val="24"/>
                <w:szCs w:val="24"/>
                <w:highlight w:val="none"/>
                <w:lang w:val="en-US" w:eastAsia="en-US" w:bidi="ar-SA"/>
              </w:rPr>
              <w:t>%</w:t>
            </w:r>
          </w:p>
        </w:tc>
        <w:tc>
          <w:tcPr>
            <w:tcW w:w="815" w:type="dxa"/>
            <w:noWrap w:val="0"/>
            <w:vAlign w:val="center"/>
          </w:tcPr>
          <w:p w14:paraId="1F6F3E7A">
            <w:pPr>
              <w:jc w:val="both"/>
              <w:rPr>
                <w:rFonts w:hint="eastAsia" w:ascii="宋体" w:hAnsi="宋体" w:eastAsia="宋体" w:cs="宋体"/>
                <w:b w:val="0"/>
                <w:bCs w:val="0"/>
                <w:spacing w:val="-8"/>
                <w:kern w:val="2"/>
                <w:sz w:val="24"/>
                <w:szCs w:val="24"/>
                <w:highlight w:val="none"/>
                <w:lang w:val="en-US" w:eastAsia="en-US" w:bidi="ar-SA"/>
              </w:rPr>
            </w:pPr>
            <w:r>
              <w:rPr>
                <w:rFonts w:hint="eastAsia" w:ascii="宋体" w:hAnsi="宋体" w:eastAsia="宋体" w:cs="宋体"/>
                <w:b w:val="0"/>
                <w:bCs w:val="0"/>
                <w:spacing w:val="-8"/>
                <w:kern w:val="2"/>
                <w:sz w:val="24"/>
                <w:szCs w:val="24"/>
                <w:highlight w:val="none"/>
                <w:lang w:val="en-US" w:eastAsia="zh-CN" w:bidi="ar-SA"/>
              </w:rPr>
              <w:t>20</w:t>
            </w:r>
            <w:r>
              <w:rPr>
                <w:rFonts w:hint="eastAsia" w:ascii="宋体" w:hAnsi="宋体" w:eastAsia="宋体" w:cs="宋体"/>
                <w:b w:val="0"/>
                <w:bCs w:val="0"/>
                <w:spacing w:val="-8"/>
                <w:kern w:val="2"/>
                <w:sz w:val="24"/>
                <w:szCs w:val="24"/>
                <w:highlight w:val="none"/>
                <w:lang w:val="en-US" w:eastAsia="en-US" w:bidi="ar-SA"/>
              </w:rPr>
              <w:t>分</w:t>
            </w:r>
          </w:p>
        </w:tc>
        <w:tc>
          <w:tcPr>
            <w:tcW w:w="4036" w:type="dxa"/>
            <w:noWrap w:val="0"/>
            <w:vAlign w:val="center"/>
          </w:tcPr>
          <w:p w14:paraId="7BCDE1CE">
            <w:pPr>
              <w:keepNext w:val="0"/>
              <w:keepLines w:val="0"/>
              <w:pageBreakBefore w:val="0"/>
              <w:widowControl w:val="0"/>
              <w:kinsoku/>
              <w:wordWrap w:val="0"/>
              <w:overflowPunct w:val="0"/>
              <w:topLinePunct/>
              <w:autoSpaceDE/>
              <w:autoSpaceDN/>
              <w:bidi w:val="0"/>
              <w:adjustRightInd/>
              <w:snapToGrid/>
              <w:spacing w:line="240" w:lineRule="exact"/>
              <w:ind w:right="0" w:rightChars="0" w:firstLine="0" w:firstLineChars="0"/>
              <w:jc w:val="left"/>
              <w:textAlignment w:val="center"/>
              <w:rPr>
                <w:rFonts w:hint="eastAsia" w:ascii="宋体" w:hAnsi="宋体" w:eastAsia="宋体" w:cs="宋体"/>
                <w:b w:val="0"/>
                <w:bCs w:val="0"/>
                <w:color w:val="auto"/>
                <w:sz w:val="24"/>
                <w:szCs w:val="24"/>
                <w:highlight w:val="none"/>
                <w:lang w:val="en-US" w:eastAsia="en-US"/>
              </w:rPr>
            </w:pPr>
            <w:r>
              <w:rPr>
                <w:rFonts w:hint="eastAsia" w:ascii="宋体" w:hAnsi="宋体" w:eastAsia="宋体" w:cs="宋体"/>
                <w:b w:val="0"/>
                <w:bCs w:val="0"/>
                <w:color w:val="auto"/>
                <w:sz w:val="24"/>
                <w:szCs w:val="24"/>
                <w:highlight w:val="none"/>
                <w:lang w:val="en-US" w:eastAsia="en-US"/>
              </w:rPr>
              <w:t>根据投标人提供的售后服务方案进行评审，包括但不限于①售后服务</w:t>
            </w:r>
            <w:r>
              <w:rPr>
                <w:rFonts w:hint="eastAsia" w:ascii="宋体" w:hAnsi="宋体" w:eastAsia="宋体" w:cs="宋体"/>
                <w:b w:val="0"/>
                <w:bCs w:val="0"/>
                <w:color w:val="auto"/>
                <w:sz w:val="24"/>
                <w:szCs w:val="24"/>
                <w:highlight w:val="none"/>
                <w:lang w:val="en-US" w:eastAsia="zh-CN"/>
              </w:rPr>
              <w:t>保障</w:t>
            </w:r>
            <w:r>
              <w:rPr>
                <w:rFonts w:hint="eastAsia" w:ascii="宋体" w:hAnsi="宋体" w:eastAsia="宋体" w:cs="宋体"/>
                <w:b w:val="0"/>
                <w:bCs w:val="0"/>
                <w:color w:val="auto"/>
                <w:sz w:val="24"/>
                <w:szCs w:val="24"/>
                <w:highlight w:val="none"/>
                <w:lang w:val="en-US" w:eastAsia="en-US"/>
              </w:rPr>
              <w:t>措施</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en-US"/>
              </w:rPr>
              <w:t>②</w:t>
            </w:r>
            <w:r>
              <w:rPr>
                <w:rFonts w:hint="eastAsia" w:ascii="宋体" w:hAnsi="宋体" w:eastAsia="宋体" w:cs="宋体"/>
                <w:b w:val="0"/>
                <w:bCs w:val="0"/>
                <w:color w:val="auto"/>
                <w:sz w:val="24"/>
                <w:szCs w:val="24"/>
                <w:highlight w:val="none"/>
                <w:lang w:val="en-US" w:eastAsia="zh-CN"/>
              </w:rPr>
              <w:t>为该项目</w:t>
            </w:r>
            <w:r>
              <w:rPr>
                <w:rFonts w:hint="eastAsia" w:ascii="宋体" w:hAnsi="宋体" w:eastAsia="宋体" w:cs="宋体"/>
                <w:b w:val="0"/>
                <w:bCs w:val="0"/>
                <w:color w:val="auto"/>
                <w:sz w:val="24"/>
                <w:szCs w:val="24"/>
                <w:highlight w:val="none"/>
                <w:lang w:val="en-US" w:eastAsia="en-US"/>
              </w:rPr>
              <w:t>配备</w:t>
            </w:r>
            <w:r>
              <w:rPr>
                <w:rFonts w:hint="eastAsia" w:ascii="宋体" w:hAnsi="宋体" w:eastAsia="宋体" w:cs="宋体"/>
                <w:b w:val="0"/>
                <w:bCs w:val="0"/>
                <w:color w:val="auto"/>
                <w:sz w:val="24"/>
                <w:szCs w:val="24"/>
                <w:highlight w:val="none"/>
                <w:lang w:val="en-US" w:eastAsia="zh-CN"/>
              </w:rPr>
              <w:t>的人员情况；</w:t>
            </w:r>
            <w:r>
              <w:rPr>
                <w:rFonts w:hint="eastAsia" w:ascii="宋体" w:hAnsi="宋体" w:eastAsia="宋体" w:cs="宋体"/>
                <w:b w:val="0"/>
                <w:bCs w:val="0"/>
                <w:color w:val="auto"/>
                <w:sz w:val="24"/>
                <w:szCs w:val="24"/>
                <w:highlight w:val="none"/>
                <w:lang w:val="en-US" w:eastAsia="en-US"/>
              </w:rPr>
              <w:t>③产品配送流程</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en-US"/>
              </w:rPr>
              <w:t>④应急</w:t>
            </w:r>
            <w:r>
              <w:rPr>
                <w:rFonts w:hint="eastAsia" w:ascii="宋体" w:hAnsi="宋体" w:eastAsia="宋体" w:cs="宋体"/>
                <w:b w:val="0"/>
                <w:bCs w:val="0"/>
                <w:color w:val="auto"/>
                <w:sz w:val="24"/>
                <w:szCs w:val="24"/>
                <w:highlight w:val="none"/>
                <w:lang w:val="en-US" w:eastAsia="zh-CN"/>
              </w:rPr>
              <w:t>响应能力，包括但不限于紧急情况下货物配送时间，采购方的抚琴院区、晋阳院区、天府院区分别描述；</w:t>
            </w:r>
            <w:r>
              <w:rPr>
                <w:rFonts w:hint="eastAsia" w:ascii="宋体" w:hAnsi="宋体" w:eastAsia="宋体" w:cs="宋体"/>
                <w:b w:val="0"/>
                <w:bCs w:val="0"/>
                <w:color w:val="auto"/>
                <w:sz w:val="24"/>
                <w:szCs w:val="24"/>
                <w:highlight w:val="none"/>
                <w:lang w:val="en-US" w:eastAsia="en-US"/>
              </w:rPr>
              <w:t>⑤内部管理制度</w:t>
            </w:r>
            <w:r>
              <w:rPr>
                <w:rFonts w:hint="eastAsia" w:ascii="宋体" w:hAnsi="宋体" w:eastAsia="宋体" w:cs="宋体"/>
                <w:b w:val="0"/>
                <w:bCs w:val="0"/>
                <w:color w:val="auto"/>
                <w:sz w:val="24"/>
                <w:szCs w:val="24"/>
                <w:highlight w:val="none"/>
                <w:lang w:val="en-US" w:eastAsia="zh-CN"/>
              </w:rPr>
              <w:t>。方案</w:t>
            </w:r>
            <w:r>
              <w:rPr>
                <w:rFonts w:hint="eastAsia" w:ascii="宋体" w:hAnsi="宋体" w:eastAsia="宋体" w:cs="宋体"/>
                <w:b w:val="0"/>
                <w:bCs w:val="0"/>
                <w:color w:val="auto"/>
                <w:sz w:val="24"/>
                <w:szCs w:val="24"/>
                <w:highlight w:val="none"/>
                <w:lang w:val="en-US" w:eastAsia="en-US"/>
              </w:rPr>
              <w:t>内容提供完整得</w:t>
            </w:r>
            <w:r>
              <w:rPr>
                <w:rFonts w:hint="eastAsia" w:ascii="宋体" w:hAnsi="宋体" w:eastAsia="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lang w:val="en-US" w:eastAsia="en-US"/>
              </w:rPr>
              <w:t>分</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en-US"/>
              </w:rPr>
              <w:t>每缺一项扣</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en-US"/>
              </w:rPr>
              <w:t>分，所提供的方案每项中</w:t>
            </w:r>
            <w:r>
              <w:rPr>
                <w:rFonts w:hint="eastAsia" w:ascii="宋体" w:hAnsi="宋体" w:eastAsia="宋体" w:cs="宋体"/>
                <w:b w:val="0"/>
                <w:bCs w:val="0"/>
                <w:color w:val="auto"/>
                <w:sz w:val="24"/>
                <w:szCs w:val="24"/>
                <w:highlight w:val="none"/>
                <w:lang w:val="en-US" w:eastAsia="zh-CN"/>
              </w:rPr>
              <w:t>如有方案不完整、不科学、不明确或存在逻辑错误等情况，每存在一种情况扣1分，直至该项得分扣完。</w:t>
            </w:r>
          </w:p>
        </w:tc>
        <w:tc>
          <w:tcPr>
            <w:tcW w:w="1035" w:type="dxa"/>
            <w:noWrap w:val="0"/>
            <w:vAlign w:val="center"/>
          </w:tcPr>
          <w:p w14:paraId="13619BF6">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spacing w:val="-8"/>
                <w:kern w:val="2"/>
                <w:sz w:val="24"/>
                <w:szCs w:val="24"/>
                <w:highlight w:val="none"/>
                <w:lang w:val="en-US" w:eastAsia="en-US" w:bidi="ar-SA"/>
              </w:rPr>
            </w:pPr>
            <w:r>
              <w:rPr>
                <w:rFonts w:hint="eastAsia" w:ascii="宋体" w:hAnsi="宋体" w:eastAsia="宋体" w:cs="宋体"/>
                <w:b w:val="0"/>
                <w:bCs w:val="0"/>
                <w:spacing w:val="-8"/>
                <w:kern w:val="2"/>
                <w:sz w:val="24"/>
                <w:szCs w:val="24"/>
                <w:highlight w:val="none"/>
                <w:lang w:val="en-US" w:eastAsia="zh-CN" w:bidi="ar-SA"/>
              </w:rPr>
              <w:t>主观</w:t>
            </w:r>
            <w:r>
              <w:rPr>
                <w:rFonts w:hint="eastAsia" w:ascii="宋体" w:hAnsi="宋体" w:eastAsia="宋体" w:cs="宋体"/>
                <w:b w:val="0"/>
                <w:bCs w:val="0"/>
                <w:spacing w:val="-8"/>
                <w:kern w:val="2"/>
                <w:sz w:val="24"/>
                <w:szCs w:val="24"/>
                <w:highlight w:val="none"/>
                <w:lang w:val="en-US" w:eastAsia="en-US" w:bidi="ar-SA"/>
              </w:rPr>
              <w:t>评分因素</w:t>
            </w:r>
          </w:p>
        </w:tc>
      </w:tr>
    </w:tbl>
    <w:p w14:paraId="235E2E32">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p>
    <w:p w14:paraId="0779FFCC">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14:paraId="58ABFDB1">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14:paraId="5285D5CF">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14:paraId="233EF796">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14:paraId="5C27344A">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14:paraId="7237D015">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14:paraId="5093247B">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14:paraId="0A8AF6E3">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14:paraId="0041CE10">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14:paraId="77A9DACC">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14:paraId="434FC31F">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14:paraId="0F82F4F7">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14:paraId="7B0BD688">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14:paraId="772DEA89">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14:paraId="08597217">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cs="宋体"/>
          <w:b/>
          <w:bCs/>
          <w:color w:val="auto"/>
          <w:kern w:val="0"/>
          <w:sz w:val="24"/>
          <w:szCs w:val="24"/>
          <w:highlight w:val="none"/>
          <w:u w:val="single"/>
          <w:lang w:val="en-US" w:eastAsia="zh-CN"/>
        </w:rPr>
      </w:pPr>
    </w:p>
    <w:p w14:paraId="6B07F2A7">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cs="宋体"/>
          <w:b/>
          <w:bCs/>
          <w:color w:val="auto"/>
          <w:kern w:val="0"/>
          <w:sz w:val="24"/>
          <w:szCs w:val="24"/>
          <w:highlight w:val="none"/>
          <w:u w:val="single"/>
          <w:lang w:val="en-US" w:eastAsia="zh-CN"/>
        </w:rPr>
      </w:pPr>
    </w:p>
    <w:p w14:paraId="31FE6D57">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cs="宋体"/>
          <w:b/>
          <w:bCs/>
          <w:color w:val="auto"/>
          <w:kern w:val="0"/>
          <w:sz w:val="24"/>
          <w:szCs w:val="24"/>
          <w:highlight w:val="none"/>
          <w:u w:val="single"/>
          <w:lang w:val="en-US" w:eastAsia="zh-CN"/>
        </w:rPr>
      </w:pPr>
      <w:r>
        <w:rPr>
          <w:rFonts w:hint="eastAsia" w:ascii="宋体" w:hAnsi="宋体" w:cs="宋体"/>
          <w:b/>
          <w:bCs/>
          <w:color w:val="auto"/>
          <w:kern w:val="0"/>
          <w:sz w:val="24"/>
          <w:szCs w:val="24"/>
          <w:highlight w:val="none"/>
          <w:u w:val="single"/>
          <w:lang w:val="en-US" w:eastAsia="zh-CN"/>
        </w:rPr>
        <w:t>附件2 主要表格格式</w:t>
      </w:r>
    </w:p>
    <w:p w14:paraId="484BA29E">
      <w:pPr>
        <w:pStyle w:val="9"/>
        <w:jc w:val="left"/>
        <w:rPr>
          <w:rFonts w:hint="eastAsia" w:ascii="宋体" w:hAnsi="宋体" w:cs="宋体"/>
          <w:b/>
          <w:bCs/>
          <w:color w:val="auto"/>
          <w:kern w:val="0"/>
          <w:sz w:val="24"/>
          <w:szCs w:val="24"/>
          <w:highlight w:val="none"/>
          <w:u w:val="single"/>
          <w:lang w:val="en-US" w:eastAsia="zh-CN"/>
        </w:rPr>
      </w:pPr>
      <w:r>
        <w:rPr>
          <w:rFonts w:hint="eastAsia" w:ascii="宋体" w:hAnsi="宋体" w:cs="宋体"/>
          <w:b/>
          <w:bCs/>
          <w:color w:val="auto"/>
          <w:kern w:val="0"/>
          <w:sz w:val="24"/>
          <w:szCs w:val="24"/>
          <w:highlight w:val="none"/>
          <w:u w:val="single"/>
          <w:lang w:val="en-US" w:eastAsia="zh-CN"/>
        </w:rPr>
        <w:t>2-1</w:t>
      </w:r>
    </w:p>
    <w:p w14:paraId="460AA6EB">
      <w:pPr>
        <w:rPr>
          <w:rFonts w:hint="eastAsia" w:ascii="宋体" w:hAnsi="宋体" w:cs="宋体"/>
          <w:b/>
          <w:bCs/>
          <w:color w:val="auto"/>
          <w:kern w:val="0"/>
          <w:sz w:val="24"/>
          <w:szCs w:val="24"/>
          <w:highlight w:val="none"/>
          <w:u w:val="single"/>
          <w:lang w:val="en-US" w:eastAsia="zh-CN"/>
        </w:rPr>
      </w:pPr>
    </w:p>
    <w:p w14:paraId="13552E91">
      <w:pPr>
        <w:pStyle w:val="9"/>
        <w:rPr>
          <w:rFonts w:hint="default"/>
          <w:lang w:val="en-US" w:eastAsia="zh-CN"/>
        </w:rPr>
      </w:pPr>
    </w:p>
    <w:p w14:paraId="0458095D">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14:paraId="13728087">
      <w:pPr>
        <w:pStyle w:val="5"/>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highlight w:val="none"/>
          <w:lang w:val="en-US" w:eastAsia="zh-CN"/>
        </w:rPr>
        <w:t>报价一览表</w:t>
      </w:r>
    </w:p>
    <w:tbl>
      <w:tblPr>
        <w:tblStyle w:val="18"/>
        <w:tblW w:w="831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6"/>
        <w:gridCol w:w="2517"/>
        <w:gridCol w:w="783"/>
        <w:gridCol w:w="1117"/>
        <w:gridCol w:w="1688"/>
        <w:gridCol w:w="1411"/>
      </w:tblGrid>
      <w:tr w14:paraId="27F8E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96" w:type="dxa"/>
            <w:vAlign w:val="top"/>
          </w:tcPr>
          <w:p w14:paraId="3466F747">
            <w:pPr>
              <w:pStyle w:val="17"/>
              <w:keepNext w:val="0"/>
              <w:keepLines w:val="0"/>
              <w:pageBreakBefore w:val="0"/>
              <w:widowControl w:val="0"/>
              <w:kinsoku/>
              <w:wordWrap/>
              <w:overflowPunct/>
              <w:topLinePunct w:val="0"/>
              <w:autoSpaceDE/>
              <w:autoSpaceDN/>
              <w:bidi w:val="0"/>
              <w:adjustRightInd/>
              <w:snapToGrid w:val="0"/>
              <w:spacing w:before="134" w:line="240" w:lineRule="auto"/>
              <w:ind w:left="183"/>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517" w:type="dxa"/>
            <w:vAlign w:val="top"/>
          </w:tcPr>
          <w:p w14:paraId="23692452">
            <w:pPr>
              <w:pStyle w:val="17"/>
              <w:keepNext w:val="0"/>
              <w:keepLines w:val="0"/>
              <w:pageBreakBefore w:val="0"/>
              <w:widowControl w:val="0"/>
              <w:kinsoku/>
              <w:wordWrap/>
              <w:overflowPunct/>
              <w:topLinePunct w:val="0"/>
              <w:autoSpaceDE/>
              <w:autoSpaceDN/>
              <w:bidi w:val="0"/>
              <w:adjustRightInd/>
              <w:snapToGrid w:val="0"/>
              <w:spacing w:before="134" w:line="240" w:lineRule="auto"/>
              <w:ind w:left="183"/>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类别</w:t>
            </w:r>
            <w:r>
              <w:rPr>
                <w:rFonts w:hint="eastAsia" w:ascii="宋体" w:hAnsi="宋体" w:eastAsia="宋体" w:cs="宋体"/>
                <w:sz w:val="24"/>
                <w:szCs w:val="24"/>
              </w:rPr>
              <w:t>名称</w:t>
            </w:r>
          </w:p>
        </w:tc>
        <w:tc>
          <w:tcPr>
            <w:tcW w:w="783" w:type="dxa"/>
            <w:vAlign w:val="top"/>
          </w:tcPr>
          <w:p w14:paraId="6FD86625">
            <w:pPr>
              <w:pStyle w:val="17"/>
              <w:keepNext w:val="0"/>
              <w:keepLines w:val="0"/>
              <w:pageBreakBefore w:val="0"/>
              <w:widowControl w:val="0"/>
              <w:kinsoku/>
              <w:wordWrap/>
              <w:overflowPunct/>
              <w:topLinePunct w:val="0"/>
              <w:autoSpaceDE/>
              <w:autoSpaceDN/>
              <w:bidi w:val="0"/>
              <w:adjustRightInd/>
              <w:snapToGrid w:val="0"/>
              <w:spacing w:before="134" w:line="240" w:lineRule="auto"/>
              <w:ind w:left="183"/>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规格</w:t>
            </w:r>
          </w:p>
        </w:tc>
        <w:tc>
          <w:tcPr>
            <w:tcW w:w="1117" w:type="dxa"/>
            <w:vAlign w:val="top"/>
          </w:tcPr>
          <w:p w14:paraId="0214E931">
            <w:pPr>
              <w:pStyle w:val="17"/>
              <w:keepNext w:val="0"/>
              <w:keepLines w:val="0"/>
              <w:pageBreakBefore w:val="0"/>
              <w:widowControl w:val="0"/>
              <w:kinsoku/>
              <w:wordWrap/>
              <w:overflowPunct/>
              <w:topLinePunct w:val="0"/>
              <w:autoSpaceDE/>
              <w:autoSpaceDN/>
              <w:bidi w:val="0"/>
              <w:adjustRightInd/>
              <w:snapToGrid w:val="0"/>
              <w:spacing w:before="134" w:line="240" w:lineRule="auto"/>
              <w:ind w:left="183"/>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w:t>
            </w:r>
          </w:p>
        </w:tc>
        <w:tc>
          <w:tcPr>
            <w:tcW w:w="1688" w:type="dxa"/>
            <w:vAlign w:val="center"/>
          </w:tcPr>
          <w:p w14:paraId="50942359">
            <w:pPr>
              <w:pStyle w:val="17"/>
              <w:keepNext w:val="0"/>
              <w:keepLines w:val="0"/>
              <w:pageBreakBefore w:val="0"/>
              <w:widowControl w:val="0"/>
              <w:kinsoku/>
              <w:wordWrap/>
              <w:overflowPunct/>
              <w:topLinePunct w:val="0"/>
              <w:autoSpaceDE/>
              <w:autoSpaceDN/>
              <w:bidi w:val="0"/>
              <w:adjustRightInd/>
              <w:snapToGrid w:val="0"/>
              <w:spacing w:before="134"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1411" w:type="dxa"/>
            <w:vAlign w:val="top"/>
          </w:tcPr>
          <w:p w14:paraId="0F5CA207">
            <w:pPr>
              <w:pStyle w:val="17"/>
              <w:keepNext w:val="0"/>
              <w:keepLines w:val="0"/>
              <w:pageBreakBefore w:val="0"/>
              <w:widowControl w:val="0"/>
              <w:kinsoku/>
              <w:wordWrap/>
              <w:overflowPunct/>
              <w:topLinePunct w:val="0"/>
              <w:autoSpaceDE/>
              <w:autoSpaceDN/>
              <w:bidi w:val="0"/>
              <w:adjustRightInd/>
              <w:snapToGrid w:val="0"/>
              <w:spacing w:before="134" w:line="240" w:lineRule="auto"/>
              <w:ind w:left="183"/>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折扣率（%）</w:t>
            </w:r>
          </w:p>
        </w:tc>
      </w:tr>
      <w:tr w14:paraId="65AC1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796" w:type="dxa"/>
            <w:vAlign w:val="top"/>
          </w:tcPr>
          <w:p w14:paraId="13FF5E04">
            <w:pPr>
              <w:pStyle w:val="2"/>
              <w:numPr>
                <w:ilvl w:val="0"/>
                <w:numId w:val="0"/>
              </w:numPr>
              <w:ind w:leftChars="0"/>
              <w:jc w:val="center"/>
              <w:rPr>
                <w:rFonts w:hint="eastAsia" w:hAnsi="宋体"/>
                <w:lang w:val="en-US" w:eastAsia="zh-CN"/>
              </w:rPr>
            </w:pPr>
            <w:r>
              <w:rPr>
                <w:rFonts w:hint="eastAsia" w:hAnsi="宋体"/>
                <w:lang w:val="en-US" w:eastAsia="zh-CN"/>
              </w:rPr>
              <w:t>1</w:t>
            </w:r>
          </w:p>
        </w:tc>
        <w:tc>
          <w:tcPr>
            <w:tcW w:w="2517" w:type="dxa"/>
            <w:shd w:val="clear" w:color="auto" w:fill="FFFFFF" w:themeFill="background1"/>
            <w:vAlign w:val="top"/>
          </w:tcPr>
          <w:p w14:paraId="69A1D446">
            <w:pPr>
              <w:pStyle w:val="2"/>
              <w:numPr>
                <w:ilvl w:val="0"/>
                <w:numId w:val="0"/>
              </w:numPr>
              <w:ind w:leftChars="0"/>
              <w:jc w:val="center"/>
              <w:rPr>
                <w:rFonts w:hint="eastAsia" w:hAnsi="宋体"/>
                <w:lang w:val="en-US" w:eastAsia="zh-CN"/>
              </w:rPr>
            </w:pPr>
            <w:r>
              <w:rPr>
                <w:rFonts w:hint="eastAsia" w:hAnsi="宋体"/>
                <w:lang w:val="en-US" w:eastAsia="zh-CN"/>
              </w:rPr>
              <w:t>常用灭火器设施</w:t>
            </w:r>
          </w:p>
        </w:tc>
        <w:tc>
          <w:tcPr>
            <w:tcW w:w="783" w:type="dxa"/>
            <w:shd w:val="clear" w:color="auto" w:fill="FFFFFF" w:themeFill="background1"/>
            <w:vAlign w:val="top"/>
          </w:tcPr>
          <w:p w14:paraId="435D2EF6">
            <w:pPr>
              <w:pStyle w:val="17"/>
              <w:keepNext w:val="0"/>
              <w:keepLines w:val="0"/>
              <w:pageBreakBefore w:val="0"/>
              <w:widowControl w:val="0"/>
              <w:kinsoku/>
              <w:wordWrap/>
              <w:overflowPunct/>
              <w:topLinePunct w:val="0"/>
              <w:autoSpaceDE/>
              <w:autoSpaceDN/>
              <w:bidi w:val="0"/>
              <w:adjustRightInd/>
              <w:snapToGrid w:val="0"/>
              <w:spacing w:before="133" w:line="240" w:lineRule="auto"/>
              <w:ind w:left="231"/>
              <w:textAlignment w:val="auto"/>
              <w:rPr>
                <w:rFonts w:hint="eastAsia" w:ascii="宋体" w:hAnsi="宋体" w:eastAsia="宋体" w:cs="宋体"/>
                <w:sz w:val="24"/>
                <w:szCs w:val="24"/>
              </w:rPr>
            </w:pPr>
          </w:p>
        </w:tc>
        <w:tc>
          <w:tcPr>
            <w:tcW w:w="1117" w:type="dxa"/>
            <w:shd w:val="clear" w:color="auto" w:fill="FFFFFF" w:themeFill="background1"/>
            <w:vAlign w:val="top"/>
          </w:tcPr>
          <w:p w14:paraId="2BA12306">
            <w:pPr>
              <w:pStyle w:val="17"/>
              <w:keepNext w:val="0"/>
              <w:keepLines w:val="0"/>
              <w:pageBreakBefore w:val="0"/>
              <w:widowControl w:val="0"/>
              <w:kinsoku/>
              <w:wordWrap/>
              <w:overflowPunct/>
              <w:topLinePunct w:val="0"/>
              <w:autoSpaceDE/>
              <w:autoSpaceDN/>
              <w:bidi w:val="0"/>
              <w:adjustRightInd/>
              <w:snapToGrid w:val="0"/>
              <w:spacing w:before="159" w:line="240" w:lineRule="auto"/>
              <w:ind w:left="654"/>
              <w:jc w:val="center"/>
              <w:textAlignment w:val="auto"/>
              <w:rPr>
                <w:rFonts w:hint="eastAsia" w:ascii="宋体" w:hAnsi="宋体" w:eastAsia="宋体" w:cs="宋体"/>
                <w:sz w:val="24"/>
                <w:szCs w:val="24"/>
              </w:rPr>
            </w:pPr>
          </w:p>
        </w:tc>
        <w:tc>
          <w:tcPr>
            <w:tcW w:w="1688" w:type="dxa"/>
            <w:shd w:val="clear" w:color="auto" w:fill="FFFFFF" w:themeFill="background1"/>
            <w:vAlign w:val="center"/>
          </w:tcPr>
          <w:p w14:paraId="11530A7F">
            <w:pPr>
              <w:pStyle w:val="17"/>
              <w:keepNext w:val="0"/>
              <w:keepLines w:val="0"/>
              <w:pageBreakBefore w:val="0"/>
              <w:widowControl w:val="0"/>
              <w:kinsoku/>
              <w:wordWrap/>
              <w:overflowPunct/>
              <w:topLinePunct w:val="0"/>
              <w:autoSpaceDE/>
              <w:autoSpaceDN/>
              <w:bidi w:val="0"/>
              <w:adjustRightInd/>
              <w:snapToGrid w:val="0"/>
              <w:spacing w:before="159" w:line="240" w:lineRule="auto"/>
              <w:ind w:left="239"/>
              <w:jc w:val="center"/>
              <w:textAlignment w:val="auto"/>
              <w:rPr>
                <w:rFonts w:hint="eastAsia" w:ascii="宋体" w:hAnsi="宋体" w:eastAsia="宋体" w:cs="宋体"/>
                <w:sz w:val="24"/>
                <w:szCs w:val="24"/>
                <w:lang w:val="en-US" w:eastAsia="zh-CN"/>
              </w:rPr>
            </w:pPr>
          </w:p>
        </w:tc>
        <w:tc>
          <w:tcPr>
            <w:tcW w:w="1411" w:type="dxa"/>
            <w:shd w:val="clear" w:color="auto" w:fill="FFFFFF" w:themeFill="background1"/>
            <w:vAlign w:val="center"/>
          </w:tcPr>
          <w:p w14:paraId="2930A427">
            <w:pPr>
              <w:pStyle w:val="17"/>
              <w:keepNext w:val="0"/>
              <w:keepLines w:val="0"/>
              <w:pageBreakBefore w:val="0"/>
              <w:widowControl w:val="0"/>
              <w:kinsoku/>
              <w:wordWrap/>
              <w:overflowPunct/>
              <w:topLinePunct w:val="0"/>
              <w:autoSpaceDE/>
              <w:autoSpaceDN/>
              <w:bidi w:val="0"/>
              <w:adjustRightInd/>
              <w:snapToGrid w:val="0"/>
              <w:spacing w:before="33" w:line="240" w:lineRule="auto"/>
              <w:ind w:left="41" w:right="56"/>
              <w:jc w:val="center"/>
              <w:textAlignment w:val="auto"/>
              <w:rPr>
                <w:rFonts w:hint="eastAsia" w:ascii="宋体" w:hAnsi="宋体" w:eastAsia="宋体" w:cs="宋体"/>
                <w:sz w:val="24"/>
                <w:szCs w:val="24"/>
                <w:lang w:val="en-US" w:eastAsia="zh-CN"/>
              </w:rPr>
            </w:pPr>
          </w:p>
        </w:tc>
      </w:tr>
      <w:tr w14:paraId="0345C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96" w:type="dxa"/>
            <w:vAlign w:val="top"/>
          </w:tcPr>
          <w:p w14:paraId="374DA351">
            <w:pPr>
              <w:pStyle w:val="2"/>
              <w:numPr>
                <w:ilvl w:val="0"/>
                <w:numId w:val="0"/>
              </w:numPr>
              <w:ind w:leftChars="0"/>
              <w:jc w:val="center"/>
              <w:rPr>
                <w:rFonts w:hint="eastAsia" w:hAnsi="宋体"/>
                <w:lang w:val="en-US" w:eastAsia="zh-CN"/>
              </w:rPr>
            </w:pPr>
            <w:r>
              <w:rPr>
                <w:rFonts w:hint="eastAsia" w:hAnsi="宋体"/>
                <w:lang w:val="en-US" w:eastAsia="zh-CN"/>
              </w:rPr>
              <w:t>2</w:t>
            </w:r>
          </w:p>
        </w:tc>
        <w:tc>
          <w:tcPr>
            <w:tcW w:w="2517" w:type="dxa"/>
            <w:shd w:val="clear" w:color="auto" w:fill="FFFFFF" w:themeFill="background1"/>
            <w:vAlign w:val="top"/>
          </w:tcPr>
          <w:p w14:paraId="63E6F45F">
            <w:pPr>
              <w:pStyle w:val="2"/>
              <w:numPr>
                <w:ilvl w:val="0"/>
                <w:numId w:val="0"/>
              </w:numPr>
              <w:ind w:leftChars="0"/>
              <w:jc w:val="center"/>
              <w:rPr>
                <w:rFonts w:hint="eastAsia" w:hAnsi="宋体"/>
                <w:lang w:val="en-US" w:eastAsia="zh-CN"/>
              </w:rPr>
            </w:pPr>
            <w:r>
              <w:rPr>
                <w:rFonts w:hint="eastAsia" w:hAnsi="宋体"/>
                <w:lang w:val="en-US" w:eastAsia="zh-CN"/>
              </w:rPr>
              <w:t>消防电系统</w:t>
            </w:r>
          </w:p>
        </w:tc>
        <w:tc>
          <w:tcPr>
            <w:tcW w:w="783" w:type="dxa"/>
            <w:shd w:val="clear" w:color="auto" w:fill="FFFFFF" w:themeFill="background1"/>
            <w:vAlign w:val="top"/>
          </w:tcPr>
          <w:p w14:paraId="6437E756">
            <w:pPr>
              <w:pStyle w:val="17"/>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rPr>
            </w:pPr>
          </w:p>
        </w:tc>
        <w:tc>
          <w:tcPr>
            <w:tcW w:w="1117" w:type="dxa"/>
            <w:shd w:val="clear" w:color="auto" w:fill="FFFFFF" w:themeFill="background1"/>
            <w:vAlign w:val="top"/>
          </w:tcPr>
          <w:p w14:paraId="22B05888">
            <w:pPr>
              <w:pStyle w:val="17"/>
              <w:keepNext w:val="0"/>
              <w:keepLines w:val="0"/>
              <w:pageBreakBefore w:val="0"/>
              <w:widowControl w:val="0"/>
              <w:kinsoku/>
              <w:wordWrap/>
              <w:overflowPunct/>
              <w:topLinePunct w:val="0"/>
              <w:autoSpaceDE/>
              <w:autoSpaceDN/>
              <w:bidi w:val="0"/>
              <w:adjustRightInd/>
              <w:snapToGrid w:val="0"/>
              <w:spacing w:before="161" w:line="240" w:lineRule="auto"/>
              <w:ind w:left="654"/>
              <w:jc w:val="center"/>
              <w:textAlignment w:val="auto"/>
              <w:rPr>
                <w:rFonts w:hint="eastAsia" w:ascii="宋体" w:hAnsi="宋体" w:eastAsia="宋体" w:cs="宋体"/>
                <w:sz w:val="24"/>
                <w:szCs w:val="24"/>
              </w:rPr>
            </w:pPr>
          </w:p>
        </w:tc>
        <w:tc>
          <w:tcPr>
            <w:tcW w:w="1688" w:type="dxa"/>
            <w:shd w:val="clear" w:color="auto" w:fill="FFFFFF" w:themeFill="background1"/>
            <w:vAlign w:val="center"/>
          </w:tcPr>
          <w:p w14:paraId="6532CAAD">
            <w:pPr>
              <w:pStyle w:val="17"/>
              <w:keepNext w:val="0"/>
              <w:keepLines w:val="0"/>
              <w:pageBreakBefore w:val="0"/>
              <w:widowControl w:val="0"/>
              <w:kinsoku/>
              <w:wordWrap/>
              <w:overflowPunct/>
              <w:topLinePunct w:val="0"/>
              <w:autoSpaceDE/>
              <w:autoSpaceDN/>
              <w:bidi w:val="0"/>
              <w:adjustRightInd/>
              <w:snapToGrid w:val="0"/>
              <w:spacing w:before="161" w:line="240" w:lineRule="auto"/>
              <w:ind w:left="229"/>
              <w:jc w:val="center"/>
              <w:textAlignment w:val="auto"/>
              <w:rPr>
                <w:rFonts w:hint="eastAsia" w:ascii="宋体" w:hAnsi="宋体" w:eastAsia="宋体" w:cs="宋体"/>
                <w:sz w:val="24"/>
                <w:szCs w:val="24"/>
                <w:lang w:val="en-US" w:eastAsia="zh-CN"/>
              </w:rPr>
            </w:pPr>
          </w:p>
        </w:tc>
        <w:tc>
          <w:tcPr>
            <w:tcW w:w="1411" w:type="dxa"/>
            <w:shd w:val="clear" w:color="auto" w:fill="FFFFFF" w:themeFill="background1"/>
            <w:vAlign w:val="center"/>
          </w:tcPr>
          <w:p w14:paraId="2052C38C">
            <w:pPr>
              <w:pStyle w:val="17"/>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p>
        </w:tc>
      </w:tr>
      <w:tr w14:paraId="68186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96" w:type="dxa"/>
            <w:vAlign w:val="top"/>
          </w:tcPr>
          <w:p w14:paraId="72C72F86">
            <w:pPr>
              <w:pStyle w:val="2"/>
              <w:numPr>
                <w:ilvl w:val="0"/>
                <w:numId w:val="0"/>
              </w:numPr>
              <w:ind w:leftChars="0"/>
              <w:jc w:val="center"/>
              <w:rPr>
                <w:rFonts w:hint="eastAsia" w:hAnsi="宋体"/>
                <w:lang w:val="en-US" w:eastAsia="zh-CN"/>
              </w:rPr>
            </w:pPr>
            <w:r>
              <w:rPr>
                <w:rFonts w:hint="eastAsia" w:hAnsi="宋体"/>
                <w:lang w:val="en-US" w:eastAsia="zh-CN"/>
              </w:rPr>
              <w:t>3</w:t>
            </w:r>
          </w:p>
        </w:tc>
        <w:tc>
          <w:tcPr>
            <w:tcW w:w="2517" w:type="dxa"/>
            <w:shd w:val="clear" w:color="auto" w:fill="FFFFFF" w:themeFill="background1"/>
            <w:vAlign w:val="top"/>
          </w:tcPr>
          <w:p w14:paraId="63DB8C64">
            <w:pPr>
              <w:pStyle w:val="2"/>
              <w:numPr>
                <w:ilvl w:val="0"/>
                <w:numId w:val="0"/>
              </w:numPr>
              <w:ind w:leftChars="0"/>
              <w:jc w:val="center"/>
              <w:rPr>
                <w:rFonts w:hint="eastAsia" w:hAnsi="宋体"/>
                <w:lang w:val="en-US" w:eastAsia="zh-CN"/>
              </w:rPr>
            </w:pPr>
            <w:r>
              <w:rPr>
                <w:rFonts w:hint="eastAsia" w:hAnsi="宋体"/>
                <w:lang w:val="en-US" w:eastAsia="zh-CN"/>
              </w:rPr>
              <w:t>应急照明系统</w:t>
            </w:r>
          </w:p>
        </w:tc>
        <w:tc>
          <w:tcPr>
            <w:tcW w:w="783" w:type="dxa"/>
            <w:shd w:val="clear" w:color="auto" w:fill="FFFFFF" w:themeFill="background1"/>
            <w:vAlign w:val="top"/>
          </w:tcPr>
          <w:p w14:paraId="0663E50C">
            <w:pPr>
              <w:pStyle w:val="17"/>
              <w:keepNext w:val="0"/>
              <w:keepLines w:val="0"/>
              <w:pageBreakBefore w:val="0"/>
              <w:widowControl w:val="0"/>
              <w:kinsoku/>
              <w:wordWrap/>
              <w:overflowPunct/>
              <w:topLinePunct w:val="0"/>
              <w:autoSpaceDE/>
              <w:autoSpaceDN/>
              <w:bidi w:val="0"/>
              <w:adjustRightInd/>
              <w:snapToGrid w:val="0"/>
              <w:spacing w:before="134" w:line="240" w:lineRule="auto"/>
              <w:ind w:left="231"/>
              <w:textAlignment w:val="auto"/>
              <w:rPr>
                <w:rFonts w:hint="eastAsia" w:ascii="宋体" w:hAnsi="宋体" w:eastAsia="宋体" w:cs="宋体"/>
                <w:sz w:val="24"/>
                <w:szCs w:val="24"/>
              </w:rPr>
            </w:pPr>
          </w:p>
        </w:tc>
        <w:tc>
          <w:tcPr>
            <w:tcW w:w="1117" w:type="dxa"/>
            <w:shd w:val="clear" w:color="auto" w:fill="FFFFFF" w:themeFill="background1"/>
            <w:vAlign w:val="top"/>
          </w:tcPr>
          <w:p w14:paraId="43A76A45">
            <w:pPr>
              <w:pStyle w:val="17"/>
              <w:keepNext w:val="0"/>
              <w:keepLines w:val="0"/>
              <w:pageBreakBefore w:val="0"/>
              <w:widowControl w:val="0"/>
              <w:kinsoku/>
              <w:wordWrap/>
              <w:overflowPunct/>
              <w:topLinePunct w:val="0"/>
              <w:autoSpaceDE/>
              <w:autoSpaceDN/>
              <w:bidi w:val="0"/>
              <w:adjustRightInd/>
              <w:snapToGrid w:val="0"/>
              <w:spacing w:before="159" w:line="240" w:lineRule="auto"/>
              <w:ind w:left="654"/>
              <w:jc w:val="center"/>
              <w:textAlignment w:val="auto"/>
              <w:rPr>
                <w:rFonts w:hint="eastAsia" w:ascii="宋体" w:hAnsi="宋体" w:eastAsia="宋体" w:cs="宋体"/>
                <w:sz w:val="24"/>
                <w:szCs w:val="24"/>
              </w:rPr>
            </w:pPr>
          </w:p>
        </w:tc>
        <w:tc>
          <w:tcPr>
            <w:tcW w:w="1688" w:type="dxa"/>
            <w:shd w:val="clear" w:color="auto" w:fill="FFFFFF" w:themeFill="background1"/>
            <w:vAlign w:val="center"/>
          </w:tcPr>
          <w:p w14:paraId="4C4BFF39">
            <w:pPr>
              <w:pStyle w:val="17"/>
              <w:keepNext w:val="0"/>
              <w:keepLines w:val="0"/>
              <w:pageBreakBefore w:val="0"/>
              <w:widowControl w:val="0"/>
              <w:kinsoku/>
              <w:wordWrap/>
              <w:overflowPunct/>
              <w:topLinePunct w:val="0"/>
              <w:autoSpaceDE/>
              <w:autoSpaceDN/>
              <w:bidi w:val="0"/>
              <w:adjustRightInd/>
              <w:snapToGrid w:val="0"/>
              <w:spacing w:before="159" w:line="240" w:lineRule="auto"/>
              <w:ind w:left="229"/>
              <w:jc w:val="center"/>
              <w:textAlignment w:val="auto"/>
              <w:rPr>
                <w:rFonts w:hint="eastAsia" w:ascii="宋体" w:hAnsi="宋体" w:eastAsia="宋体" w:cs="宋体"/>
                <w:sz w:val="24"/>
                <w:szCs w:val="24"/>
                <w:lang w:val="en-US" w:eastAsia="zh-CN"/>
              </w:rPr>
            </w:pPr>
          </w:p>
        </w:tc>
        <w:tc>
          <w:tcPr>
            <w:tcW w:w="1411" w:type="dxa"/>
            <w:shd w:val="clear" w:color="auto" w:fill="FFFFFF" w:themeFill="background1"/>
            <w:vAlign w:val="center"/>
          </w:tcPr>
          <w:p w14:paraId="1860B124">
            <w:pPr>
              <w:pStyle w:val="17"/>
              <w:keepNext w:val="0"/>
              <w:keepLines w:val="0"/>
              <w:pageBreakBefore w:val="0"/>
              <w:widowControl w:val="0"/>
              <w:kinsoku/>
              <w:wordWrap/>
              <w:overflowPunct/>
              <w:topLinePunct w:val="0"/>
              <w:autoSpaceDE/>
              <w:autoSpaceDN/>
              <w:bidi w:val="0"/>
              <w:adjustRightInd/>
              <w:snapToGrid w:val="0"/>
              <w:spacing w:before="32" w:line="240" w:lineRule="auto"/>
              <w:ind w:left="41" w:right="56"/>
              <w:jc w:val="center"/>
              <w:textAlignment w:val="auto"/>
              <w:rPr>
                <w:rFonts w:hint="eastAsia" w:ascii="宋体" w:hAnsi="宋体" w:eastAsia="宋体" w:cs="宋体"/>
                <w:sz w:val="24"/>
                <w:szCs w:val="24"/>
                <w:lang w:val="en-US" w:eastAsia="zh-CN"/>
              </w:rPr>
            </w:pPr>
          </w:p>
        </w:tc>
      </w:tr>
      <w:tr w14:paraId="616D1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96" w:type="dxa"/>
            <w:vAlign w:val="top"/>
          </w:tcPr>
          <w:p w14:paraId="45AB5684">
            <w:pPr>
              <w:pStyle w:val="2"/>
              <w:numPr>
                <w:ilvl w:val="0"/>
                <w:numId w:val="0"/>
              </w:numPr>
              <w:ind w:leftChars="0"/>
              <w:jc w:val="center"/>
              <w:rPr>
                <w:rFonts w:hint="eastAsia" w:hAnsi="宋体"/>
                <w:lang w:val="en-US" w:eastAsia="zh-CN"/>
              </w:rPr>
            </w:pPr>
            <w:r>
              <w:rPr>
                <w:rFonts w:hint="eastAsia" w:hAnsi="宋体"/>
                <w:lang w:val="en-US" w:eastAsia="zh-CN"/>
              </w:rPr>
              <w:t>4</w:t>
            </w:r>
          </w:p>
        </w:tc>
        <w:tc>
          <w:tcPr>
            <w:tcW w:w="2517" w:type="dxa"/>
            <w:shd w:val="clear" w:color="auto" w:fill="FFFFFF" w:themeFill="background1"/>
            <w:vAlign w:val="top"/>
          </w:tcPr>
          <w:p w14:paraId="7700175D">
            <w:pPr>
              <w:pStyle w:val="2"/>
              <w:numPr>
                <w:ilvl w:val="0"/>
                <w:numId w:val="0"/>
              </w:numPr>
              <w:ind w:leftChars="0"/>
              <w:jc w:val="center"/>
              <w:rPr>
                <w:rFonts w:hint="eastAsia" w:hAnsi="宋体"/>
                <w:lang w:val="en-US" w:eastAsia="zh-CN"/>
              </w:rPr>
            </w:pPr>
            <w:r>
              <w:rPr>
                <w:rFonts w:hint="eastAsia" w:hAnsi="宋体"/>
                <w:lang w:val="en-US" w:eastAsia="zh-CN"/>
              </w:rPr>
              <w:t>消防水系统</w:t>
            </w:r>
          </w:p>
        </w:tc>
        <w:tc>
          <w:tcPr>
            <w:tcW w:w="783" w:type="dxa"/>
            <w:shd w:val="clear" w:color="auto" w:fill="FFFFFF" w:themeFill="background1"/>
            <w:vAlign w:val="top"/>
          </w:tcPr>
          <w:p w14:paraId="6C01D200">
            <w:pPr>
              <w:pStyle w:val="17"/>
              <w:keepNext w:val="0"/>
              <w:keepLines w:val="0"/>
              <w:pageBreakBefore w:val="0"/>
              <w:widowControl w:val="0"/>
              <w:kinsoku/>
              <w:wordWrap/>
              <w:overflowPunct/>
              <w:topLinePunct w:val="0"/>
              <w:autoSpaceDE/>
              <w:autoSpaceDN/>
              <w:bidi w:val="0"/>
              <w:adjustRightInd/>
              <w:snapToGrid w:val="0"/>
              <w:spacing w:before="127" w:line="240" w:lineRule="auto"/>
              <w:ind w:left="231"/>
              <w:textAlignment w:val="auto"/>
              <w:rPr>
                <w:rFonts w:hint="eastAsia" w:ascii="宋体" w:hAnsi="宋体" w:eastAsia="宋体" w:cs="宋体"/>
                <w:sz w:val="24"/>
                <w:szCs w:val="24"/>
              </w:rPr>
            </w:pPr>
          </w:p>
        </w:tc>
        <w:tc>
          <w:tcPr>
            <w:tcW w:w="1117" w:type="dxa"/>
            <w:shd w:val="clear" w:color="auto" w:fill="FFFFFF" w:themeFill="background1"/>
            <w:vAlign w:val="top"/>
          </w:tcPr>
          <w:p w14:paraId="47E657B5">
            <w:pPr>
              <w:pStyle w:val="17"/>
              <w:keepNext w:val="0"/>
              <w:keepLines w:val="0"/>
              <w:pageBreakBefore w:val="0"/>
              <w:widowControl w:val="0"/>
              <w:kinsoku/>
              <w:wordWrap/>
              <w:overflowPunct/>
              <w:topLinePunct w:val="0"/>
              <w:autoSpaceDE/>
              <w:autoSpaceDN/>
              <w:bidi w:val="0"/>
              <w:adjustRightInd/>
              <w:snapToGrid w:val="0"/>
              <w:spacing w:before="152" w:line="240" w:lineRule="auto"/>
              <w:ind w:left="654"/>
              <w:jc w:val="center"/>
              <w:textAlignment w:val="auto"/>
              <w:rPr>
                <w:rFonts w:hint="eastAsia" w:ascii="宋体" w:hAnsi="宋体" w:eastAsia="宋体" w:cs="宋体"/>
                <w:sz w:val="24"/>
                <w:szCs w:val="24"/>
              </w:rPr>
            </w:pPr>
          </w:p>
        </w:tc>
        <w:tc>
          <w:tcPr>
            <w:tcW w:w="1688" w:type="dxa"/>
            <w:shd w:val="clear" w:color="auto" w:fill="FFFFFF" w:themeFill="background1"/>
            <w:vAlign w:val="center"/>
          </w:tcPr>
          <w:p w14:paraId="095010E2">
            <w:pPr>
              <w:pStyle w:val="17"/>
              <w:keepNext w:val="0"/>
              <w:keepLines w:val="0"/>
              <w:pageBreakBefore w:val="0"/>
              <w:widowControl w:val="0"/>
              <w:kinsoku/>
              <w:wordWrap/>
              <w:overflowPunct/>
              <w:topLinePunct w:val="0"/>
              <w:autoSpaceDE/>
              <w:autoSpaceDN/>
              <w:bidi w:val="0"/>
              <w:adjustRightInd/>
              <w:snapToGrid w:val="0"/>
              <w:spacing w:before="152" w:line="240" w:lineRule="auto"/>
              <w:ind w:left="239"/>
              <w:jc w:val="center"/>
              <w:textAlignment w:val="auto"/>
              <w:rPr>
                <w:rFonts w:hint="eastAsia" w:ascii="宋体" w:hAnsi="宋体" w:eastAsia="宋体" w:cs="宋体"/>
                <w:sz w:val="24"/>
                <w:szCs w:val="24"/>
                <w:lang w:val="en-US" w:eastAsia="zh-CN"/>
              </w:rPr>
            </w:pPr>
          </w:p>
        </w:tc>
        <w:tc>
          <w:tcPr>
            <w:tcW w:w="1411" w:type="dxa"/>
            <w:shd w:val="clear" w:color="auto" w:fill="FFFFFF" w:themeFill="background1"/>
            <w:vAlign w:val="center"/>
          </w:tcPr>
          <w:p w14:paraId="12028765">
            <w:pPr>
              <w:pStyle w:val="17"/>
              <w:keepNext w:val="0"/>
              <w:keepLines w:val="0"/>
              <w:pageBreakBefore w:val="0"/>
              <w:widowControl w:val="0"/>
              <w:kinsoku/>
              <w:wordWrap/>
              <w:overflowPunct/>
              <w:topLinePunct w:val="0"/>
              <w:autoSpaceDE/>
              <w:autoSpaceDN/>
              <w:bidi w:val="0"/>
              <w:adjustRightInd/>
              <w:snapToGrid w:val="0"/>
              <w:spacing w:before="25" w:line="240" w:lineRule="auto"/>
              <w:ind w:left="41" w:right="56"/>
              <w:jc w:val="center"/>
              <w:textAlignment w:val="auto"/>
              <w:rPr>
                <w:rFonts w:hint="eastAsia" w:ascii="宋体" w:hAnsi="宋体" w:eastAsia="宋体" w:cs="宋体"/>
                <w:sz w:val="24"/>
                <w:szCs w:val="24"/>
                <w:lang w:val="en-US" w:eastAsia="zh-CN"/>
              </w:rPr>
            </w:pPr>
          </w:p>
        </w:tc>
      </w:tr>
      <w:tr w14:paraId="60D39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96" w:type="dxa"/>
            <w:vAlign w:val="top"/>
          </w:tcPr>
          <w:p w14:paraId="4314F1CC">
            <w:pPr>
              <w:pStyle w:val="2"/>
              <w:numPr>
                <w:ilvl w:val="0"/>
                <w:numId w:val="0"/>
              </w:numPr>
              <w:ind w:leftChars="0"/>
              <w:jc w:val="center"/>
              <w:rPr>
                <w:rFonts w:hint="default" w:hAnsi="宋体"/>
                <w:lang w:val="en-US" w:eastAsia="zh-CN"/>
              </w:rPr>
            </w:pPr>
            <w:r>
              <w:rPr>
                <w:rFonts w:hint="eastAsia" w:hAnsi="宋体"/>
                <w:lang w:val="en-US" w:eastAsia="zh-CN"/>
              </w:rPr>
              <w:t>5</w:t>
            </w:r>
          </w:p>
        </w:tc>
        <w:tc>
          <w:tcPr>
            <w:tcW w:w="2517" w:type="dxa"/>
            <w:shd w:val="clear" w:color="auto" w:fill="FFFFFF" w:themeFill="background1"/>
            <w:vAlign w:val="top"/>
          </w:tcPr>
          <w:p w14:paraId="7BF77617">
            <w:pPr>
              <w:pStyle w:val="2"/>
              <w:numPr>
                <w:ilvl w:val="0"/>
                <w:numId w:val="0"/>
              </w:numPr>
              <w:ind w:leftChars="0"/>
              <w:jc w:val="center"/>
              <w:rPr>
                <w:rFonts w:hint="eastAsia" w:hAnsi="宋体"/>
                <w:lang w:val="en-US" w:eastAsia="zh-CN"/>
              </w:rPr>
            </w:pPr>
            <w:r>
              <w:rPr>
                <w:rFonts w:hint="eastAsia" w:hAnsi="宋体"/>
                <w:lang w:val="en-US" w:eastAsia="zh-CN"/>
              </w:rPr>
              <w:t>防排烟及防火封堵系统</w:t>
            </w:r>
          </w:p>
        </w:tc>
        <w:tc>
          <w:tcPr>
            <w:tcW w:w="783" w:type="dxa"/>
            <w:shd w:val="clear" w:color="auto" w:fill="FFFFFF" w:themeFill="background1"/>
            <w:vAlign w:val="top"/>
          </w:tcPr>
          <w:p w14:paraId="2A6CC515">
            <w:pPr>
              <w:pStyle w:val="17"/>
              <w:keepNext w:val="0"/>
              <w:keepLines w:val="0"/>
              <w:pageBreakBefore w:val="0"/>
              <w:widowControl w:val="0"/>
              <w:kinsoku/>
              <w:wordWrap/>
              <w:overflowPunct/>
              <w:topLinePunct w:val="0"/>
              <w:autoSpaceDE/>
              <w:autoSpaceDN/>
              <w:bidi w:val="0"/>
              <w:adjustRightInd/>
              <w:snapToGrid w:val="0"/>
              <w:spacing w:before="127" w:line="240" w:lineRule="auto"/>
              <w:ind w:left="231"/>
              <w:textAlignment w:val="auto"/>
              <w:rPr>
                <w:rFonts w:hint="eastAsia" w:ascii="宋体" w:hAnsi="宋体" w:eastAsia="宋体" w:cs="宋体"/>
                <w:sz w:val="24"/>
                <w:szCs w:val="24"/>
              </w:rPr>
            </w:pPr>
          </w:p>
        </w:tc>
        <w:tc>
          <w:tcPr>
            <w:tcW w:w="1117" w:type="dxa"/>
            <w:shd w:val="clear" w:color="auto" w:fill="FFFFFF" w:themeFill="background1"/>
            <w:vAlign w:val="top"/>
          </w:tcPr>
          <w:p w14:paraId="7B772B08">
            <w:pPr>
              <w:pStyle w:val="17"/>
              <w:keepNext w:val="0"/>
              <w:keepLines w:val="0"/>
              <w:pageBreakBefore w:val="0"/>
              <w:widowControl w:val="0"/>
              <w:kinsoku/>
              <w:wordWrap/>
              <w:overflowPunct/>
              <w:topLinePunct w:val="0"/>
              <w:autoSpaceDE/>
              <w:autoSpaceDN/>
              <w:bidi w:val="0"/>
              <w:adjustRightInd/>
              <w:snapToGrid w:val="0"/>
              <w:spacing w:before="152" w:line="240" w:lineRule="auto"/>
              <w:ind w:left="654"/>
              <w:jc w:val="center"/>
              <w:textAlignment w:val="auto"/>
              <w:rPr>
                <w:rFonts w:hint="eastAsia" w:ascii="宋体" w:hAnsi="宋体" w:eastAsia="宋体" w:cs="宋体"/>
                <w:sz w:val="24"/>
                <w:szCs w:val="24"/>
              </w:rPr>
            </w:pPr>
          </w:p>
        </w:tc>
        <w:tc>
          <w:tcPr>
            <w:tcW w:w="1688" w:type="dxa"/>
            <w:shd w:val="clear" w:color="auto" w:fill="FFFFFF" w:themeFill="background1"/>
            <w:vAlign w:val="center"/>
          </w:tcPr>
          <w:p w14:paraId="5FFD437A">
            <w:pPr>
              <w:pStyle w:val="17"/>
              <w:keepNext w:val="0"/>
              <w:keepLines w:val="0"/>
              <w:pageBreakBefore w:val="0"/>
              <w:widowControl w:val="0"/>
              <w:kinsoku/>
              <w:wordWrap/>
              <w:overflowPunct/>
              <w:topLinePunct w:val="0"/>
              <w:autoSpaceDE/>
              <w:autoSpaceDN/>
              <w:bidi w:val="0"/>
              <w:adjustRightInd/>
              <w:snapToGrid w:val="0"/>
              <w:spacing w:before="152" w:line="240" w:lineRule="auto"/>
              <w:ind w:left="239"/>
              <w:jc w:val="center"/>
              <w:textAlignment w:val="auto"/>
              <w:rPr>
                <w:rFonts w:hint="eastAsia" w:ascii="宋体" w:hAnsi="宋体" w:eastAsia="宋体" w:cs="宋体"/>
                <w:sz w:val="24"/>
                <w:szCs w:val="24"/>
                <w:lang w:val="en-US" w:eastAsia="zh-CN"/>
              </w:rPr>
            </w:pPr>
          </w:p>
        </w:tc>
        <w:tc>
          <w:tcPr>
            <w:tcW w:w="1411" w:type="dxa"/>
            <w:shd w:val="clear" w:color="auto" w:fill="FFFFFF" w:themeFill="background1"/>
            <w:vAlign w:val="center"/>
          </w:tcPr>
          <w:p w14:paraId="28651ACC">
            <w:pPr>
              <w:pStyle w:val="17"/>
              <w:keepNext w:val="0"/>
              <w:keepLines w:val="0"/>
              <w:pageBreakBefore w:val="0"/>
              <w:widowControl w:val="0"/>
              <w:kinsoku/>
              <w:wordWrap/>
              <w:overflowPunct/>
              <w:topLinePunct w:val="0"/>
              <w:autoSpaceDE/>
              <w:autoSpaceDN/>
              <w:bidi w:val="0"/>
              <w:adjustRightInd/>
              <w:snapToGrid w:val="0"/>
              <w:spacing w:before="25" w:line="240" w:lineRule="auto"/>
              <w:ind w:left="41" w:right="56"/>
              <w:jc w:val="center"/>
              <w:textAlignment w:val="auto"/>
              <w:rPr>
                <w:rFonts w:hint="eastAsia" w:ascii="宋体" w:hAnsi="宋体" w:eastAsia="宋体" w:cs="宋体"/>
                <w:sz w:val="24"/>
                <w:szCs w:val="24"/>
                <w:lang w:val="en-US" w:eastAsia="zh-CN"/>
              </w:rPr>
            </w:pPr>
          </w:p>
        </w:tc>
      </w:tr>
      <w:tr w14:paraId="75157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96" w:type="dxa"/>
            <w:vAlign w:val="top"/>
          </w:tcPr>
          <w:p w14:paraId="1DCC1746">
            <w:pPr>
              <w:pStyle w:val="2"/>
              <w:numPr>
                <w:ilvl w:val="0"/>
                <w:numId w:val="0"/>
              </w:numPr>
              <w:ind w:leftChars="0"/>
              <w:jc w:val="center"/>
              <w:rPr>
                <w:rFonts w:hint="default" w:hAnsi="宋体"/>
                <w:lang w:val="en-US" w:eastAsia="zh-CN"/>
              </w:rPr>
            </w:pPr>
            <w:r>
              <w:rPr>
                <w:rFonts w:hint="eastAsia" w:hAnsi="宋体"/>
                <w:lang w:val="en-US" w:eastAsia="zh-CN"/>
              </w:rPr>
              <w:t>6</w:t>
            </w:r>
          </w:p>
        </w:tc>
        <w:tc>
          <w:tcPr>
            <w:tcW w:w="2517" w:type="dxa"/>
            <w:shd w:val="clear" w:color="auto" w:fill="FFFFFF" w:themeFill="background1"/>
            <w:vAlign w:val="top"/>
          </w:tcPr>
          <w:p w14:paraId="5F95D24C">
            <w:pPr>
              <w:pStyle w:val="2"/>
              <w:numPr>
                <w:ilvl w:val="0"/>
                <w:numId w:val="0"/>
              </w:numPr>
              <w:ind w:leftChars="0"/>
              <w:jc w:val="center"/>
              <w:rPr>
                <w:rFonts w:hint="eastAsia" w:hAnsi="宋体"/>
                <w:lang w:val="en-US" w:eastAsia="zh-CN"/>
              </w:rPr>
            </w:pPr>
            <w:r>
              <w:rPr>
                <w:rFonts w:hint="eastAsia" w:hAnsi="宋体"/>
                <w:lang w:val="en-US" w:eastAsia="zh-CN"/>
              </w:rPr>
              <w:t>防火卷帘系统</w:t>
            </w:r>
          </w:p>
        </w:tc>
        <w:tc>
          <w:tcPr>
            <w:tcW w:w="783" w:type="dxa"/>
            <w:shd w:val="clear" w:color="auto" w:fill="FFFFFF" w:themeFill="background1"/>
            <w:vAlign w:val="top"/>
          </w:tcPr>
          <w:p w14:paraId="646D5827">
            <w:pPr>
              <w:pStyle w:val="17"/>
              <w:keepNext w:val="0"/>
              <w:keepLines w:val="0"/>
              <w:pageBreakBefore w:val="0"/>
              <w:widowControl w:val="0"/>
              <w:kinsoku/>
              <w:wordWrap/>
              <w:overflowPunct/>
              <w:topLinePunct w:val="0"/>
              <w:autoSpaceDE/>
              <w:autoSpaceDN/>
              <w:bidi w:val="0"/>
              <w:adjustRightInd/>
              <w:snapToGrid w:val="0"/>
              <w:spacing w:before="127" w:line="240" w:lineRule="auto"/>
              <w:ind w:left="231"/>
              <w:textAlignment w:val="auto"/>
              <w:rPr>
                <w:rFonts w:hint="eastAsia" w:ascii="宋体" w:hAnsi="宋体" w:eastAsia="宋体" w:cs="宋体"/>
                <w:sz w:val="24"/>
                <w:szCs w:val="24"/>
              </w:rPr>
            </w:pPr>
          </w:p>
        </w:tc>
        <w:tc>
          <w:tcPr>
            <w:tcW w:w="1117" w:type="dxa"/>
            <w:shd w:val="clear" w:color="auto" w:fill="FFFFFF" w:themeFill="background1"/>
            <w:vAlign w:val="top"/>
          </w:tcPr>
          <w:p w14:paraId="0C22607A">
            <w:pPr>
              <w:pStyle w:val="17"/>
              <w:keepNext w:val="0"/>
              <w:keepLines w:val="0"/>
              <w:pageBreakBefore w:val="0"/>
              <w:widowControl w:val="0"/>
              <w:kinsoku/>
              <w:wordWrap/>
              <w:overflowPunct/>
              <w:topLinePunct w:val="0"/>
              <w:autoSpaceDE/>
              <w:autoSpaceDN/>
              <w:bidi w:val="0"/>
              <w:adjustRightInd/>
              <w:snapToGrid w:val="0"/>
              <w:spacing w:before="152" w:line="240" w:lineRule="auto"/>
              <w:ind w:left="654"/>
              <w:jc w:val="center"/>
              <w:textAlignment w:val="auto"/>
              <w:rPr>
                <w:rFonts w:hint="eastAsia" w:ascii="宋体" w:hAnsi="宋体" w:eastAsia="宋体" w:cs="宋体"/>
                <w:sz w:val="24"/>
                <w:szCs w:val="24"/>
              </w:rPr>
            </w:pPr>
          </w:p>
        </w:tc>
        <w:tc>
          <w:tcPr>
            <w:tcW w:w="1688" w:type="dxa"/>
            <w:shd w:val="clear" w:color="auto" w:fill="FFFFFF" w:themeFill="background1"/>
            <w:vAlign w:val="center"/>
          </w:tcPr>
          <w:p w14:paraId="70B3D8AA">
            <w:pPr>
              <w:pStyle w:val="17"/>
              <w:keepNext w:val="0"/>
              <w:keepLines w:val="0"/>
              <w:pageBreakBefore w:val="0"/>
              <w:widowControl w:val="0"/>
              <w:kinsoku/>
              <w:wordWrap/>
              <w:overflowPunct/>
              <w:topLinePunct w:val="0"/>
              <w:autoSpaceDE/>
              <w:autoSpaceDN/>
              <w:bidi w:val="0"/>
              <w:adjustRightInd/>
              <w:snapToGrid w:val="0"/>
              <w:spacing w:before="152" w:line="240" w:lineRule="auto"/>
              <w:ind w:left="239"/>
              <w:jc w:val="center"/>
              <w:textAlignment w:val="auto"/>
              <w:rPr>
                <w:rFonts w:hint="eastAsia" w:ascii="宋体" w:hAnsi="宋体" w:eastAsia="宋体" w:cs="宋体"/>
                <w:sz w:val="24"/>
                <w:szCs w:val="24"/>
                <w:lang w:val="en-US" w:eastAsia="zh-CN"/>
              </w:rPr>
            </w:pPr>
          </w:p>
        </w:tc>
        <w:tc>
          <w:tcPr>
            <w:tcW w:w="1411" w:type="dxa"/>
            <w:shd w:val="clear" w:color="auto" w:fill="FFFFFF" w:themeFill="background1"/>
            <w:vAlign w:val="center"/>
          </w:tcPr>
          <w:p w14:paraId="370A0DFA">
            <w:pPr>
              <w:pStyle w:val="17"/>
              <w:keepNext w:val="0"/>
              <w:keepLines w:val="0"/>
              <w:pageBreakBefore w:val="0"/>
              <w:widowControl w:val="0"/>
              <w:kinsoku/>
              <w:wordWrap/>
              <w:overflowPunct/>
              <w:topLinePunct w:val="0"/>
              <w:autoSpaceDE/>
              <w:autoSpaceDN/>
              <w:bidi w:val="0"/>
              <w:adjustRightInd/>
              <w:snapToGrid w:val="0"/>
              <w:spacing w:before="25" w:line="240" w:lineRule="auto"/>
              <w:ind w:left="41" w:right="56"/>
              <w:jc w:val="center"/>
              <w:textAlignment w:val="auto"/>
              <w:rPr>
                <w:rFonts w:hint="eastAsia" w:ascii="宋体" w:hAnsi="宋体" w:eastAsia="宋体" w:cs="宋体"/>
                <w:sz w:val="24"/>
                <w:szCs w:val="24"/>
                <w:lang w:val="en-US" w:eastAsia="zh-CN"/>
              </w:rPr>
            </w:pPr>
          </w:p>
        </w:tc>
      </w:tr>
      <w:tr w14:paraId="0CCA9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96" w:type="dxa"/>
            <w:vAlign w:val="top"/>
          </w:tcPr>
          <w:p w14:paraId="16BA74C6">
            <w:pPr>
              <w:pStyle w:val="2"/>
              <w:numPr>
                <w:ilvl w:val="0"/>
                <w:numId w:val="0"/>
              </w:numPr>
              <w:ind w:leftChars="0"/>
              <w:jc w:val="center"/>
              <w:rPr>
                <w:rFonts w:hint="default" w:hAnsi="宋体"/>
                <w:lang w:val="en-US" w:eastAsia="zh-CN"/>
              </w:rPr>
            </w:pPr>
            <w:r>
              <w:rPr>
                <w:rFonts w:hint="eastAsia" w:hAnsi="宋体"/>
                <w:lang w:val="en-US" w:eastAsia="zh-CN"/>
              </w:rPr>
              <w:t>7</w:t>
            </w:r>
          </w:p>
        </w:tc>
        <w:tc>
          <w:tcPr>
            <w:tcW w:w="2517" w:type="dxa"/>
            <w:shd w:val="clear" w:color="auto" w:fill="FFFFFF" w:themeFill="background1"/>
            <w:vAlign w:val="top"/>
          </w:tcPr>
          <w:p w14:paraId="6A1D18BF">
            <w:pPr>
              <w:pStyle w:val="2"/>
              <w:numPr>
                <w:ilvl w:val="0"/>
                <w:numId w:val="0"/>
              </w:numPr>
              <w:ind w:leftChars="0"/>
              <w:jc w:val="center"/>
              <w:rPr>
                <w:rFonts w:hint="eastAsia" w:hAnsi="宋体"/>
                <w:lang w:val="en-US" w:eastAsia="zh-CN"/>
              </w:rPr>
            </w:pPr>
            <w:r>
              <w:rPr>
                <w:rFonts w:hint="eastAsia" w:hAnsi="宋体"/>
                <w:lang w:val="en-US" w:eastAsia="zh-CN"/>
              </w:rPr>
              <w:t>其他灭火系统</w:t>
            </w:r>
          </w:p>
        </w:tc>
        <w:tc>
          <w:tcPr>
            <w:tcW w:w="783" w:type="dxa"/>
            <w:shd w:val="clear" w:color="auto" w:fill="FFFFFF" w:themeFill="background1"/>
            <w:vAlign w:val="top"/>
          </w:tcPr>
          <w:p w14:paraId="777599BE">
            <w:pPr>
              <w:pStyle w:val="17"/>
              <w:keepNext w:val="0"/>
              <w:keepLines w:val="0"/>
              <w:pageBreakBefore w:val="0"/>
              <w:widowControl w:val="0"/>
              <w:kinsoku/>
              <w:wordWrap/>
              <w:overflowPunct/>
              <w:topLinePunct w:val="0"/>
              <w:autoSpaceDE/>
              <w:autoSpaceDN/>
              <w:bidi w:val="0"/>
              <w:adjustRightInd/>
              <w:snapToGrid w:val="0"/>
              <w:spacing w:before="127" w:line="240" w:lineRule="auto"/>
              <w:ind w:left="231"/>
              <w:textAlignment w:val="auto"/>
              <w:rPr>
                <w:rFonts w:hint="eastAsia" w:ascii="宋体" w:hAnsi="宋体" w:eastAsia="宋体" w:cs="宋体"/>
                <w:sz w:val="24"/>
                <w:szCs w:val="24"/>
              </w:rPr>
            </w:pPr>
          </w:p>
        </w:tc>
        <w:tc>
          <w:tcPr>
            <w:tcW w:w="1117" w:type="dxa"/>
            <w:shd w:val="clear" w:color="auto" w:fill="FFFFFF" w:themeFill="background1"/>
            <w:vAlign w:val="top"/>
          </w:tcPr>
          <w:p w14:paraId="0FB0EEBB">
            <w:pPr>
              <w:pStyle w:val="17"/>
              <w:keepNext w:val="0"/>
              <w:keepLines w:val="0"/>
              <w:pageBreakBefore w:val="0"/>
              <w:widowControl w:val="0"/>
              <w:kinsoku/>
              <w:wordWrap/>
              <w:overflowPunct/>
              <w:topLinePunct w:val="0"/>
              <w:autoSpaceDE/>
              <w:autoSpaceDN/>
              <w:bidi w:val="0"/>
              <w:adjustRightInd/>
              <w:snapToGrid w:val="0"/>
              <w:spacing w:before="152" w:line="240" w:lineRule="auto"/>
              <w:ind w:left="654"/>
              <w:jc w:val="center"/>
              <w:textAlignment w:val="auto"/>
              <w:rPr>
                <w:rFonts w:hint="eastAsia" w:ascii="宋体" w:hAnsi="宋体" w:eastAsia="宋体" w:cs="宋体"/>
                <w:sz w:val="24"/>
                <w:szCs w:val="24"/>
              </w:rPr>
            </w:pPr>
          </w:p>
        </w:tc>
        <w:tc>
          <w:tcPr>
            <w:tcW w:w="1688" w:type="dxa"/>
            <w:shd w:val="clear" w:color="auto" w:fill="FFFFFF" w:themeFill="background1"/>
            <w:vAlign w:val="center"/>
          </w:tcPr>
          <w:p w14:paraId="66672391">
            <w:pPr>
              <w:pStyle w:val="17"/>
              <w:keepNext w:val="0"/>
              <w:keepLines w:val="0"/>
              <w:pageBreakBefore w:val="0"/>
              <w:widowControl w:val="0"/>
              <w:kinsoku/>
              <w:wordWrap/>
              <w:overflowPunct/>
              <w:topLinePunct w:val="0"/>
              <w:autoSpaceDE/>
              <w:autoSpaceDN/>
              <w:bidi w:val="0"/>
              <w:adjustRightInd/>
              <w:snapToGrid w:val="0"/>
              <w:spacing w:before="152" w:line="240" w:lineRule="auto"/>
              <w:ind w:left="239"/>
              <w:jc w:val="center"/>
              <w:textAlignment w:val="auto"/>
              <w:rPr>
                <w:rFonts w:hint="eastAsia" w:ascii="宋体" w:hAnsi="宋体" w:eastAsia="宋体" w:cs="宋体"/>
                <w:sz w:val="24"/>
                <w:szCs w:val="24"/>
                <w:lang w:val="en-US" w:eastAsia="zh-CN"/>
              </w:rPr>
            </w:pPr>
          </w:p>
        </w:tc>
        <w:tc>
          <w:tcPr>
            <w:tcW w:w="1411" w:type="dxa"/>
            <w:shd w:val="clear" w:color="auto" w:fill="FFFFFF" w:themeFill="background1"/>
            <w:vAlign w:val="center"/>
          </w:tcPr>
          <w:p w14:paraId="7BDFAD12">
            <w:pPr>
              <w:pStyle w:val="17"/>
              <w:keepNext w:val="0"/>
              <w:keepLines w:val="0"/>
              <w:pageBreakBefore w:val="0"/>
              <w:widowControl w:val="0"/>
              <w:kinsoku/>
              <w:wordWrap/>
              <w:overflowPunct/>
              <w:topLinePunct w:val="0"/>
              <w:autoSpaceDE/>
              <w:autoSpaceDN/>
              <w:bidi w:val="0"/>
              <w:adjustRightInd/>
              <w:snapToGrid w:val="0"/>
              <w:spacing w:before="25" w:line="240" w:lineRule="auto"/>
              <w:ind w:left="41" w:right="56"/>
              <w:jc w:val="center"/>
              <w:textAlignment w:val="auto"/>
              <w:rPr>
                <w:rFonts w:hint="eastAsia" w:ascii="宋体" w:hAnsi="宋体" w:eastAsia="宋体" w:cs="宋体"/>
                <w:sz w:val="24"/>
                <w:szCs w:val="24"/>
                <w:lang w:val="en-US" w:eastAsia="zh-CN"/>
              </w:rPr>
            </w:pPr>
          </w:p>
        </w:tc>
      </w:tr>
    </w:tbl>
    <w:p w14:paraId="3E49E0DF">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14:paraId="25088D96">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p>
    <w:p w14:paraId="1B36826E">
      <w:pPr>
        <w:keepNext w:val="0"/>
        <w:keepLines w:val="0"/>
        <w:pageBreakBefore w:val="0"/>
        <w:widowControl/>
        <w:numPr>
          <w:ilvl w:val="0"/>
          <w:numId w:val="4"/>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“报价一览表”为多页的，每页均需由法定代表人或授权代表签字并盖投标人印章。</w:t>
      </w:r>
    </w:p>
    <w:p w14:paraId="29A80BFC">
      <w:pPr>
        <w:keepNext w:val="0"/>
        <w:keepLines w:val="0"/>
        <w:pageBreakBefore w:val="0"/>
        <w:widowControl/>
        <w:numPr>
          <w:ilvl w:val="0"/>
          <w:numId w:val="4"/>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“报价一览表”需单独密封。</w:t>
      </w:r>
    </w:p>
    <w:p w14:paraId="30923CF7">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14:paraId="285A1527">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14:paraId="094CC581">
      <w:pPr>
        <w:keepNext w:val="0"/>
        <w:keepLines w:val="0"/>
        <w:pageBreakBefore w:val="0"/>
        <w:widowControl/>
        <w:kinsoku/>
        <w:wordWrap/>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14:paraId="260C3AA9">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3EDCA4A4">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p w14:paraId="7DEAA9FB">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color w:val="auto"/>
          <w:sz w:val="24"/>
          <w:szCs w:val="24"/>
          <w:highlight w:val="none"/>
          <w:lang w:val="zh-CN"/>
        </w:rPr>
      </w:pPr>
    </w:p>
    <w:p w14:paraId="4F26218B">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14:paraId="79600574">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14:paraId="6A4B5DB8">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14:paraId="57FD6CEC">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14:paraId="0E8CC696">
      <w:pPr>
        <w:pStyle w:val="9"/>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2-2</w:t>
      </w:r>
    </w:p>
    <w:p w14:paraId="12140B34">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14:paraId="5BACB4CB">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14:paraId="79B5FFFC">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14:paraId="2B84FD2A">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14:paraId="357DA842">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14:paraId="073637B8">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14:paraId="1AB1C9D8">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13C63BEB">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14:paraId="7D0514EB">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14:paraId="29E4E804">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14:paraId="7F3B628A">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622BD3FD">
      <w:pPr>
        <w:keepNext w:val="0"/>
        <w:keepLines w:val="0"/>
        <w:pageBreakBefore w:val="0"/>
        <w:numPr>
          <w:ilvl w:val="0"/>
          <w:numId w:val="5"/>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14:paraId="40C09874">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14:paraId="7E42ADD4">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14:paraId="2CC934E3">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14:paraId="06831BEB">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14:paraId="036237EA">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14:paraId="031C6330">
      <w:pPr>
        <w:pStyle w:val="5"/>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14:paraId="5A746D9B">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4EC6EF0F">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66E0A5C1">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19B3C6C9">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3487877A">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19BCF80B">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47008897">
      <w:pPr>
        <w:pStyle w:val="5"/>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w:t>
      </w:r>
    </w:p>
    <w:p w14:paraId="51629C18">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1F5830D2">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40784A17">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14:paraId="66654CB3">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14:paraId="09F3F020">
      <w:pPr>
        <w:pStyle w:val="5"/>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14:paraId="5449792C">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14:paraId="440917FC">
      <w:pPr>
        <w:pStyle w:val="5"/>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14:paraId="6FFB3B15">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14:paraId="01990E7F">
      <w:pPr>
        <w:pStyle w:val="5"/>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14:paraId="75DE83AE">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14:paraId="2B1BB4AF">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14:paraId="3D2EAE01">
      <w:pPr>
        <w:pStyle w:val="5"/>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14:paraId="15B1B7BA">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14:paraId="31E84D9E">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10.法律法规界定的其他围标串标行为。</w:t>
      </w:r>
    </w:p>
    <w:p w14:paraId="3D04D7BC">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14:paraId="5581BE48">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14:paraId="23E40BAD">
      <w:pPr>
        <w:pStyle w:val="5"/>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14:paraId="5B602A77">
      <w:pPr>
        <w:pStyle w:val="5"/>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14:paraId="1E26EEDE">
      <w:pPr>
        <w:pStyle w:val="5"/>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14:paraId="2BED8B96">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14:paraId="0B320910">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14:paraId="3458B6DD">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14:paraId="21D2EC4E">
      <w:pPr>
        <w:keepNext w:val="0"/>
        <w:keepLines w:val="0"/>
        <w:pageBreakBefore w:val="0"/>
        <w:kinsoku/>
        <w:wordWrap/>
        <w:overflowPunct/>
        <w:topLinePunct w:val="0"/>
        <w:autoSpaceDE/>
        <w:autoSpaceDN/>
        <w:bidi w:val="0"/>
        <w:spacing w:beforeAutospacing="0" w:afterAutospacing="0" w:line="360" w:lineRule="auto"/>
        <w:rPr>
          <w:rFonts w:hint="eastAsia" w:ascii="宋体" w:hAnsi="宋体" w:cs="宋体"/>
          <w:b/>
          <w:bCs/>
          <w:color w:val="auto"/>
          <w:sz w:val="24"/>
          <w:szCs w:val="24"/>
          <w:highlight w:val="none"/>
          <w:lang w:val="en-US" w:eastAsia="zh-CN"/>
        </w:rPr>
      </w:pPr>
    </w:p>
    <w:p w14:paraId="033697B3">
      <w:pPr>
        <w:keepNext w:val="0"/>
        <w:keepLines w:val="0"/>
        <w:pageBreakBefore w:val="0"/>
        <w:kinsoku/>
        <w:wordWrap/>
        <w:overflowPunct/>
        <w:topLinePunct w:val="0"/>
        <w:autoSpaceDE/>
        <w:autoSpaceDN/>
        <w:bidi w:val="0"/>
        <w:spacing w:beforeAutospacing="0" w:afterAutospacing="0"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2-4</w:t>
      </w:r>
    </w:p>
    <w:p w14:paraId="4CB1D8BE">
      <w:pPr>
        <w:pStyle w:val="19"/>
        <w:keepNext w:val="0"/>
        <w:keepLines w:val="0"/>
        <w:pageBreakBefore w:val="0"/>
        <w:kinsoku/>
        <w:overflowPunct/>
        <w:topLinePunct w:val="0"/>
        <w:autoSpaceDE/>
        <w:autoSpaceDN/>
        <w:bidi w:val="0"/>
        <w:snapToGrid w:val="0"/>
        <w:spacing w:before="156" w:beforeLines="50" w:after="312" w:afterLines="10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shd w:val="clear" w:color="auto" w:fill="FFFFFF"/>
        </w:rPr>
        <w:t>承诺函</w:t>
      </w:r>
    </w:p>
    <w:p w14:paraId="042814EF">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四川省妇幼保健院：</w:t>
      </w:r>
    </w:p>
    <w:p w14:paraId="7743EA30">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本供应商</w:t>
      </w:r>
      <w:r>
        <w:rPr>
          <w:rFonts w:hint="eastAsia" w:ascii="宋体" w:hAnsi="宋体" w:eastAsia="宋体" w:cs="宋体"/>
          <w:sz w:val="24"/>
          <w:szCs w:val="24"/>
          <w:u w:val="single"/>
        </w:rPr>
        <w:t xml:space="preserve">      （供应商全称）        </w:t>
      </w:r>
      <w:r>
        <w:rPr>
          <w:rFonts w:hint="eastAsia" w:ascii="宋体" w:hAnsi="宋体" w:eastAsia="宋体" w:cs="宋体"/>
          <w:sz w:val="24"/>
          <w:szCs w:val="24"/>
        </w:rPr>
        <w:t>参加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w:t>
      </w:r>
      <w:r>
        <w:rPr>
          <w:rFonts w:hint="eastAsia" w:ascii="宋体" w:hAnsi="宋体" w:eastAsia="宋体" w:cs="宋体"/>
          <w:sz w:val="24"/>
          <w:szCs w:val="24"/>
          <w:lang w:val="en-US" w:eastAsia="zh-CN"/>
        </w:rPr>
        <w:t>评审</w:t>
      </w:r>
      <w:r>
        <w:rPr>
          <w:rFonts w:hint="eastAsia" w:ascii="宋体" w:hAnsi="宋体" w:eastAsia="宋体" w:cs="宋体"/>
          <w:sz w:val="24"/>
          <w:szCs w:val="24"/>
        </w:rPr>
        <w:t>活动，现郑重承诺：</w:t>
      </w:r>
    </w:p>
    <w:p w14:paraId="3FA2EB89">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一、具备本项目规定的条件：</w:t>
      </w:r>
    </w:p>
    <w:p w14:paraId="65A1F425">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（一）具有独立承担民事责任的能力； </w:t>
      </w:r>
    </w:p>
    <w:p w14:paraId="09FFF5D3">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（二）具有良好的商业信誉和健全的财务会计制度； </w:t>
      </w:r>
    </w:p>
    <w:p w14:paraId="7087C13C">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（三）具有履行合同所必需的设备和专业技术能力； </w:t>
      </w:r>
    </w:p>
    <w:p w14:paraId="7C164FF6">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（四）有依法缴纳税收和社会保障资金的良好记录； </w:t>
      </w:r>
    </w:p>
    <w:p w14:paraId="7938B699">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（五）参加采购活动前三年内，在经营活动中没有重大违法记录；</w:t>
      </w:r>
    </w:p>
    <w:p w14:paraId="3BC44A65">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（六）法律、行政法规规定的其他条件；</w:t>
      </w:r>
    </w:p>
    <w:p w14:paraId="390EE1FC">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承诺成交后签订合同前按采购人要求提交技术参数相关佐证材料。</w:t>
      </w:r>
    </w:p>
    <w:p w14:paraId="07A0C9C1">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参加本次磋商采购活动，不存在与单位负责人为同一人或者存在直接控股、管理关系的其他供应商参与同一合同项下的采购活动的行为。本单位未参与本采购项目前期咨询论证，不属于禁止参加本项目磋商的供应商。</w:t>
      </w:r>
    </w:p>
    <w:p w14:paraId="2BCDB391">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四、参加本次磋商采购活动，不存在和其他供应商在同一合同项下的采购项目中，同时委托同一个自然人、同一家庭的人员、同一单位的人员作为代理人的行为。</w:t>
      </w:r>
    </w:p>
    <w:p w14:paraId="58BB398F">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五、本单位未被对列入按财库[2016]125号规定的失信被执行人、重大税收违法案件当事人名单、政府采购严重违法失信行为记录名单及其他不符合《中华人民共和国政府采购法》第二十二条规定条件的供应商。</w:t>
      </w:r>
    </w:p>
    <w:p w14:paraId="695A0BC9">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六、国家或行业主管部门对采购产品的技术标准、质量标准和资格资质条件等有强制性规定的，我方承诺符合其要求。</w:t>
      </w:r>
    </w:p>
    <w:p w14:paraId="24289912">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本公司对上述承诺的内容事项真实性负责。如经查实上述承诺的内容事项存在虚假，本单位愿意接受以提供虚假材料谋取成交追究法律责任。</w:t>
      </w:r>
      <w:r>
        <w:rPr>
          <w:rFonts w:hint="eastAsia" w:ascii="宋体" w:hAnsi="宋体" w:eastAsia="宋体" w:cs="宋体"/>
          <w:sz w:val="24"/>
          <w:szCs w:val="24"/>
        </w:rPr>
        <w:tab/>
      </w:r>
      <w:r>
        <w:rPr>
          <w:rFonts w:hint="eastAsia" w:ascii="宋体" w:hAnsi="宋体" w:eastAsia="宋体" w:cs="宋体"/>
          <w:sz w:val="24"/>
          <w:szCs w:val="24"/>
        </w:rPr>
        <w:tab/>
      </w:r>
    </w:p>
    <w:p w14:paraId="549B83FE">
      <w:pPr>
        <w:keepNext w:val="0"/>
        <w:keepLines w:val="0"/>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14:paraId="1ACA105C">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供应商名称：        （盖章）</w:t>
      </w:r>
    </w:p>
    <w:p w14:paraId="67B5C1CF">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签字或盖章</w:t>
      </w:r>
      <w:r>
        <w:rPr>
          <w:rFonts w:hint="eastAsia" w:ascii="宋体" w:hAnsi="宋体" w:eastAsia="宋体" w:cs="宋体"/>
          <w:sz w:val="24"/>
          <w:szCs w:val="24"/>
        </w:rPr>
        <w:t>）：</w:t>
      </w:r>
    </w:p>
    <w:p w14:paraId="658F7F74">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日 期：</w:t>
      </w:r>
    </w:p>
    <w:p w14:paraId="3E34161A">
      <w:pPr>
        <w:pStyle w:val="8"/>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p>
    <w:p w14:paraId="73D8B303">
      <w:pPr>
        <w:pStyle w:val="5"/>
        <w:rPr>
          <w:rFonts w:hint="default"/>
          <w:lang w:val="en-US" w:eastAsia="zh-CN"/>
        </w:rPr>
      </w:pPr>
    </w:p>
    <w:p w14:paraId="3C532056">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2D1980B2">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4BCFA9B8">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3880B3F2">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3C5EC5EA">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24D8BE5B">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044A149E">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314D647C">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030AACC8">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5E145F1E">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0A7C5B1E">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173D8C7C">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6EB983DA">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43DB6AED">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31CF99CB">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7ACAD7D8">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063C9718">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75D88BCE">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5D1E9018">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74BAE684">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3E5A34BD">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29B6180D">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16BA2840">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7EFEC370">
      <w:pPr>
        <w:keepNext w:val="0"/>
        <w:keepLines w:val="0"/>
        <w:pageBreakBefore w:val="0"/>
        <w:kinsoku/>
        <w:wordWrap/>
        <w:overflowPunct/>
        <w:topLinePunct w:val="0"/>
        <w:autoSpaceDE/>
        <w:autoSpaceDN/>
        <w:bidi w:val="0"/>
        <w:spacing w:beforeAutospacing="0" w:afterAutospacing="0" w:line="360" w:lineRule="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5</w:t>
      </w:r>
    </w:p>
    <w:p w14:paraId="2C99F8BC">
      <w:pPr>
        <w:pStyle w:val="10"/>
        <w:keepNext w:val="0"/>
        <w:keepLines w:val="0"/>
        <w:pageBreakBefore w:val="0"/>
        <w:widowControl/>
        <w:suppressLineNumbers w:val="0"/>
        <w:kinsoku/>
        <w:wordWrap/>
        <w:overflowPunct/>
        <w:topLinePunct w:val="0"/>
        <w:autoSpaceDE/>
        <w:autoSpaceDN/>
        <w:bidi w:val="0"/>
        <w:adjustRightInd/>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商务、</w:t>
      </w:r>
      <w:r>
        <w:rPr>
          <w:rFonts w:hint="eastAsia" w:ascii="宋体" w:hAnsi="宋体" w:eastAsia="宋体" w:cs="宋体"/>
          <w:b/>
          <w:color w:val="auto"/>
          <w:sz w:val="24"/>
          <w:szCs w:val="24"/>
        </w:rPr>
        <w:t>技术、服务响应/偏离表 </w:t>
      </w:r>
    </w:p>
    <w:p w14:paraId="79E4DBE9">
      <w:pPr>
        <w:pStyle w:val="10"/>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b/>
          <w:color w:val="auto"/>
          <w:sz w:val="24"/>
          <w:szCs w:val="24"/>
          <w:u w:val="single"/>
        </w:rPr>
      </w:pPr>
      <w:r>
        <w:rPr>
          <w:rFonts w:hint="eastAsia" w:ascii="宋体" w:hAnsi="宋体" w:eastAsia="宋体" w:cs="宋体"/>
          <w:b/>
          <w:color w:val="auto"/>
          <w:sz w:val="24"/>
          <w:szCs w:val="24"/>
        </w:rPr>
        <w:t>供应商名称：</w:t>
      </w:r>
      <w:r>
        <w:rPr>
          <w:rFonts w:hint="eastAsia" w:ascii="宋体" w:hAnsi="宋体" w:eastAsia="宋体" w:cs="宋体"/>
          <w:b/>
          <w:color w:val="auto"/>
          <w:sz w:val="24"/>
          <w:szCs w:val="24"/>
          <w:u w:val="single"/>
        </w:rPr>
        <w:t>             </w:t>
      </w:r>
    </w:p>
    <w:p w14:paraId="3C675641">
      <w:pPr>
        <w:pStyle w:val="10"/>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采购编号：</w:t>
      </w:r>
      <w:r>
        <w:rPr>
          <w:rFonts w:hint="eastAsia" w:ascii="宋体" w:hAnsi="宋体" w:eastAsia="宋体" w:cs="宋体"/>
          <w:b/>
          <w:color w:val="auto"/>
          <w:sz w:val="24"/>
          <w:szCs w:val="24"/>
          <w:u w:val="single"/>
        </w:rPr>
        <w:t>             </w:t>
      </w:r>
      <w:r>
        <w:rPr>
          <w:rFonts w:hint="eastAsia" w:ascii="宋体" w:hAnsi="宋体" w:eastAsia="宋体" w:cs="宋体"/>
          <w:b/>
          <w:color w:val="auto"/>
          <w:sz w:val="24"/>
          <w:szCs w:val="24"/>
        </w:rPr>
        <w:t> </w:t>
      </w:r>
    </w:p>
    <w:tbl>
      <w:tblPr>
        <w:tblStyle w:val="12"/>
        <w:tblW w:w="85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35"/>
        <w:gridCol w:w="1989"/>
        <w:gridCol w:w="1665"/>
        <w:gridCol w:w="2736"/>
        <w:gridCol w:w="1440"/>
      </w:tblGrid>
      <w:tr w14:paraId="289960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645" w:hRule="atLeast"/>
        </w:trPr>
        <w:tc>
          <w:tcPr>
            <w:tcW w:w="7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9AA65B">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9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A378BC">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文件条目号</w:t>
            </w:r>
          </w:p>
        </w:tc>
        <w:tc>
          <w:tcPr>
            <w:tcW w:w="166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F9AC5F">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文件要求</w:t>
            </w:r>
          </w:p>
        </w:tc>
        <w:tc>
          <w:tcPr>
            <w:tcW w:w="273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A22DE8">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响应文件响应说明</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D8240E">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响应/偏离</w:t>
            </w:r>
          </w:p>
        </w:tc>
      </w:tr>
      <w:tr w14:paraId="0F3A25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AD24AB3">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3FB858A1">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1F43915C">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6D456D7C">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502A3F34">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42A83B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EBD8D17">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00D1A9C7">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4D188C58">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15640EDD">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773C65C7">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0DC1E4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3997383">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3A28868E">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750FA970">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78896B88">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67BE2A2">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4785C9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5394EBA">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35FBF5CD">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43B883E9">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03261643">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67E7144">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1266D6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BE669F4">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000BA28E">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C887C6A">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0EEDC7D9">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61171EC8">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0CD4E9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AF7FA76">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F91D156">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ED7468B">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7CC54E2F">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19336E16">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bl>
    <w:p w14:paraId="5695BF83">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供应商名称：         （盖章）</w:t>
      </w:r>
    </w:p>
    <w:p w14:paraId="2B8BAC31">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法定代表人/单位负责人或授权代表（签字或加盖个人名章）：</w:t>
      </w:r>
    </w:p>
    <w:p w14:paraId="0A7B5407">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日期:</w:t>
      </w:r>
    </w:p>
    <w:p w14:paraId="6662CFFF">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3228F0E7">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供应商必须据实填写，不得虚假应答，否则将取消其报价或成交资格。如与磋商文件所列★技术相关条款如有偏离条款，请将偏离条款逐条应答。未明确偏离的条款，视为默认接受，供应商不得籍未作应答而拒不接受。</w:t>
      </w:r>
      <w:r>
        <w:rPr>
          <w:rFonts w:hint="eastAsia" w:ascii="宋体" w:hAnsi="宋体" w:eastAsia="宋体" w:cs="宋体"/>
          <w:color w:val="auto"/>
          <w:sz w:val="24"/>
          <w:szCs w:val="24"/>
          <w:lang w:val="en-US" w:eastAsia="zh-CN"/>
        </w:rPr>
        <w:t>如无偏离，请填写无偏离或正偏离。</w:t>
      </w:r>
    </w:p>
    <w:p w14:paraId="62842103">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若磋商文件中有要求提供证明材料的技术条款应当在此表中列出并应答。</w:t>
      </w:r>
    </w:p>
    <w:p w14:paraId="7FF32246">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采购投标文件装订顺序</w:t>
      </w:r>
    </w:p>
    <w:p w14:paraId="5DBF711E">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14:paraId="5A6AA764">
      <w:pPr>
        <w:keepNext w:val="0"/>
        <w:keepLines w:val="0"/>
        <w:pageBreakBefore w:val="0"/>
        <w:numPr>
          <w:ilvl w:val="0"/>
          <w:numId w:val="7"/>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14:paraId="56B06F3C">
      <w:pPr>
        <w:keepNext w:val="0"/>
        <w:keepLines w:val="0"/>
        <w:pageBreakBefore w:val="0"/>
        <w:numPr>
          <w:ilvl w:val="0"/>
          <w:numId w:val="7"/>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14:paraId="1B1329EC">
      <w:pPr>
        <w:keepNext w:val="0"/>
        <w:keepLines w:val="0"/>
        <w:pageBreakBefore w:val="0"/>
        <w:numPr>
          <w:ilvl w:val="0"/>
          <w:numId w:val="7"/>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14:paraId="47446317">
      <w:pPr>
        <w:keepNext w:val="0"/>
        <w:keepLines w:val="0"/>
        <w:pageBreakBefore w:val="0"/>
        <w:numPr>
          <w:ilvl w:val="0"/>
          <w:numId w:val="7"/>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14:paraId="7A4585C3">
      <w:pPr>
        <w:keepNext w:val="0"/>
        <w:keepLines w:val="0"/>
        <w:pageBreakBefore w:val="0"/>
        <w:numPr>
          <w:ilvl w:val="0"/>
          <w:numId w:val="7"/>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14:paraId="1684703A">
      <w:pPr>
        <w:keepNext w:val="0"/>
        <w:keepLines w:val="0"/>
        <w:pageBreakBefore w:val="0"/>
        <w:numPr>
          <w:ilvl w:val="0"/>
          <w:numId w:val="7"/>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14:paraId="0785B03C">
      <w:pPr>
        <w:keepNext w:val="0"/>
        <w:keepLines w:val="0"/>
        <w:pageBreakBefore w:val="0"/>
        <w:numPr>
          <w:ilvl w:val="0"/>
          <w:numId w:val="7"/>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14:paraId="562CF58A">
      <w:pPr>
        <w:keepNext w:val="0"/>
        <w:keepLines w:val="0"/>
        <w:pageBreakBefore w:val="0"/>
        <w:numPr>
          <w:ilvl w:val="0"/>
          <w:numId w:val="7"/>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14:paraId="4481F8F3">
      <w:pPr>
        <w:keepNext w:val="0"/>
        <w:keepLines w:val="0"/>
        <w:pageBreakBefore w:val="0"/>
        <w:numPr>
          <w:ilvl w:val="0"/>
          <w:numId w:val="7"/>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p>
    <w:p w14:paraId="6F8EB23B">
      <w:pPr>
        <w:keepNext w:val="0"/>
        <w:keepLines w:val="0"/>
        <w:pageBreakBefore w:val="0"/>
        <w:numPr>
          <w:ilvl w:val="0"/>
          <w:numId w:val="7"/>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14:paraId="3710EF44">
      <w:pPr>
        <w:keepNext w:val="0"/>
        <w:keepLines w:val="0"/>
        <w:pageBreakBefore w:val="0"/>
        <w:numPr>
          <w:ilvl w:val="0"/>
          <w:numId w:val="7"/>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14:paraId="27DC5455">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14:paraId="563323F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14:paraId="45AACA90">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5FCBB3D2">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4E837F1E">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48A1D78D">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735FF47E">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04AE44F1">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3A0F4510">
      <w:pPr>
        <w:pStyle w:val="9"/>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62CA80AA">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46E254FD">
      <w:pPr>
        <w:pStyle w:val="9"/>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70DBC572">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685B803A">
      <w:pPr>
        <w:pStyle w:val="9"/>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01FF752B">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5FFA147B">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14:paraId="7D5966B0">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14:paraId="079054A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27613D8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1A551E1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14:paraId="0AAE7FB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14:paraId="7B873FB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14:paraId="172A69E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14:paraId="3CC8E94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14:paraId="2E3670E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14:paraId="44EF3C2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14:paraId="38FBF71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14:paraId="6104162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14:paraId="7E474E9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14:paraId="5E2D16E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14:paraId="4018AEF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1FE6E89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14:paraId="3C21052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14:paraId="6B911E8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14:paraId="6E881C2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14:paraId="4158DF9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14:paraId="342FC85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14:paraId="1EFFC39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14:paraId="06D41F5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14:paraId="7A8245F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14:paraId="2732B97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14:paraId="42CF6ED1">
      <w:pPr>
        <w:pStyle w:val="11"/>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14:paraId="17E0CDC9">
      <w:pPr>
        <w:pStyle w:val="11"/>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14:paraId="28B1175D">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714575F2">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376A76F1">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34AC4F6C">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44A44C93">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336C027B">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4BBF4F03">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51CC41EA">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3C933BD3">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77049EAE">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5641694F">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p>
    <w:p w14:paraId="71DF0CD8">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p>
    <w:p w14:paraId="41044ECA">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14:paraId="2F29DA9D">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14:paraId="5D46DA7B">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14:paraId="7CAA2A02">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14:paraId="074089D0">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14:paraId="7363E3EE">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14:paraId="3CF2C60D">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14:paraId="0DAB908A">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14:paraId="39362E55">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14:paraId="07C3A5B0">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14:paraId="04F2605F">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14:paraId="483587C6">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14:paraId="73FCD19A">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14:paraId="1210440C">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14:paraId="4EEF8BDE">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14:paraId="1F659D88">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14:paraId="178A4E18">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14:paraId="16422B75">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14:paraId="12DA4EDA">
      <w:pPr>
        <w:keepNext w:val="0"/>
        <w:keepLines w:val="0"/>
        <w:pageBreakBefore w:val="0"/>
        <w:kinsoku/>
        <w:wordWrap/>
        <w:overflowPunct/>
        <w:topLinePunct w:val="0"/>
        <w:autoSpaceDE/>
        <w:autoSpaceDN/>
        <w:bidi w:val="0"/>
        <w:spacing w:beforeAutospacing="0" w:line="360" w:lineRule="auto"/>
        <w:ind w:firstLine="6240" w:firstLineChars="2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0733AC8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1E214"/>
    <w:multiLevelType w:val="singleLevel"/>
    <w:tmpl w:val="8791E214"/>
    <w:lvl w:ilvl="0" w:tentative="0">
      <w:start w:val="1"/>
      <w:numFmt w:val="bullet"/>
      <w:lvlText w:val=""/>
      <w:lvlJc w:val="left"/>
      <w:pPr>
        <w:ind w:left="420" w:hanging="420"/>
      </w:pPr>
      <w:rPr>
        <w:rFonts w:hint="default" w:ascii="Wingdings" w:hAnsi="Wingdings"/>
      </w:rPr>
    </w:lvl>
  </w:abstractNum>
  <w:abstractNum w:abstractNumId="1">
    <w:nsid w:val="9B4BE70B"/>
    <w:multiLevelType w:val="singleLevel"/>
    <w:tmpl w:val="9B4BE70B"/>
    <w:lvl w:ilvl="0" w:tentative="0">
      <w:start w:val="1"/>
      <w:numFmt w:val="decimal"/>
      <w:lvlText w:val="%1."/>
      <w:lvlJc w:val="left"/>
      <w:pPr>
        <w:ind w:left="425" w:hanging="425"/>
      </w:pPr>
      <w:rPr>
        <w:rFonts w:hint="default"/>
      </w:rPr>
    </w:lvl>
  </w:abstractNum>
  <w:abstractNum w:abstractNumId="2">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3">
    <w:nsid w:val="10EECAEC"/>
    <w:multiLevelType w:val="singleLevel"/>
    <w:tmpl w:val="10EECAEC"/>
    <w:lvl w:ilvl="0" w:tentative="0">
      <w:start w:val="1"/>
      <w:numFmt w:val="bullet"/>
      <w:pStyle w:val="6"/>
      <w:lvlText w:val=""/>
      <w:lvlJc w:val="left"/>
      <w:pPr>
        <w:tabs>
          <w:tab w:val="left" w:pos="2040"/>
        </w:tabs>
        <w:ind w:left="2040" w:hanging="360"/>
      </w:pPr>
      <w:rPr>
        <w:rFonts w:hint="default" w:ascii="Wingdings" w:hAnsi="Wingdings"/>
      </w:rPr>
    </w:lvl>
  </w:abstractNum>
  <w:abstractNum w:abstractNumId="4">
    <w:nsid w:val="1BB916B2"/>
    <w:multiLevelType w:val="singleLevel"/>
    <w:tmpl w:val="1BB916B2"/>
    <w:lvl w:ilvl="0" w:tentative="0">
      <w:start w:val="1"/>
      <w:numFmt w:val="decimal"/>
      <w:lvlText w:val="%1."/>
      <w:lvlJc w:val="left"/>
      <w:pPr>
        <w:tabs>
          <w:tab w:val="left" w:pos="312"/>
        </w:tabs>
      </w:pPr>
    </w:lvl>
  </w:abstractNum>
  <w:abstractNum w:abstractNumId="5">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6">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6"/>
  </w:num>
  <w:num w:numId="3">
    <w:abstractNumId w:val="4"/>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D3D1A"/>
    <w:rsid w:val="00AB5028"/>
    <w:rsid w:val="01FE6BD3"/>
    <w:rsid w:val="02FE6776"/>
    <w:rsid w:val="0E2A3E4A"/>
    <w:rsid w:val="124F3295"/>
    <w:rsid w:val="13F910D3"/>
    <w:rsid w:val="142D2440"/>
    <w:rsid w:val="150B2214"/>
    <w:rsid w:val="1C831556"/>
    <w:rsid w:val="1FEA0D76"/>
    <w:rsid w:val="20D451E9"/>
    <w:rsid w:val="224805CD"/>
    <w:rsid w:val="22E9628F"/>
    <w:rsid w:val="343B728A"/>
    <w:rsid w:val="36482F72"/>
    <w:rsid w:val="371B2276"/>
    <w:rsid w:val="39D64F8F"/>
    <w:rsid w:val="408908EE"/>
    <w:rsid w:val="426A4E5F"/>
    <w:rsid w:val="428A38B6"/>
    <w:rsid w:val="43EE6A01"/>
    <w:rsid w:val="45940E0F"/>
    <w:rsid w:val="50E23A41"/>
    <w:rsid w:val="54645881"/>
    <w:rsid w:val="55EC5708"/>
    <w:rsid w:val="560D3D1A"/>
    <w:rsid w:val="56241FDF"/>
    <w:rsid w:val="57225876"/>
    <w:rsid w:val="5BD9413E"/>
    <w:rsid w:val="5CE24DE9"/>
    <w:rsid w:val="66D03901"/>
    <w:rsid w:val="66DB6E7F"/>
    <w:rsid w:val="68A47FBA"/>
    <w:rsid w:val="6BA32EA6"/>
    <w:rsid w:val="719974E5"/>
    <w:rsid w:val="71A2507A"/>
    <w:rsid w:val="72162E3A"/>
    <w:rsid w:val="727608D5"/>
    <w:rsid w:val="72CA79DF"/>
    <w:rsid w:val="73193962"/>
    <w:rsid w:val="739A51B5"/>
    <w:rsid w:val="74FD4DFC"/>
    <w:rsid w:val="7C9E54B7"/>
    <w:rsid w:val="7D6C7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annotation text"/>
    <w:basedOn w:val="1"/>
    <w:unhideWhenUsed/>
    <w:qFormat/>
    <w:uiPriority w:val="99"/>
    <w:pPr>
      <w:jc w:val="left"/>
    </w:pPr>
  </w:style>
  <w:style w:type="paragraph" w:styleId="5">
    <w:name w:val="Body Text"/>
    <w:basedOn w:val="1"/>
    <w:next w:val="6"/>
    <w:qFormat/>
    <w:uiPriority w:val="0"/>
  </w:style>
  <w:style w:type="paragraph" w:styleId="6">
    <w:name w:val="List Bullet 5"/>
    <w:basedOn w:val="1"/>
    <w:qFormat/>
    <w:uiPriority w:val="0"/>
    <w:pPr>
      <w:numPr>
        <w:ilvl w:val="0"/>
        <w:numId w:val="1"/>
      </w:numPr>
    </w:pPr>
  </w:style>
  <w:style w:type="paragraph" w:styleId="7">
    <w:name w:val="Body Text Indent"/>
    <w:basedOn w:val="1"/>
    <w:qFormat/>
    <w:uiPriority w:val="0"/>
    <w:pPr>
      <w:ind w:firstLine="630"/>
    </w:pPr>
    <w:rPr>
      <w:sz w:val="32"/>
      <w:szCs w:val="20"/>
    </w:rPr>
  </w:style>
  <w:style w:type="paragraph" w:styleId="8">
    <w:name w:val="Plain Text"/>
    <w:basedOn w:val="1"/>
    <w:qFormat/>
    <w:uiPriority w:val="0"/>
    <w:pPr>
      <w:spacing w:line="460" w:lineRule="exact"/>
      <w:ind w:firstLine="567"/>
    </w:pPr>
    <w:rPr>
      <w:rFonts w:ascii="宋体" w:hAnsi="Courier New" w:eastAsia="仿宋_GB2312"/>
      <w:sz w:val="28"/>
      <w:szCs w:val="20"/>
    </w:rPr>
  </w:style>
  <w:style w:type="paragraph" w:styleId="9">
    <w:name w:val="toc 1"/>
    <w:basedOn w:val="1"/>
    <w:next w:val="1"/>
    <w:qFormat/>
    <w:uiPriority w:val="0"/>
    <w:pPr>
      <w:spacing w:line="180" w:lineRule="auto"/>
      <w:jc w:val="center"/>
    </w:pPr>
    <w:rPr>
      <w:sz w:val="30"/>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7"/>
    <w:qFormat/>
    <w:uiPriority w:val="0"/>
    <w:pPr>
      <w:ind w:firstLine="420"/>
    </w:p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标题 5（有编号）（绿盟科技）"/>
    <w:basedOn w:val="1"/>
    <w:next w:val="16"/>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1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7">
    <w:name w:val="Table Text"/>
    <w:basedOn w:val="1"/>
    <w:semiHidden/>
    <w:qFormat/>
    <w:uiPriority w:val="0"/>
    <w:rPr>
      <w:rFonts w:ascii="宋体" w:hAnsi="宋体" w:eastAsia="宋体" w:cs="宋体"/>
      <w:sz w:val="16"/>
      <w:szCs w:val="16"/>
      <w:lang w:val="en-US" w:eastAsia="en-US" w:bidi="ar-SA"/>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1749</Words>
  <Characters>1848</Characters>
  <Lines>0</Lines>
  <Paragraphs>0</Paragraphs>
  <TotalTime>2</TotalTime>
  <ScaleCrop>false</ScaleCrop>
  <LinksUpToDate>false</LinksUpToDate>
  <CharactersWithSpaces>1866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2025-07-30T07:06:00Z</dcterms:created>
  <dc:creator>罗珊珊</dc:creator>
  <cp:lastModifiedBy>罗珊珊</cp:lastModifiedBy>
  <dcterms:modified xsi:type="dcterms:W3CDTF">2025-08-22T09:13:40Z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E0DAB8A946D04608A49C224CFA52ABA0_11</vt:lpwstr>
  </property>
  <property fmtid="{D5CDD505-2E9C-101B-9397-08002B2CF9AE}" pid="4" name="KSOTemplateDocerSaveRecord">
    <vt:lpwstr>eyJoZGlkIjoiODcwZmE0ZmU3Y2M1ZWQ5MWU4OTc0ZDQ0OGMzYzM2NmMiLCJ1c2VySWQiOiIxMzE0MjM0OTg5In0=</vt:lpwstr>
  </property>
</Properties>
</file>