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b/>
          <w:bCs/>
          <w:color w:val="000000" w:themeColor="text1"/>
          <w:kern w:val="0"/>
          <w:sz w:val="28"/>
          <w:szCs w:val="2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附件1：采购需求</w:t>
      </w:r>
    </w:p>
    <w:p>
      <w:pPr>
        <w:widowControl/>
        <w:tabs>
          <w:tab w:val="left" w:pos="3573"/>
        </w:tabs>
        <w:spacing w:line="360" w:lineRule="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bookmarkStart w:id="0" w:name="_Toc217446094"/>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前提：本章中标注“</w:t>
      </w:r>
      <w:r>
        <w:rPr>
          <w:rFonts w:hint="eastAsia" w:ascii="仿宋_GB2312" w:hAnsi="仿宋_GB2312" w:eastAsia="仿宋_GB2312" w:cs="仿宋_GB2312"/>
          <w:color w:val="000000" w:themeColor="text1"/>
          <w:spacing w:val="8"/>
          <w:kern w:val="0"/>
          <w:sz w:val="24"/>
          <w:szCs w:val="24"/>
          <w:lang w:val="en-US" w:eastAsia="zh-CN" w:bidi="ar-SA"/>
          <w14:textFill>
            <w14:solidFill>
              <w14:schemeClr w14:val="tx1"/>
            </w14:solidFill>
          </w14:textFill>
        </w:rPr>
        <w:t>★</w:t>
      </w: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”号的条款为本项目的实质性要求，供应商应全部满足，否则其响应文件作无效响应处理。“▲”符号的条款为本项目的重要参数条款，未标识符号的条款为一般参数条款。</w:t>
      </w:r>
    </w:p>
    <w:p>
      <w:pPr>
        <w:pStyle w:val="4"/>
        <w:numPr>
          <w:ilvl w:val="0"/>
          <w:numId w:val="0"/>
        </w:numPr>
        <w:shd w:val="clear"/>
        <w:spacing w:after="0" w:line="360" w:lineRule="auto"/>
        <w:ind w:firstLine="482" w:firstLineChars="200"/>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一、采购项目编号：2025-ZZRSB-001(磋）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宋体" w:hAnsi="宋体" w:eastAsia="宋体" w:cs="仿宋"/>
          <w:b/>
          <w:bCs/>
          <w:kern w:val="0"/>
          <w:sz w:val="24"/>
          <w:szCs w:val="24"/>
          <w:lang w:val="en-US" w:eastAsia="zh-CN" w:bidi="ar-SA"/>
        </w:rPr>
        <w:t>二、采购清单：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宋体" w:hAnsi="宋体" w:eastAsia="宋体" w:cs="仿宋"/>
          <w:b/>
          <w:bCs/>
          <w:kern w:val="0"/>
          <w:sz w:val="24"/>
          <w:szCs w:val="24"/>
          <w:lang w:val="en-US" w:eastAsia="zh-CN" w:bidi="ar-SA"/>
        </w:rPr>
        <w:t>1.年度采购预算：</w:t>
      </w: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3年合计3.3万元</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 xml:space="preserve">2. </w:t>
      </w:r>
      <w:bookmarkEnd w:id="0"/>
      <w:bookmarkStart w:id="1" w:name="_Toc217446095"/>
      <w:r>
        <w:rPr>
          <w:rFonts w:hint="eastAsia" w:ascii="宋体" w:hAnsi="宋体" w:eastAsia="宋体" w:cs="仿宋"/>
          <w:b/>
          <w:bCs/>
          <w:kern w:val="0"/>
          <w:sz w:val="24"/>
          <w:szCs w:val="24"/>
          <w:lang w:val="en-US" w:eastAsia="zh-CN" w:bidi="ar-SA"/>
        </w:rPr>
        <w:t>项目清单及技术要求：</w:t>
      </w:r>
    </w:p>
    <w:tbl>
      <w:tblPr>
        <w:tblStyle w:val="13"/>
        <w:tblW w:w="44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41"/>
        <w:gridCol w:w="1758"/>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21" w:type="pct"/>
            <w:vMerge w:val="restart"/>
            <w:noWrap w:val="0"/>
            <w:vAlign w:val="center"/>
          </w:tcPr>
          <w:p>
            <w:pPr>
              <w:widowControl/>
              <w:wordWrap w:val="0"/>
              <w:spacing w:line="270" w:lineRule="atLeast"/>
              <w:jc w:val="center"/>
              <w:rPr>
                <w:rFonts w:hint="eastAsia" w:ascii="宋体" w:hAnsi="宋体" w:cs="Segoe UI"/>
                <w:b/>
                <w:bCs/>
                <w:kern w:val="0"/>
                <w:sz w:val="18"/>
                <w:szCs w:val="18"/>
                <w:lang w:val="en-US" w:eastAsia="zh-CN"/>
              </w:rPr>
            </w:pPr>
            <w:r>
              <w:rPr>
                <w:rFonts w:hint="eastAsia" w:ascii="宋体" w:hAnsi="宋体" w:cs="Segoe UI"/>
                <w:b/>
                <w:bCs/>
                <w:kern w:val="0"/>
                <w:sz w:val="18"/>
                <w:szCs w:val="18"/>
                <w:lang w:val="en-US" w:eastAsia="zh-CN"/>
              </w:rPr>
              <w:t>项目清单及</w:t>
            </w:r>
          </w:p>
          <w:p>
            <w:pPr>
              <w:widowControl/>
              <w:wordWrap w:val="0"/>
              <w:spacing w:line="270" w:lineRule="atLeast"/>
              <w:jc w:val="center"/>
              <w:rPr>
                <w:rFonts w:hint="default" w:eastAsia="宋体"/>
                <w:color w:val="000000"/>
                <w:lang w:val="en-US" w:eastAsia="zh-CN"/>
              </w:rPr>
            </w:pPr>
            <w:r>
              <w:rPr>
                <w:rFonts w:hint="eastAsia" w:ascii="宋体" w:hAnsi="宋体" w:eastAsia="宋体" w:cs="Segoe UI"/>
                <w:b/>
                <w:bCs/>
                <w:kern w:val="0"/>
                <w:sz w:val="18"/>
                <w:szCs w:val="18"/>
                <w:lang w:val="en-US" w:eastAsia="zh-CN"/>
              </w:rPr>
              <w:t>服务范围</w:t>
            </w:r>
          </w:p>
        </w:tc>
        <w:tc>
          <w:tcPr>
            <w:tcW w:w="955"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1165" w:type="pct"/>
            <w:noWrap w:val="0"/>
            <w:vAlign w:val="center"/>
          </w:tcPr>
          <w:p>
            <w:pPr>
              <w:autoSpaceDE w:val="0"/>
              <w:autoSpaceDN w:val="0"/>
              <w:jc w:val="center"/>
              <w:rPr>
                <w:rFonts w:hint="default" w:ascii="宋体" w:hAnsi="宋体"/>
                <w:b/>
                <w:sz w:val="18"/>
                <w:szCs w:val="18"/>
                <w:lang w:val="en-US"/>
              </w:rPr>
            </w:pPr>
            <w:r>
              <w:rPr>
                <w:rFonts w:hint="eastAsia" w:ascii="宋体" w:hAnsi="宋体"/>
                <w:b/>
                <w:sz w:val="18"/>
                <w:szCs w:val="18"/>
              </w:rPr>
              <w:t>预估年</w:t>
            </w:r>
            <w:r>
              <w:rPr>
                <w:rFonts w:hint="eastAsia" w:ascii="宋体" w:hAnsi="宋体"/>
                <w:b/>
                <w:sz w:val="18"/>
                <w:szCs w:val="18"/>
                <w:lang w:val="en-US" w:eastAsia="zh-CN"/>
              </w:rPr>
              <w:t>度代管量</w:t>
            </w:r>
          </w:p>
        </w:tc>
        <w:tc>
          <w:tcPr>
            <w:tcW w:w="1857" w:type="pct"/>
            <w:noWrap w:val="0"/>
            <w:vAlign w:val="center"/>
          </w:tcPr>
          <w:p>
            <w:pPr>
              <w:autoSpaceDE w:val="0"/>
              <w:autoSpaceDN w:val="0"/>
              <w:jc w:val="center"/>
              <w:rPr>
                <w:rFonts w:hint="default" w:ascii="宋体" w:hAnsi="宋体" w:eastAsiaTheme="minorEastAsia"/>
                <w:b/>
                <w:sz w:val="18"/>
                <w:szCs w:val="18"/>
                <w:lang w:val="en-US" w:eastAsia="zh-CN"/>
              </w:rPr>
            </w:pPr>
            <w:r>
              <w:rPr>
                <w:rFonts w:hint="eastAsia" w:ascii="宋体" w:hAnsi="宋体"/>
                <w:b/>
                <w:sz w:val="18"/>
                <w:szCs w:val="18"/>
                <w:lang w:val="en-US" w:eastAsia="zh-CN"/>
              </w:rPr>
              <w:t>服务范围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021" w:type="pct"/>
            <w:vMerge w:val="continue"/>
            <w:noWrap w:val="0"/>
            <w:vAlign w:val="center"/>
          </w:tcPr>
          <w:p>
            <w:pPr>
              <w:spacing w:line="420" w:lineRule="exact"/>
              <w:jc w:val="center"/>
              <w:rPr>
                <w:rFonts w:hint="eastAsia" w:cs="宋体"/>
                <w:color w:val="000000"/>
                <w:kern w:val="0"/>
              </w:rPr>
            </w:pPr>
          </w:p>
        </w:tc>
        <w:tc>
          <w:tcPr>
            <w:tcW w:w="955" w:type="pct"/>
            <w:noWrap w:val="0"/>
            <w:vAlign w:val="center"/>
          </w:tcPr>
          <w:p>
            <w:pPr>
              <w:widowControl/>
              <w:wordWrap w:val="0"/>
              <w:spacing w:line="270" w:lineRule="atLeast"/>
              <w:jc w:val="center"/>
              <w:rPr>
                <w:rFonts w:hint="default" w:ascii="宋体" w:hAnsi="宋体" w:cs="Segoe UI"/>
                <w:kern w:val="0"/>
                <w:sz w:val="18"/>
                <w:szCs w:val="18"/>
                <w:lang w:val="en-US" w:eastAsia="zh-CN"/>
              </w:rPr>
            </w:pPr>
            <w:r>
              <w:rPr>
                <w:rFonts w:hint="eastAsia" w:ascii="宋体" w:hAnsi="宋体" w:cs="Segoe UI"/>
                <w:kern w:val="0"/>
                <w:sz w:val="18"/>
                <w:szCs w:val="18"/>
                <w:lang w:val="en-US" w:eastAsia="zh-CN"/>
              </w:rPr>
              <w:t>人事档案代管项目</w:t>
            </w:r>
          </w:p>
        </w:tc>
        <w:tc>
          <w:tcPr>
            <w:tcW w:w="1165" w:type="pct"/>
            <w:noWrap w:val="0"/>
            <w:vAlign w:val="center"/>
          </w:tcPr>
          <w:p>
            <w:pPr>
              <w:widowControl/>
              <w:wordWrap w:val="0"/>
              <w:spacing w:line="270" w:lineRule="atLeast"/>
              <w:ind w:firstLine="180" w:firstLineChars="100"/>
              <w:jc w:val="center"/>
              <w:rPr>
                <w:rFonts w:hint="default" w:ascii="宋体" w:hAnsi="宋体" w:cs="Segoe UI"/>
                <w:kern w:val="0"/>
                <w:sz w:val="18"/>
                <w:szCs w:val="18"/>
                <w:lang w:val="en-US" w:eastAsia="zh-CN"/>
              </w:rPr>
            </w:pPr>
            <w:r>
              <w:rPr>
                <w:rFonts w:hint="eastAsia" w:ascii="宋体" w:hAnsi="宋体" w:cs="Segoe UI"/>
                <w:kern w:val="0"/>
                <w:sz w:val="18"/>
                <w:szCs w:val="18"/>
                <w:lang w:val="en-US" w:eastAsia="zh-CN"/>
              </w:rPr>
              <w:t>200份</w:t>
            </w:r>
          </w:p>
        </w:tc>
        <w:tc>
          <w:tcPr>
            <w:tcW w:w="18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宋体" w:hAnsi="宋体" w:cs="Segoe UI"/>
                <w:kern w:val="0"/>
                <w:sz w:val="18"/>
                <w:szCs w:val="18"/>
                <w:lang w:val="en-US" w:eastAsia="zh-CN"/>
              </w:rPr>
            </w:pPr>
            <w:r>
              <w:rPr>
                <w:rFonts w:hint="eastAsia" w:ascii="宋体" w:hAnsi="宋体" w:cs="Segoe UI"/>
                <w:b w:val="0"/>
                <w:bCs w:val="0"/>
                <w:kern w:val="0"/>
                <w:sz w:val="18"/>
                <w:szCs w:val="18"/>
                <w:lang w:val="en-US" w:eastAsia="zh-CN"/>
              </w:rPr>
              <w:t>★提供人事档案保管、转入转出、档案信息咨询、查阅及使用服务。</w:t>
            </w:r>
          </w:p>
        </w:tc>
      </w:tr>
      <w:bookmarkEnd w:id="1"/>
    </w:tbl>
    <w:p>
      <w:pPr>
        <w:pStyle w:val="4"/>
        <w:numPr>
          <w:ilvl w:val="0"/>
          <w:numId w:val="0"/>
        </w:numPr>
        <w:shd w:val="clear"/>
        <w:spacing w:after="0" w:line="360" w:lineRule="auto"/>
        <w:ind w:firstLine="482" w:firstLineChars="200"/>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三、技术要求</w:t>
      </w:r>
    </w:p>
    <w:p>
      <w:pPr>
        <w:widowControl/>
        <w:tabs>
          <w:tab w:val="left" w:pos="3573"/>
        </w:tabs>
        <w:spacing w:line="360" w:lineRule="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 xml:space="preserve">   ★1.存储条件满足中华人民共和国档案行业标准《档案保管外包服务管理规范DA/T67-2017》。（提供承诺函并加盖公章）</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▲2.库房建筑为钢混或框架结构，场地权属清晰，保证在托管期间无法律纠纷。如为租赁库房，租赁期不得低于本项目服务期。（提供证明材料或承诺函并加盖公章）</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★3.按照《中华人民共和国档案法实施条例》相关要求，库房符合“防火、防盗、防水、防光、防尘、防有害气体、防有害生物以及温湿度调控”等“八防”标准。（提供相应图片资料）。</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★4.提供转运车辆，有专人负责。转运过程中安全责任由供应商承担。</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★5.提供对档案交接、打包、搬运、装车、转运、卸车、入库等服务。负责将采购人原始人事档案按份转运至托管库房，过程中发生的所有费用均包含在报价合计中。</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▲6.供应商应在接到采购人代管通知后一周内安排档案运输和入库工作。</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▲7.有完善的档案存储库房安全管理、交接、保管、信息保密、查借阅等制度。</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★8.供应商应确保所代管档案内容保密，未经许可不得擅自开启和翻阅、不泄露档案信息，履行保密责任。（提供承诺函并加盖公章）</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▲9.按要求提供档案代管量、调阅量、转入转出量等信息报表服务。</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▲10.每年不限档案转入转出数量，费用包含在报价里。</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▲11.合同执行期满后，供应商经与采购人核对无误后，将所保管的全部档案转运至指定地点，费用包含在报价里。</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12.具有档案管理服务类相关证书，如环境管理体系认证证书、信息安全管理体系认证证书等（提供证明材料并加盖公章）。</w:t>
      </w:r>
    </w:p>
    <w:p>
      <w:pPr>
        <w:pStyle w:val="4"/>
        <w:shd w:val="clear"/>
        <w:spacing w:after="0" w:line="360" w:lineRule="auto"/>
        <w:ind w:firstLine="176" w:firstLineChars="98"/>
        <w:rPr>
          <w:rFonts w:hint="eastAsia" w:ascii="宋体" w:hAnsi="宋体" w:eastAsia="宋体" w:cs="仿宋"/>
          <w:sz w:val="24"/>
          <w:szCs w:val="24"/>
        </w:rPr>
      </w:pPr>
      <w:r>
        <w:rPr>
          <w:rFonts w:hint="eastAsia" w:ascii="宋体" w:hAnsi="宋体" w:cs="Segoe UI"/>
          <w:b w:val="0"/>
          <w:bCs w:val="0"/>
          <w:kern w:val="0"/>
          <w:sz w:val="18"/>
          <w:szCs w:val="18"/>
          <w:lang w:val="en-US" w:eastAsia="zh-CN"/>
        </w:rPr>
        <w:t>★</w:t>
      </w:r>
      <w:r>
        <w:rPr>
          <w:rFonts w:hint="eastAsia" w:ascii="宋体" w:hAnsi="宋体" w:eastAsia="宋体" w:cs="仿宋"/>
          <w:sz w:val="24"/>
          <w:szCs w:val="24"/>
          <w:lang w:val="en-US" w:eastAsia="zh-CN"/>
        </w:rPr>
        <w:t>商务</w:t>
      </w:r>
      <w:r>
        <w:rPr>
          <w:rFonts w:hint="eastAsia" w:ascii="宋体" w:hAnsi="宋体" w:eastAsia="宋体" w:cs="仿宋"/>
          <w:sz w:val="24"/>
          <w:szCs w:val="24"/>
        </w:rPr>
        <w:t>要求</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1.服务期限：合同签订后，自代管之日起3年，合同一年一签。3年实际结算不超过采购预算总价。</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2.付款方式：根据实际档案代管数量付款。每年服务期结束前一周，根据实际人事档案代管数量，实际付款金额=实际代管数量*单价，由供应商开具发票并提出付款申请后30个工作日内采购人支付实际费用的100%。</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3.报价要求：按照单价报价，份/年，代管费报价单含代管费、搬运费、运输费等完成本项目服务的一切费用，采购人不额外支付费用。</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bookmarkStart w:id="7" w:name="_GoBack"/>
      <w:r>
        <w:rPr>
          <w:rFonts w:hint="eastAsia" w:ascii="仿宋_GB2312" w:hAnsi="Segoe UI" w:eastAsia="仿宋_GB2312" w:cs="Segoe UI"/>
          <w:b/>
          <w:bCs/>
          <w:color w:val="000000" w:themeColor="text1"/>
          <w:kern w:val="0"/>
          <w:sz w:val="28"/>
          <w:szCs w:val="28"/>
          <w14:textFill>
            <w14:solidFill>
              <w14:schemeClr w14:val="tx1"/>
            </w14:solidFill>
          </w14:textFill>
        </w:rPr>
        <w:t>附件2：评审办法</w:t>
      </w:r>
      <w:r>
        <w:rPr>
          <w:rFonts w:hint="eastAsia" w:ascii="仿宋_GB2312" w:hAnsi="Segoe UI" w:eastAsia="仿宋_GB2312" w:cs="Segoe UI"/>
          <w:b/>
          <w:bCs/>
          <w:color w:val="000000" w:themeColor="text1"/>
          <w:kern w:val="0"/>
          <w:sz w:val="28"/>
          <w:szCs w:val="28"/>
          <w:lang w:eastAsia="zh-CN"/>
          <w14:textFill>
            <w14:solidFill>
              <w14:schemeClr w14:val="tx1"/>
            </w14:solidFill>
          </w14:textFill>
        </w:rPr>
        <w:t>：</w:t>
      </w: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本项目采用综合评分法，</w:t>
      </w:r>
      <w:r>
        <w:rPr>
          <w:rFonts w:hint="eastAsia" w:ascii="仿宋_GB2312" w:hAnsi="Segoe UI" w:eastAsia="仿宋_GB2312" w:cs="Segoe UI"/>
          <w:color w:val="000000" w:themeColor="text1"/>
          <w:spacing w:val="8"/>
          <w:kern w:val="0"/>
          <w:sz w:val="24"/>
          <w:szCs w:val="24"/>
          <w:lang w:val="zh-CN" w:eastAsia="zh-CN" w:bidi="ar-SA"/>
          <w14:textFill>
            <w14:solidFill>
              <w14:schemeClr w14:val="tx1"/>
            </w14:solidFill>
          </w14:textFill>
        </w:rPr>
        <w:t>评审委员会</w:t>
      </w: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将对各投标人的</w:t>
      </w:r>
      <w:bookmarkEnd w:id="7"/>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报价、技术服务、实施方案、设施及人员条件、履约能力等方面进行综合评审，对实质上响应招标文件的投标人，由评委进行综合打分。经统计得出各投标人的最终评审分（计算结果按四舍五入取小数点后二位），按最终评审分由高到低顺序排列。根据上述评标原则，分值安排如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pP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综合评分明细表</w:t>
      </w:r>
    </w:p>
    <w:tbl>
      <w:tblPr>
        <w:tblStyle w:val="13"/>
        <w:tblW w:w="53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024"/>
        <w:gridCol w:w="630"/>
        <w:gridCol w:w="5955"/>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10"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61"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345"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3265"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516"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310"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561"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报价</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20</w:t>
            </w:r>
            <w:r>
              <w:rPr>
                <w:rFonts w:hint="eastAsia" w:ascii="宋体" w:hAnsi="宋体" w:cs="Segoe UI"/>
                <w:color w:val="000000"/>
                <w:kern w:val="0"/>
                <w:sz w:val="18"/>
                <w:szCs w:val="18"/>
              </w:rPr>
              <w:t>%</w:t>
            </w:r>
          </w:p>
        </w:tc>
        <w:tc>
          <w:tcPr>
            <w:tcW w:w="345"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20</w:t>
            </w:r>
          </w:p>
        </w:tc>
        <w:tc>
          <w:tcPr>
            <w:tcW w:w="3265" w:type="pct"/>
            <w:noWrap w:val="0"/>
            <w:vAlign w:val="center"/>
          </w:tcPr>
          <w:p>
            <w:pPr>
              <w:widowControl/>
              <w:wordWrap w:val="0"/>
              <w:spacing w:line="270" w:lineRule="atLeast"/>
              <w:jc w:val="left"/>
              <w:rPr>
                <w:rFonts w:hint="eastAsia" w:ascii="宋体" w:hAnsi="宋体" w:cs="Segoe UI" w:eastAsiaTheme="minorEastAsia"/>
                <w:b/>
                <w:kern w:val="0"/>
                <w:sz w:val="18"/>
                <w:szCs w:val="18"/>
                <w:lang w:val="en-US" w:eastAsia="zh-CN" w:bidi="ar-SA"/>
              </w:rPr>
            </w:pPr>
            <w:r>
              <w:rPr>
                <w:rFonts w:hint="eastAsia" w:ascii="宋体" w:hAnsi="宋体" w:cs="Segoe UI"/>
                <w:color w:val="000000"/>
                <w:kern w:val="0"/>
                <w:sz w:val="18"/>
                <w:szCs w:val="18"/>
                <w:lang w:val="en-US" w:eastAsia="zh-CN"/>
              </w:rPr>
              <w:t>统-采用低价优先法计算，即满足磋商文件要求且最终最低的报价为基准价，其价格分为满分。其他投标人的价格分统--按照下列公式计算:最终报价得分=(基准价/磋商后最终报价)x权重x100(保留两位小数)。</w:t>
            </w:r>
          </w:p>
        </w:tc>
        <w:tc>
          <w:tcPr>
            <w:tcW w:w="516" w:type="pct"/>
            <w:noWrap w:val="0"/>
            <w:vAlign w:val="center"/>
          </w:tcPr>
          <w:p>
            <w:pPr>
              <w:widowControl/>
              <w:numPr>
                <w:ilvl w:val="0"/>
                <w:numId w:val="0"/>
              </w:numPr>
              <w:wordWrap w:val="0"/>
              <w:spacing w:line="270" w:lineRule="atLeast"/>
              <w:jc w:val="center"/>
              <w:rPr>
                <w:rFonts w:hint="eastAsia" w:ascii="宋体" w:hAnsi="宋体" w:cs="Segoe UI"/>
                <w:kern w:val="0"/>
                <w:sz w:val="18"/>
                <w:szCs w:val="18"/>
                <w:lang w:val="en-US" w:eastAsia="zh-CN"/>
              </w:rPr>
            </w:pPr>
          </w:p>
          <w:p>
            <w:pPr>
              <w:widowControl/>
              <w:numPr>
                <w:ilvl w:val="0"/>
                <w:numId w:val="0"/>
              </w:numPr>
              <w:wordWrap w:val="0"/>
              <w:spacing w:line="270" w:lineRule="atLeast"/>
              <w:jc w:val="center"/>
              <w:rPr>
                <w:rFonts w:ascii="宋体" w:hAnsi="宋体" w:cs="Segoe UI"/>
                <w:kern w:val="0"/>
                <w:sz w:val="18"/>
                <w:szCs w:val="18"/>
                <w:lang w:val="en-US" w:eastAsia="zh-CN" w:bidi="ar-SA"/>
              </w:rPr>
            </w:pPr>
            <w:r>
              <w:rPr>
                <w:rFonts w:hint="eastAsia" w:ascii="宋体" w:hAnsi="宋体" w:cs="Segoe UI"/>
                <w:kern w:val="0"/>
                <w:sz w:val="18"/>
                <w:szCs w:val="18"/>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310" w:type="pct"/>
            <w:noWrap w:val="0"/>
            <w:vAlign w:val="center"/>
          </w:tcPr>
          <w:p>
            <w:pPr>
              <w:widowControl/>
              <w:wordWrap w:val="0"/>
              <w:spacing w:line="270" w:lineRule="atLeast"/>
              <w:jc w:val="center"/>
              <w:rPr>
                <w:rFonts w:hint="eastAsia" w:ascii="宋体" w:hAnsi="宋体" w:cs="Segoe UI" w:eastAsiaTheme="minorEastAsia"/>
                <w:color w:val="000000"/>
                <w:kern w:val="0"/>
                <w:sz w:val="18"/>
                <w:szCs w:val="18"/>
                <w:lang w:val="en-US" w:eastAsia="zh-CN"/>
              </w:rPr>
            </w:pPr>
            <w:r>
              <w:rPr>
                <w:rFonts w:hint="eastAsia" w:ascii="宋体" w:hAnsi="宋体" w:cs="Segoe UI"/>
                <w:color w:val="000000"/>
                <w:kern w:val="0"/>
                <w:sz w:val="18"/>
                <w:szCs w:val="18"/>
                <w:lang w:val="en-US" w:eastAsia="zh-CN"/>
              </w:rPr>
              <w:t>2</w:t>
            </w:r>
          </w:p>
        </w:tc>
        <w:tc>
          <w:tcPr>
            <w:tcW w:w="561" w:type="pct"/>
            <w:noWrap w:val="0"/>
            <w:vAlign w:val="center"/>
          </w:tcPr>
          <w:p>
            <w:pPr>
              <w:widowControl/>
              <w:wordWrap w:val="0"/>
              <w:spacing w:line="270" w:lineRule="atLeast"/>
              <w:jc w:val="center"/>
              <w:rPr>
                <w:rFonts w:hint="eastAsia" w:ascii="宋体" w:hAnsi="宋体" w:cs="Segoe UI"/>
                <w:color w:val="000000"/>
                <w:kern w:val="0"/>
                <w:sz w:val="18"/>
                <w:szCs w:val="18"/>
                <w:lang w:val="nl-NL" w:eastAsia="nl-NL"/>
              </w:rPr>
            </w:pPr>
            <w:r>
              <w:rPr>
                <w:rFonts w:hint="eastAsia" w:ascii="宋体" w:hAnsi="宋体" w:cs="Segoe UI"/>
                <w:color w:val="000000"/>
                <w:kern w:val="0"/>
                <w:sz w:val="18"/>
                <w:szCs w:val="18"/>
                <w:lang w:val="nl-NL" w:eastAsia="nl-NL"/>
              </w:rPr>
              <w:t>技术</w:t>
            </w:r>
            <w:r>
              <w:rPr>
                <w:rFonts w:hint="eastAsia" w:ascii="宋体" w:hAnsi="宋体" w:cs="Segoe UI"/>
                <w:color w:val="000000"/>
                <w:kern w:val="0"/>
                <w:sz w:val="18"/>
                <w:szCs w:val="18"/>
                <w:lang w:val="en-US" w:eastAsia="zh-CN"/>
              </w:rPr>
              <w:t>服务</w:t>
            </w:r>
            <w:r>
              <w:rPr>
                <w:rFonts w:hint="eastAsia" w:ascii="宋体" w:hAnsi="宋体" w:cs="Segoe UI"/>
                <w:color w:val="000000"/>
                <w:kern w:val="0"/>
                <w:sz w:val="18"/>
                <w:szCs w:val="18"/>
                <w:lang w:val="nl-NL" w:eastAsia="nl-NL"/>
              </w:rPr>
              <w:t>要求</w:t>
            </w:r>
          </w:p>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30%</w:t>
            </w:r>
          </w:p>
        </w:tc>
        <w:tc>
          <w:tcPr>
            <w:tcW w:w="345"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30</w:t>
            </w:r>
          </w:p>
        </w:tc>
        <w:tc>
          <w:tcPr>
            <w:tcW w:w="3265" w:type="pct"/>
            <w:noWrap w:val="0"/>
            <w:vAlign w:val="center"/>
          </w:tcPr>
          <w:p>
            <w:pPr>
              <w:widowControl/>
              <w:shd w:val="clear" w:color="auto" w:fill="FFFFFF"/>
              <w:spacing w:beforeAutospacing="0" w:after="240" w:afterAutospacing="0" w:line="351" w:lineRule="atLeast"/>
              <w:jc w:val="left"/>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★为实质性条款，必须全部满足，不允许负偏离。▲为重要参数（共6条），完全符合得满分，不满足或负偏离一项扣3分，扣完为止。一般条款共1项，提供相关认证证书1项得1分，最高不超过3分。</w:t>
            </w:r>
          </w:p>
        </w:tc>
        <w:tc>
          <w:tcPr>
            <w:tcW w:w="516" w:type="pct"/>
            <w:noWrap w:val="0"/>
            <w:vAlign w:val="center"/>
          </w:tcPr>
          <w:p>
            <w:pPr>
              <w:widowControl/>
              <w:wordWrap w:val="0"/>
              <w:spacing w:line="270" w:lineRule="atLeast"/>
              <w:jc w:val="center"/>
              <w:rPr>
                <w:rFonts w:hint="eastAsia" w:ascii="宋体" w:hAnsi="宋体" w:cs="Segoe UI"/>
                <w:kern w:val="0"/>
                <w:sz w:val="18"/>
                <w:szCs w:val="18"/>
                <w:lang w:val="en-US" w:eastAsia="zh-CN"/>
              </w:rPr>
            </w:pPr>
            <w:r>
              <w:rPr>
                <w:rFonts w:hint="eastAsia" w:ascii="宋体" w:hAnsi="宋体" w:cs="Segoe UI"/>
                <w:kern w:val="0"/>
                <w:sz w:val="18"/>
                <w:szCs w:val="18"/>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310" w:type="pct"/>
            <w:noWrap w:val="0"/>
            <w:vAlign w:val="center"/>
          </w:tcPr>
          <w:p>
            <w:pPr>
              <w:widowControl/>
              <w:wordWrap w:val="0"/>
              <w:spacing w:line="270" w:lineRule="atLeast"/>
              <w:jc w:val="center"/>
              <w:rPr>
                <w:rFonts w:hint="eastAsia" w:ascii="宋体" w:hAnsi="宋体" w:cs="Segoe UI" w:eastAsiaTheme="minorEastAsia"/>
                <w:color w:val="000000"/>
                <w:kern w:val="0"/>
                <w:sz w:val="18"/>
                <w:szCs w:val="18"/>
                <w:lang w:val="en-US" w:eastAsia="zh-CN"/>
              </w:rPr>
            </w:pPr>
            <w:r>
              <w:rPr>
                <w:rFonts w:hint="eastAsia" w:ascii="宋体" w:hAnsi="宋体" w:cs="Segoe UI"/>
                <w:color w:val="000000"/>
                <w:kern w:val="0"/>
                <w:sz w:val="18"/>
                <w:szCs w:val="18"/>
                <w:lang w:val="en-US" w:eastAsia="zh-CN"/>
              </w:rPr>
              <w:t>3</w:t>
            </w:r>
          </w:p>
        </w:tc>
        <w:tc>
          <w:tcPr>
            <w:tcW w:w="561"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实施方案</w:t>
            </w:r>
          </w:p>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30%</w:t>
            </w:r>
          </w:p>
        </w:tc>
        <w:tc>
          <w:tcPr>
            <w:tcW w:w="345" w:type="pct"/>
            <w:noWrap w:val="0"/>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30</w:t>
            </w:r>
          </w:p>
        </w:tc>
        <w:tc>
          <w:tcPr>
            <w:tcW w:w="3265" w:type="pct"/>
            <w:noWrap w:val="0"/>
            <w:vAlign w:val="center"/>
          </w:tcPr>
          <w:p>
            <w:pPr>
              <w:widowControl/>
              <w:wordWrap w:val="0"/>
              <w:spacing w:line="270" w:lineRule="atLeast"/>
              <w:jc w:val="left"/>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根据供应商提供的项目方案进行评审，包含：1.标准人事档案存储方案；2.服务流程；3.专业人员配置；4.安全保障措施；5.档案管理制度。符合本项目实际情况、有利于项目实施的得30分。每缺少一项或提供的方案与本项目无关的扣6分；每有一项存在缺陷(缺陷是指:内容涉及的规范或标准错误、套用其他项目内容、内容与本项目无关、内容不利于项目实施的任意一种情形）的扣3分，分值扣完为止。</w:t>
            </w:r>
          </w:p>
        </w:tc>
        <w:tc>
          <w:tcPr>
            <w:tcW w:w="516" w:type="pct"/>
            <w:noWrap w:val="0"/>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310" w:type="pct"/>
            <w:noWrap w:val="0"/>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4</w:t>
            </w:r>
          </w:p>
        </w:tc>
        <w:tc>
          <w:tcPr>
            <w:tcW w:w="561"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设施及人员条件</w:t>
            </w:r>
          </w:p>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15%</w:t>
            </w:r>
          </w:p>
        </w:tc>
        <w:tc>
          <w:tcPr>
            <w:tcW w:w="345" w:type="pct"/>
            <w:noWrap w:val="0"/>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15</w:t>
            </w:r>
          </w:p>
        </w:tc>
        <w:tc>
          <w:tcPr>
            <w:tcW w:w="3265" w:type="pct"/>
            <w:noWrap w:val="0"/>
            <w:vAlign w:val="center"/>
          </w:tcPr>
          <w:p>
            <w:pPr>
              <w:widowControl/>
              <w:wordWrap w:val="0"/>
              <w:spacing w:line="270" w:lineRule="atLeast"/>
              <w:jc w:val="left"/>
              <w:rPr>
                <w:rFonts w:hint="default"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提供标准人事档案存放设备的得10分；管理人员取得国家级档案管理职业资格证或职称的得2分；具备独立机要通道资质的得3分。</w:t>
            </w:r>
          </w:p>
        </w:tc>
        <w:tc>
          <w:tcPr>
            <w:tcW w:w="516"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310" w:type="pct"/>
            <w:noWrap w:val="0"/>
            <w:vAlign w:val="center"/>
          </w:tcPr>
          <w:p>
            <w:pPr>
              <w:widowControl/>
              <w:wordWrap w:val="0"/>
              <w:spacing w:line="270" w:lineRule="atLeast"/>
              <w:jc w:val="center"/>
              <w:rPr>
                <w:rFonts w:hint="eastAsia" w:ascii="宋体" w:hAnsi="宋体" w:cs="Segoe UI" w:eastAsiaTheme="minorEastAsia"/>
                <w:color w:val="000000"/>
                <w:kern w:val="0"/>
                <w:sz w:val="18"/>
                <w:szCs w:val="18"/>
                <w:lang w:val="en-US" w:eastAsia="zh-CN"/>
              </w:rPr>
            </w:pPr>
            <w:r>
              <w:rPr>
                <w:rFonts w:hint="eastAsia" w:ascii="宋体" w:hAnsi="宋体" w:cs="Segoe UI"/>
                <w:color w:val="000000"/>
                <w:kern w:val="0"/>
                <w:sz w:val="18"/>
                <w:szCs w:val="18"/>
                <w:lang w:val="en-US" w:eastAsia="zh-CN"/>
              </w:rPr>
              <w:t>5</w:t>
            </w:r>
          </w:p>
        </w:tc>
        <w:tc>
          <w:tcPr>
            <w:tcW w:w="561"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履约能力5%</w:t>
            </w:r>
          </w:p>
        </w:tc>
        <w:tc>
          <w:tcPr>
            <w:tcW w:w="345" w:type="pct"/>
            <w:noWrap w:val="0"/>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5</w:t>
            </w:r>
          </w:p>
        </w:tc>
        <w:tc>
          <w:tcPr>
            <w:tcW w:w="3265" w:type="pct"/>
            <w:noWrap w:val="0"/>
            <w:vAlign w:val="center"/>
          </w:tcPr>
          <w:p>
            <w:pPr>
              <w:widowControl/>
              <w:wordWrap w:val="0"/>
              <w:spacing w:line="270" w:lineRule="atLeast"/>
              <w:jc w:val="left"/>
              <w:rPr>
                <w:rFonts w:hint="default"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供应商提供自2022年8月1日（含）至今（以合同签订日期为准）的类似项目业绩</w:t>
            </w:r>
            <w:r>
              <w:rPr>
                <w:rFonts w:hint="eastAsia" w:ascii="宋体" w:hAnsi="宋体" w:cs="Segoe UI"/>
                <w:color w:val="000000"/>
                <w:kern w:val="0"/>
                <w:sz w:val="18"/>
                <w:szCs w:val="18"/>
                <w:lang w:val="nl-NL" w:eastAsia="nl-NL"/>
              </w:rPr>
              <w:t>，每有一个得</w:t>
            </w:r>
            <w:r>
              <w:rPr>
                <w:rFonts w:hint="eastAsia" w:ascii="宋体" w:hAnsi="宋体" w:cs="Segoe UI"/>
                <w:color w:val="000000"/>
                <w:kern w:val="0"/>
                <w:sz w:val="18"/>
                <w:szCs w:val="18"/>
                <w:lang w:val="en-US" w:eastAsia="zh-CN"/>
              </w:rPr>
              <w:t>1</w:t>
            </w:r>
            <w:r>
              <w:rPr>
                <w:rFonts w:hint="eastAsia" w:ascii="宋体" w:hAnsi="宋体" w:cs="Segoe UI"/>
                <w:color w:val="000000"/>
                <w:kern w:val="0"/>
                <w:sz w:val="18"/>
                <w:szCs w:val="18"/>
                <w:lang w:val="nl-NL" w:eastAsia="nl-NL"/>
              </w:rPr>
              <w:t>分，最多得</w:t>
            </w:r>
            <w:r>
              <w:rPr>
                <w:rFonts w:hint="eastAsia" w:ascii="宋体" w:hAnsi="宋体" w:cs="Segoe UI"/>
                <w:color w:val="000000"/>
                <w:kern w:val="0"/>
                <w:sz w:val="18"/>
                <w:szCs w:val="18"/>
                <w:lang w:val="en-US" w:eastAsia="zh-CN"/>
              </w:rPr>
              <w:t>5</w:t>
            </w:r>
            <w:r>
              <w:rPr>
                <w:rFonts w:hint="eastAsia" w:ascii="宋体" w:hAnsi="宋体" w:cs="Segoe UI"/>
                <w:color w:val="000000"/>
                <w:kern w:val="0"/>
                <w:sz w:val="18"/>
                <w:szCs w:val="18"/>
                <w:lang w:val="nl-NL" w:eastAsia="nl-NL"/>
              </w:rPr>
              <w:t>分。</w:t>
            </w:r>
            <w:r>
              <w:rPr>
                <w:rFonts w:hint="eastAsia" w:ascii="宋体" w:hAnsi="宋体" w:cs="Segoe UI"/>
                <w:color w:val="000000"/>
                <w:kern w:val="0"/>
                <w:sz w:val="18"/>
                <w:szCs w:val="18"/>
                <w:lang w:val="nl-NL" w:eastAsia="zh-CN"/>
              </w:rPr>
              <w:t>（</w:t>
            </w:r>
            <w:r>
              <w:rPr>
                <w:rFonts w:hint="eastAsia" w:ascii="宋体" w:hAnsi="宋体" w:cs="Segoe UI"/>
                <w:color w:val="000000"/>
                <w:kern w:val="0"/>
                <w:sz w:val="18"/>
                <w:szCs w:val="18"/>
                <w:lang w:val="nl-NL" w:eastAsia="nl-NL"/>
              </w:rPr>
              <w:t>注：需提供合同复印件加盖</w:t>
            </w:r>
            <w:r>
              <w:rPr>
                <w:rFonts w:hint="eastAsia" w:ascii="宋体" w:hAnsi="宋体" w:cs="Segoe UI"/>
                <w:color w:val="000000"/>
                <w:kern w:val="0"/>
                <w:sz w:val="18"/>
                <w:szCs w:val="18"/>
                <w:lang w:val="en-US" w:eastAsia="zh-CN"/>
              </w:rPr>
              <w:t>投标人</w:t>
            </w:r>
            <w:r>
              <w:rPr>
                <w:rFonts w:hint="eastAsia" w:ascii="宋体" w:hAnsi="宋体" w:cs="Segoe UI"/>
                <w:color w:val="000000"/>
                <w:kern w:val="0"/>
                <w:sz w:val="18"/>
                <w:szCs w:val="18"/>
                <w:lang w:val="nl-NL" w:eastAsia="nl-NL"/>
              </w:rPr>
              <w:t>公章，不提供不得分</w:t>
            </w:r>
            <w:r>
              <w:rPr>
                <w:rFonts w:hint="eastAsia" w:ascii="宋体" w:hAnsi="宋体" w:cs="Segoe UI"/>
                <w:color w:val="000000"/>
                <w:kern w:val="0"/>
                <w:sz w:val="18"/>
                <w:szCs w:val="18"/>
                <w:lang w:val="nl-NL" w:eastAsia="zh-CN"/>
              </w:rPr>
              <w:t>）</w:t>
            </w:r>
          </w:p>
        </w:tc>
        <w:tc>
          <w:tcPr>
            <w:tcW w:w="516" w:type="pct"/>
            <w:noWrap w:val="0"/>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客观分</w:t>
            </w:r>
          </w:p>
        </w:tc>
      </w:tr>
    </w:tbl>
    <w:p>
      <w:pPr>
        <w:pStyle w:val="7"/>
        <w:rPr>
          <w:rFonts w:hint="default"/>
          <w:lang w:val="en-US" w:eastAsia="zh-CN"/>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附件3：</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资格证明</w:t>
      </w:r>
      <w:r>
        <w:rPr>
          <w:rFonts w:hint="eastAsia" w:ascii="仿宋_GB2312" w:hAnsi="Segoe UI" w:eastAsia="仿宋_GB2312" w:cs="Segoe UI"/>
          <w:b/>
          <w:bCs/>
          <w:color w:val="000000" w:themeColor="text1"/>
          <w:kern w:val="0"/>
          <w:sz w:val="28"/>
          <w:szCs w:val="28"/>
          <w14:textFill>
            <w14:solidFill>
              <w14:schemeClr w14:val="tx1"/>
            </w14:solidFill>
          </w14:textFill>
        </w:rPr>
        <w:t>文件装订顺序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1.封面（注明包号、项目名称、公司名称、联系人、联系电话、加盖公司印章）。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2.目录。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3.有效的营业执照（副本）复印件。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4.授权参加本次采购活动的供应商代表证明。(供应商代表为“授权代表”时，提供授权委托书（格式见附件5-5）及身份证复印件；供应商代表为“法定代表人（单位负责人）”时，提供法定代表人（单位负责人）身份证明（格式见附件5-6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5.具有良好的商业信誉和健全的财务会计制度，提供承诺函。(格式自拟)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6.具有履行合同所必须的设备和专业技术能力，提供承诺函。(格式自拟)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7.具有依法缴纳税收和社会保障资金的良好记录，提供承诺函。(格式自拟)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8.参加本次采购活动前三年内，在经营活动中没有重大违法记录；没有因安全事故、质量事故、违规等被政府有关部门记录，提供承诺函。(格式自拟)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9.供应商负责人为同一人或者存在控股、管理关系的不同单位，均视为同一参会供应商，不得重复参加采购，提供承诺函。(格式自拟)</w:t>
      </w:r>
    </w:p>
    <w:p>
      <w:pPr>
        <w:keepNext w:val="0"/>
        <w:keepLines w:val="0"/>
        <w:pageBreakBefore w:val="0"/>
        <w:widowControl/>
        <w:kinsoku/>
        <w:wordWrap/>
        <w:overflowPunct/>
        <w:topLinePunct w:val="0"/>
        <w:autoSpaceDE/>
        <w:autoSpaceDN/>
        <w:bidi w:val="0"/>
        <w:adjustRightInd w:val="0"/>
        <w:snapToGrid w:val="0"/>
        <w:spacing w:line="400" w:lineRule="exact"/>
        <w:ind w:firstLine="800" w:firstLineChars="200"/>
        <w:textAlignment w:val="auto"/>
        <w:rPr>
          <w:rFonts w:hint="eastAsia" w:ascii="仿宋" w:hAnsi="仿宋" w:eastAsia="仿宋" w:cs="仿宋"/>
          <w:bCs/>
          <w:kern w:val="0"/>
          <w:sz w:val="40"/>
          <w:szCs w:val="44"/>
          <w:highlight w:val="none"/>
          <w:shd w:val="clear" w:color="auto" w:fill="FFFFFF"/>
        </w:rPr>
      </w:pPr>
      <w:r>
        <w:rPr>
          <w:rFonts w:hint="eastAsia" w:ascii="仿宋" w:hAnsi="仿宋" w:eastAsia="仿宋" w:cs="仿宋"/>
          <w:bCs/>
          <w:kern w:val="0"/>
          <w:sz w:val="40"/>
          <w:szCs w:val="44"/>
          <w:highlight w:val="none"/>
          <w:shd w:val="clear" w:color="auto" w:fill="FFFFFF"/>
        </w:rPr>
        <w:br w:type="page"/>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4：</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采购响应文件装订顺序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1.封面（注明包号、项目名称、公司名称、联系人、联系电话、加盖公司印章）。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2.目录。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3.报价一览表（格式见附件5-1）。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4.技术、商务要求偏离表（格式见附件5-3）。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5.售后服务承诺。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6.反商业贿赂承诺书（格式见附件6）。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7.禁止围标、串标情况承诺函（格式见附件7）。</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8.供应商遵守招标采购纪律承诺书（格式见附件8）。</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9.行业相关规范或标准（如有）。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10.供应商认为需要提供的其它资料。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11.封底。</w:t>
      </w:r>
    </w:p>
    <w:p>
      <w:pPr>
        <w:keepNext w:val="0"/>
        <w:keepLines w:val="0"/>
        <w:pageBreakBefore w:val="0"/>
        <w:kinsoku/>
        <w:wordWrap/>
        <w:overflowPunct/>
        <w:topLinePunct w:val="0"/>
        <w:autoSpaceDE/>
        <w:autoSpaceDN/>
        <w:bidi w:val="0"/>
        <w:adjustRightInd w:val="0"/>
        <w:snapToGrid w:val="0"/>
        <w:spacing w:line="400" w:lineRule="exact"/>
        <w:ind w:firstLine="442" w:firstLineChars="200"/>
        <w:textAlignment w:val="auto"/>
        <w:rPr>
          <w:rFonts w:hint="eastAsia" w:ascii="仿宋" w:hAnsi="仿宋" w:eastAsia="仿宋" w:cs="仿宋"/>
          <w:b/>
          <w:bCs/>
          <w:kern w:val="0"/>
          <w:sz w:val="22"/>
          <w:szCs w:val="24"/>
          <w:highlight w:val="none"/>
          <w:shd w:val="clear" w:color="auto" w:fill="FFFFFF"/>
        </w:rPr>
      </w:pPr>
      <w:r>
        <w:rPr>
          <w:rFonts w:hint="eastAsia" w:ascii="仿宋" w:hAnsi="仿宋" w:eastAsia="仿宋" w:cs="仿宋"/>
          <w:b/>
          <w:bCs/>
          <w:kern w:val="0"/>
          <w:sz w:val="22"/>
          <w:szCs w:val="24"/>
          <w:highlight w:val="none"/>
          <w:shd w:val="clear" w:color="auto" w:fill="FFFFFF"/>
        </w:rPr>
        <w:t>注：请务必按以上顺序装订资料，如有非中文资料，请同时提供中文翻译件。</w:t>
      </w:r>
    </w:p>
    <w:p>
      <w:pPr>
        <w:pStyle w:val="2"/>
        <w:rPr>
          <w:rFonts w:hint="eastAsia"/>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5</w:t>
      </w:r>
      <w:r>
        <w:rPr>
          <w:rFonts w:hint="eastAsia" w:ascii="仿宋_GB2312" w:hAnsi="Segoe UI" w:eastAsia="仿宋_GB2312" w:cs="Segoe UI"/>
          <w:b/>
          <w:bCs/>
          <w:color w:val="000000" w:themeColor="text1"/>
          <w:kern w:val="0"/>
          <w:sz w:val="28"/>
          <w:szCs w:val="28"/>
          <w14:textFill>
            <w14:solidFill>
              <w14:schemeClr w14:val="tx1"/>
            </w14:solidFill>
          </w14:textFill>
        </w:rPr>
        <w:t>：</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主要表格格式</w:t>
      </w:r>
    </w:p>
    <w:p>
      <w:pPr>
        <w:widowControl/>
        <w:shd w:val="clear"/>
        <w:jc w:val="left"/>
        <w:rPr>
          <w:rFonts w:hint="eastAsia" w:ascii="仿宋_GB2312" w:hAnsi="Segoe UI" w:eastAsia="仿宋_GB2312" w:cs="Segoe UI"/>
          <w:b/>
          <w:bCs/>
          <w:color w:val="000000" w:themeColor="text1"/>
          <w:kern w:val="0"/>
          <w:sz w:val="28"/>
          <w:szCs w:val="2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:5-1</w:t>
      </w:r>
      <w:r>
        <w:rPr>
          <w:rFonts w:hint="eastAsia" w:ascii="仿宋_GB2312" w:hAnsi="Segoe UI" w:eastAsia="仿宋_GB2312" w:cs="Segoe UI"/>
          <w:b/>
          <w:bCs/>
          <w:color w:val="000000" w:themeColor="text1"/>
          <w:kern w:val="0"/>
          <w:sz w:val="28"/>
          <w:szCs w:val="28"/>
          <w14:textFill>
            <w14:solidFill>
              <w14:schemeClr w14:val="tx1"/>
            </w14:solidFill>
          </w14:textFill>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ascii="方正小标宋简体" w:hAnsi="方正小标宋简体" w:eastAsia="方正小标宋简体" w:cs="方正小标宋简体"/>
          <w:b w:val="0"/>
          <w:i w:val="0"/>
          <w:caps w:val="0"/>
          <w:color w:val="auto"/>
          <w:spacing w:val="0"/>
          <w:sz w:val="28"/>
          <w:szCs w:val="28"/>
          <w:shd w:val="clear" w:fill="FFFFFF"/>
          <w:lang w:val="zh-CN"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zh-CN" w:eastAsia="zh-CN"/>
        </w:rPr>
        <w:t>报价一览表</w:t>
      </w:r>
    </w:p>
    <w:p>
      <w:pPr>
        <w:jc w:val="center"/>
        <w:rPr>
          <w:rFonts w:ascii="宋体" w:hAnsi="宋体"/>
          <w:b/>
          <w:color w:val="auto"/>
          <w:sz w:val="24"/>
        </w:rPr>
      </w:pPr>
    </w:p>
    <w:tbl>
      <w:tblPr>
        <w:tblStyle w:val="13"/>
        <w:tblW w:w="10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302"/>
        <w:gridCol w:w="2633"/>
        <w:gridCol w:w="279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序号</w:t>
            </w:r>
          </w:p>
        </w:tc>
        <w:tc>
          <w:tcPr>
            <w:tcW w:w="23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项目名称</w:t>
            </w:r>
          </w:p>
        </w:tc>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单价（元</w:t>
            </w:r>
            <w:r>
              <w:rPr>
                <w:rFonts w:hint="eastAsia" w:ascii="宋体" w:hAnsi="宋体" w:eastAsia="宋体" w:cs="宋体"/>
                <w:color w:val="auto"/>
                <w:sz w:val="20"/>
                <w:szCs w:val="20"/>
                <w:lang w:val="en-US" w:eastAsia="zh-CN"/>
              </w:rPr>
              <w:t>/份/年</w:t>
            </w:r>
            <w:r>
              <w:rPr>
                <w:rFonts w:hint="eastAsia" w:ascii="宋体" w:hAnsi="宋体" w:eastAsia="宋体" w:cs="宋体"/>
                <w:color w:val="auto"/>
                <w:sz w:val="20"/>
                <w:szCs w:val="20"/>
              </w:rPr>
              <w:t>）</w:t>
            </w:r>
          </w:p>
        </w:tc>
        <w:tc>
          <w:tcPr>
            <w:tcW w:w="27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总价</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Theme="minorEastAsia"/>
                <w:color w:val="auto"/>
                <w:sz w:val="20"/>
                <w:szCs w:val="18"/>
                <w:lang w:val="en-US" w:eastAsia="zh-CN"/>
              </w:rPr>
            </w:pPr>
            <w:r>
              <w:rPr>
                <w:rFonts w:hint="eastAsia" w:ascii="宋体" w:hAnsi="宋体"/>
                <w:color w:val="auto"/>
                <w:sz w:val="20"/>
                <w:szCs w:val="18"/>
                <w:lang w:val="en-US" w:eastAsia="zh-CN"/>
              </w:rPr>
              <w:t>1</w:t>
            </w:r>
          </w:p>
        </w:tc>
        <w:tc>
          <w:tcPr>
            <w:tcW w:w="23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Theme="minorEastAsia"/>
                <w:color w:val="auto"/>
                <w:sz w:val="20"/>
                <w:szCs w:val="18"/>
                <w:lang w:val="en-US" w:eastAsia="zh-CN"/>
              </w:rPr>
            </w:pPr>
            <w:r>
              <w:rPr>
                <w:rFonts w:hint="eastAsia" w:ascii="宋体" w:hAnsi="宋体"/>
                <w:color w:val="auto"/>
                <w:sz w:val="20"/>
                <w:szCs w:val="18"/>
                <w:lang w:val="en-US" w:eastAsia="zh-CN"/>
              </w:rPr>
              <w:t>四川省妇幼保健院人事档案代管项目</w:t>
            </w:r>
          </w:p>
        </w:tc>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0"/>
                <w:szCs w:val="18"/>
              </w:rPr>
            </w:pPr>
          </w:p>
        </w:tc>
        <w:tc>
          <w:tcPr>
            <w:tcW w:w="27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 w:val="20"/>
                <w:szCs w:val="18"/>
                <w:lang w:val="en-US" w:eastAsia="zh-CN"/>
              </w:rPr>
            </w:pPr>
            <w:r>
              <w:rPr>
                <w:rFonts w:hint="eastAsia" w:ascii="宋体" w:hAnsi="宋体"/>
                <w:color w:val="auto"/>
                <w:sz w:val="20"/>
                <w:szCs w:val="18"/>
                <w:lang w:val="en-US" w:eastAsia="zh-CN"/>
              </w:rPr>
              <w:t>据实结算，最高总价</w:t>
            </w:r>
          </w:p>
          <w:p>
            <w:pPr>
              <w:jc w:val="center"/>
              <w:rPr>
                <w:rFonts w:hint="default" w:ascii="宋体" w:hAnsi="宋体"/>
                <w:color w:val="auto"/>
                <w:sz w:val="20"/>
                <w:szCs w:val="18"/>
                <w:lang w:val="en-US" w:eastAsia="zh-CN"/>
              </w:rPr>
            </w:pPr>
            <w:r>
              <w:rPr>
                <w:rFonts w:hint="eastAsia" w:ascii="宋体" w:hAnsi="宋体"/>
                <w:color w:val="auto"/>
                <w:sz w:val="20"/>
                <w:szCs w:val="18"/>
                <w:lang w:val="en-US" w:eastAsia="zh-CN"/>
              </w:rPr>
              <w:t>限价1.1万元</w:t>
            </w: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 w:val="20"/>
                <w:szCs w:val="18"/>
                <w:lang w:val="en-US" w:eastAsia="zh-CN"/>
              </w:rPr>
            </w:pPr>
          </w:p>
        </w:tc>
      </w:tr>
    </w:tbl>
    <w:p>
      <w:pPr>
        <w:rPr>
          <w:rFonts w:hint="default" w:ascii="仿宋" w:hAnsi="仿宋" w:eastAsia="仿宋" w:cs="仿宋"/>
          <w:b w:val="0"/>
          <w:i w:val="0"/>
          <w:caps w:val="0"/>
          <w:color w:val="auto"/>
          <w:spacing w:val="0"/>
          <w:sz w:val="32"/>
          <w:szCs w:val="32"/>
          <w:shd w:val="clear" w:fill="FFFFFF"/>
          <w:lang w:val="en-US" w:eastAsia="zh-CN"/>
        </w:rPr>
      </w:pPr>
    </w:p>
    <w:p>
      <w:pPr>
        <w:pStyle w:val="2"/>
        <w:rPr>
          <w:rFonts w:hint="eastAsia"/>
          <w:lang w:val="en-US" w:eastAsia="zh-CN"/>
        </w:rPr>
      </w:pPr>
    </w:p>
    <w:p>
      <w:pPr>
        <w:widowControl/>
        <w:shd w:val="clear" w:color="auto" w:fill="FFFFFF"/>
        <w:wordWrap w:val="0"/>
        <w:spacing w:line="360" w:lineRule="auto"/>
        <w:jc w:val="left"/>
        <w:rPr>
          <w:rFonts w:hint="eastAsia" w:ascii="仿宋" w:hAnsi="仿宋" w:eastAsia="仿宋" w:cs="仿宋"/>
          <w:color w:val="auto"/>
          <w:kern w:val="0"/>
          <w:sz w:val="18"/>
          <w:szCs w:val="18"/>
          <w:highlight w:val="none"/>
        </w:rPr>
      </w:pPr>
      <w:bookmarkStart w:id="2" w:name="_Toc9234"/>
      <w:bookmarkStart w:id="3" w:name="_Toc3414"/>
      <w:bookmarkStart w:id="4" w:name="_Toc15614"/>
      <w:bookmarkStart w:id="5" w:name="_Toc21676"/>
      <w:bookmarkStart w:id="6" w:name="_Toc21163"/>
      <w:r>
        <w:rPr>
          <w:rFonts w:hint="eastAsia" w:ascii="仿宋" w:hAnsi="仿宋" w:eastAsia="仿宋" w:cs="仿宋"/>
          <w:color w:val="auto"/>
          <w:kern w:val="0"/>
          <w:sz w:val="24"/>
          <w:szCs w:val="24"/>
          <w:highlight w:val="none"/>
        </w:rPr>
        <w:t>供应商名称：（盖章）</w:t>
      </w:r>
    </w:p>
    <w:p>
      <w:pPr>
        <w:widowControl/>
        <w:shd w:val="clear" w:color="auto" w:fill="FFFFFF"/>
        <w:wordWrap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法定代表人或授权代表（签字）：</w:t>
      </w:r>
    </w:p>
    <w:p>
      <w:pPr>
        <w:widowControl/>
        <w:shd w:val="clear" w:color="auto" w:fill="FFFFFF"/>
        <w:wordWrap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pPr>
        <w:widowControl/>
        <w:shd w:val="clear" w:color="auto" w:fill="FFFFFF"/>
        <w:wordWrap w:val="0"/>
        <w:spacing w:line="400" w:lineRule="atLeast"/>
        <w:jc w:val="left"/>
        <w:rPr>
          <w:rFonts w:hint="eastAsia" w:ascii="仿宋" w:hAnsi="仿宋" w:eastAsia="仿宋" w:cs="仿宋"/>
          <w:b/>
          <w:bCs/>
          <w:color w:val="auto"/>
          <w:kern w:val="0"/>
          <w:sz w:val="24"/>
          <w:szCs w:val="24"/>
          <w:highlight w:val="none"/>
        </w:rPr>
      </w:pPr>
    </w:p>
    <w:p>
      <w:pPr>
        <w:widowControl/>
        <w:shd w:val="clear" w:color="auto" w:fill="FFFFFF"/>
        <w:wordWrap w:val="0"/>
        <w:spacing w:line="400" w:lineRule="atLeast"/>
        <w:jc w:val="left"/>
        <w:rPr>
          <w:rFonts w:hint="eastAsia" w:ascii="仿宋" w:hAnsi="仿宋" w:eastAsia="仿宋" w:cs="仿宋"/>
          <w:b/>
          <w:bCs/>
          <w:color w:val="auto"/>
          <w:kern w:val="0"/>
          <w:sz w:val="24"/>
          <w:szCs w:val="24"/>
          <w:highlight w:val="none"/>
        </w:rPr>
      </w:pPr>
    </w:p>
    <w:p>
      <w:pPr>
        <w:widowControl/>
        <w:shd w:val="clear" w:color="auto" w:fill="FFFFFF"/>
        <w:wordWrap w:val="0"/>
        <w:spacing w:line="400" w:lineRule="atLeast"/>
        <w:jc w:val="left"/>
        <w:rPr>
          <w:rFonts w:hint="eastAsia" w:ascii="仿宋" w:hAnsi="仿宋" w:eastAsia="仿宋" w:cs="仿宋"/>
          <w:b/>
          <w:bCs/>
          <w:color w:val="auto"/>
          <w:kern w:val="0"/>
          <w:sz w:val="24"/>
          <w:szCs w:val="24"/>
          <w:highlight w:val="none"/>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5</w:t>
      </w:r>
      <w:r>
        <w:rPr>
          <w:rFonts w:hint="eastAsia" w:ascii="仿宋_GB2312" w:hAnsi="Segoe UI" w:eastAsia="仿宋_GB2312" w:cs="Segoe UI"/>
          <w:b/>
          <w:bCs/>
          <w:color w:val="000000" w:themeColor="text1"/>
          <w:kern w:val="0"/>
          <w:sz w:val="28"/>
          <w:szCs w:val="28"/>
          <w14:textFill>
            <w14:solidFill>
              <w14:schemeClr w14:val="tx1"/>
            </w14:solidFill>
          </w14:textFill>
        </w:rPr>
        <w:t>-</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2</w:t>
      </w:r>
      <w:r>
        <w:rPr>
          <w:rFonts w:hint="eastAsia" w:ascii="仿宋_GB2312" w:hAnsi="Segoe UI" w:eastAsia="仿宋_GB2312" w:cs="Segoe UI"/>
          <w:b/>
          <w:bCs/>
          <w:color w:val="000000" w:themeColor="text1"/>
          <w:kern w:val="0"/>
          <w:sz w:val="28"/>
          <w:szCs w:val="28"/>
          <w14:textFill>
            <w14:solidFill>
              <w14:schemeClr w14:val="tx1"/>
            </w14:solidFill>
          </w14:textFill>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ascii="方正小标宋简体" w:hAnsi="方正小标宋简体" w:eastAsia="方正小标宋简体" w:cs="方正小标宋简体"/>
          <w:b w:val="0"/>
          <w:i w:val="0"/>
          <w:caps w:val="0"/>
          <w:color w:val="auto"/>
          <w:spacing w:val="0"/>
          <w:sz w:val="28"/>
          <w:szCs w:val="28"/>
          <w:shd w:val="clear" w:fill="FFFFFF"/>
          <w:lang w:val="zh-CN"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最后</w:t>
      </w:r>
      <w:r>
        <w:rPr>
          <w:rFonts w:hint="eastAsia" w:ascii="方正小标宋简体" w:hAnsi="方正小标宋简体" w:eastAsia="方正小标宋简体" w:cs="方正小标宋简体"/>
          <w:b w:val="0"/>
          <w:i w:val="0"/>
          <w:caps w:val="0"/>
          <w:color w:val="auto"/>
          <w:spacing w:val="0"/>
          <w:sz w:val="28"/>
          <w:szCs w:val="28"/>
          <w:shd w:val="clear" w:fill="FFFFFF"/>
          <w:lang w:val="zh-CN" w:eastAsia="zh-CN"/>
        </w:rPr>
        <w:t>报价表</w:t>
      </w:r>
    </w:p>
    <w:p>
      <w:pPr>
        <w:jc w:val="center"/>
        <w:rPr>
          <w:rFonts w:ascii="宋体" w:hAnsi="宋体"/>
          <w:b/>
          <w:color w:val="auto"/>
          <w:sz w:val="24"/>
        </w:rPr>
      </w:pPr>
    </w:p>
    <w:tbl>
      <w:tblPr>
        <w:tblStyle w:val="13"/>
        <w:tblW w:w="10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302"/>
        <w:gridCol w:w="2633"/>
        <w:gridCol w:w="2638"/>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23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项目名称</w:t>
            </w:r>
          </w:p>
        </w:tc>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单价（元</w:t>
            </w:r>
            <w:r>
              <w:rPr>
                <w:rFonts w:hint="eastAsia" w:ascii="宋体" w:hAnsi="宋体" w:eastAsia="宋体" w:cs="宋体"/>
                <w:color w:val="auto"/>
                <w:sz w:val="18"/>
                <w:szCs w:val="18"/>
                <w:lang w:val="en-US" w:eastAsia="zh-CN"/>
              </w:rPr>
              <w:t>/份/年</w:t>
            </w:r>
            <w:r>
              <w:rPr>
                <w:rFonts w:hint="eastAsia" w:ascii="宋体" w:hAnsi="宋体" w:eastAsia="宋体" w:cs="宋体"/>
                <w:color w:val="auto"/>
                <w:sz w:val="18"/>
                <w:szCs w:val="18"/>
              </w:rPr>
              <w:t>）</w:t>
            </w:r>
          </w:p>
        </w:tc>
        <w:tc>
          <w:tcPr>
            <w:tcW w:w="2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总价</w:t>
            </w:r>
          </w:p>
        </w:tc>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Theme="minorEastAsia"/>
                <w:color w:val="auto"/>
                <w:sz w:val="18"/>
                <w:szCs w:val="16"/>
                <w:lang w:val="en-US" w:eastAsia="zh-CN"/>
              </w:rPr>
            </w:pPr>
            <w:r>
              <w:rPr>
                <w:rFonts w:hint="eastAsia" w:ascii="宋体" w:hAnsi="宋体"/>
                <w:color w:val="auto"/>
                <w:sz w:val="18"/>
                <w:szCs w:val="16"/>
                <w:lang w:val="en-US" w:eastAsia="zh-CN"/>
              </w:rPr>
              <w:t>1</w:t>
            </w:r>
          </w:p>
        </w:tc>
        <w:tc>
          <w:tcPr>
            <w:tcW w:w="23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Theme="minorEastAsia"/>
                <w:color w:val="auto"/>
                <w:sz w:val="18"/>
                <w:szCs w:val="16"/>
                <w:lang w:val="en-US" w:eastAsia="zh-CN"/>
              </w:rPr>
            </w:pPr>
            <w:r>
              <w:rPr>
                <w:rFonts w:hint="eastAsia" w:ascii="宋体" w:hAnsi="宋体"/>
                <w:color w:val="auto"/>
                <w:sz w:val="18"/>
                <w:szCs w:val="16"/>
                <w:lang w:val="en-US" w:eastAsia="zh-CN"/>
              </w:rPr>
              <w:t>四川省妇幼保健院人事档案代管项目</w:t>
            </w:r>
          </w:p>
        </w:tc>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18"/>
                <w:szCs w:val="16"/>
              </w:rPr>
            </w:pPr>
          </w:p>
        </w:tc>
        <w:tc>
          <w:tcPr>
            <w:tcW w:w="26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 w:val="18"/>
                <w:szCs w:val="16"/>
                <w:lang w:val="en-US" w:eastAsia="zh-CN"/>
              </w:rPr>
            </w:pPr>
            <w:r>
              <w:rPr>
                <w:rFonts w:hint="eastAsia" w:ascii="宋体" w:hAnsi="宋体"/>
                <w:color w:val="auto"/>
                <w:sz w:val="18"/>
                <w:szCs w:val="16"/>
                <w:lang w:val="en-US" w:eastAsia="zh-CN"/>
              </w:rPr>
              <w:t>据实结算，最高总价</w:t>
            </w:r>
          </w:p>
          <w:p>
            <w:pPr>
              <w:jc w:val="center"/>
              <w:rPr>
                <w:rFonts w:hint="default" w:ascii="宋体" w:hAnsi="宋体" w:eastAsiaTheme="minorEastAsia"/>
                <w:color w:val="auto"/>
                <w:sz w:val="18"/>
                <w:szCs w:val="16"/>
                <w:lang w:val="en-US" w:eastAsia="zh-CN"/>
              </w:rPr>
            </w:pPr>
            <w:r>
              <w:rPr>
                <w:rFonts w:hint="eastAsia" w:ascii="宋体" w:hAnsi="宋体"/>
                <w:color w:val="auto"/>
                <w:sz w:val="18"/>
                <w:szCs w:val="16"/>
                <w:lang w:val="en-US" w:eastAsia="zh-CN"/>
              </w:rPr>
              <w:t>限价1.1万元</w:t>
            </w:r>
          </w:p>
        </w:tc>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18"/>
                <w:szCs w:val="16"/>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仿宋" w:hAnsi="仿宋" w:eastAsia="仿宋" w:cs="仿宋"/>
          <w:color w:val="auto"/>
          <w:kern w:val="0"/>
          <w:sz w:val="30"/>
          <w:szCs w:val="30"/>
          <w:highlight w:val="none"/>
          <w:u w:val="single"/>
          <w:lang w:val="en-US" w:eastAsia="zh-CN"/>
        </w:rPr>
      </w:pPr>
    </w:p>
    <w:p>
      <w:pPr>
        <w:pStyle w:val="2"/>
        <w:rPr>
          <w:rFonts w:hint="eastAsia" w:ascii="仿宋" w:hAnsi="仿宋" w:eastAsia="仿宋" w:cs="仿宋"/>
          <w:color w:val="auto"/>
          <w:kern w:val="0"/>
          <w:sz w:val="30"/>
          <w:szCs w:val="30"/>
          <w:highlight w:val="none"/>
          <w:u w:val="single"/>
          <w:lang w:val="en-US" w:eastAsia="zh-CN"/>
        </w:rPr>
      </w:pPr>
    </w:p>
    <w:p>
      <w:pPr>
        <w:pStyle w:val="2"/>
        <w:rPr>
          <w:rFonts w:hint="eastAsia" w:ascii="仿宋" w:hAnsi="仿宋" w:eastAsia="仿宋" w:cs="仿宋"/>
          <w:color w:val="auto"/>
          <w:kern w:val="0"/>
          <w:sz w:val="30"/>
          <w:szCs w:val="30"/>
          <w:highlight w:val="none"/>
          <w:u w:val="single"/>
          <w:lang w:val="en-US" w:eastAsia="zh-CN"/>
        </w:rPr>
      </w:pPr>
    </w:p>
    <w:p>
      <w:pPr>
        <w:pStyle w:val="2"/>
        <w:rPr>
          <w:rFonts w:hint="eastAsia" w:ascii="仿宋" w:hAnsi="仿宋" w:eastAsia="仿宋" w:cs="仿宋"/>
          <w:color w:val="auto"/>
          <w:kern w:val="0"/>
          <w:sz w:val="30"/>
          <w:szCs w:val="30"/>
          <w:highlight w:val="none"/>
          <w:u w:val="single"/>
          <w:lang w:val="en-US" w:eastAsia="zh-CN"/>
        </w:rPr>
      </w:pPr>
    </w:p>
    <w:p>
      <w:pPr>
        <w:pStyle w:val="2"/>
        <w:rPr>
          <w:rFonts w:hint="eastAsia" w:ascii="仿宋" w:hAnsi="仿宋" w:eastAsia="仿宋" w:cs="仿宋"/>
          <w:color w:val="auto"/>
          <w:kern w:val="0"/>
          <w:sz w:val="30"/>
          <w:szCs w:val="30"/>
          <w:highlight w:val="none"/>
          <w:u w:val="single"/>
          <w:lang w:val="en-US" w:eastAsia="zh-CN"/>
        </w:rPr>
      </w:pPr>
    </w:p>
    <w:p>
      <w:pPr>
        <w:pStyle w:val="2"/>
        <w:rPr>
          <w:rFonts w:hint="eastAsia" w:ascii="仿宋" w:hAnsi="仿宋" w:eastAsia="仿宋" w:cs="仿宋"/>
          <w:color w:val="auto"/>
          <w:kern w:val="0"/>
          <w:sz w:val="30"/>
          <w:szCs w:val="30"/>
          <w:highlight w:val="none"/>
          <w:u w:val="single"/>
          <w:lang w:val="en-US" w:eastAsia="zh-CN"/>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5</w:t>
      </w:r>
      <w:r>
        <w:rPr>
          <w:rFonts w:hint="eastAsia" w:ascii="仿宋_GB2312" w:hAnsi="Segoe UI" w:eastAsia="仿宋_GB2312" w:cs="Segoe UI"/>
          <w:b/>
          <w:bCs/>
          <w:color w:val="000000" w:themeColor="text1"/>
          <w:kern w:val="0"/>
          <w:sz w:val="28"/>
          <w:szCs w:val="28"/>
          <w14:textFill>
            <w14:solidFill>
              <w14:schemeClr w14:val="tx1"/>
            </w14:solidFill>
          </w14:textFill>
        </w:rPr>
        <w:t>-</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3</w:t>
      </w:r>
      <w:r>
        <w:rPr>
          <w:rFonts w:hint="eastAsia" w:ascii="仿宋_GB2312" w:hAnsi="Segoe UI" w:eastAsia="仿宋_GB2312" w:cs="Segoe UI"/>
          <w:b/>
          <w:bCs/>
          <w:color w:val="000000" w:themeColor="text1"/>
          <w:kern w:val="0"/>
          <w:sz w:val="28"/>
          <w:szCs w:val="28"/>
          <w14:textFill>
            <w14:solidFill>
              <w14:schemeClr w14:val="tx1"/>
            </w14:solidFill>
          </w14:textFill>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技术、商务要求偏离表</w:t>
      </w:r>
    </w:p>
    <w:tbl>
      <w:tblPr>
        <w:tblStyle w:val="13"/>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lang w:val="en-US" w:eastAsia="zh-CN"/>
              </w:rPr>
              <w:t>采购文件</w:t>
            </w:r>
            <w:r>
              <w:rPr>
                <w:rFonts w:hint="eastAsia" w:ascii="仿宋" w:hAnsi="仿宋" w:eastAsia="仿宋" w:cs="仿宋"/>
                <w:color w:val="auto"/>
                <w:kern w:val="0"/>
                <w:sz w:val="24"/>
                <w:szCs w:val="24"/>
                <w:highlight w:val="none"/>
              </w:rPr>
              <w:t>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rPr>
              <w:t>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bl>
    <w:p>
      <w:pPr>
        <w:widowControl/>
        <w:shd w:val="clear" w:color="auto" w:fill="FFFFFF"/>
        <w:wordWrap w:val="0"/>
        <w:spacing w:line="360" w:lineRule="auto"/>
        <w:ind w:firstLine="48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注：</w:t>
      </w:r>
    </w:p>
    <w:p>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1.供应商根据</w:t>
      </w:r>
      <w:r>
        <w:rPr>
          <w:rFonts w:hint="eastAsia" w:ascii="仿宋" w:hAnsi="仿宋" w:eastAsia="仿宋" w:cs="仿宋"/>
          <w:color w:val="auto"/>
          <w:kern w:val="0"/>
          <w:sz w:val="22"/>
          <w:highlight w:val="none"/>
          <w:lang w:val="en-US" w:eastAsia="zh-CN"/>
        </w:rPr>
        <w:t>附件1“采购需求”中的</w:t>
      </w:r>
      <w:r>
        <w:rPr>
          <w:rFonts w:hint="eastAsia" w:ascii="仿宋" w:hAnsi="仿宋" w:eastAsia="仿宋" w:cs="仿宋"/>
          <w:color w:val="auto"/>
          <w:kern w:val="0"/>
          <w:sz w:val="22"/>
          <w:highlight w:val="none"/>
        </w:rPr>
        <w:t>“技术要求”</w:t>
      </w:r>
      <w:r>
        <w:rPr>
          <w:rFonts w:hint="eastAsia" w:ascii="仿宋" w:hAnsi="仿宋" w:eastAsia="仿宋" w:cs="仿宋"/>
          <w:color w:val="auto"/>
          <w:kern w:val="0"/>
          <w:sz w:val="22"/>
          <w:highlight w:val="none"/>
          <w:lang w:val="en-US" w:eastAsia="zh-CN"/>
        </w:rPr>
        <w:t>、“商务要求”</w:t>
      </w:r>
      <w:r>
        <w:rPr>
          <w:rFonts w:hint="eastAsia" w:ascii="仿宋" w:hAnsi="仿宋" w:eastAsia="仿宋" w:cs="仿宋"/>
          <w:color w:val="auto"/>
          <w:kern w:val="0"/>
          <w:sz w:val="22"/>
          <w:highlight w:val="none"/>
        </w:rPr>
        <w:t>，对应进行填写。未单独填写的条款，视为默认响应。</w:t>
      </w:r>
    </w:p>
    <w:p>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2.若无偏离，可在偏离情况中填“/”；若有偏离，需在偏离情况中进行说明；</w:t>
      </w:r>
    </w:p>
    <w:p>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3.若“技术要求”</w:t>
      </w:r>
      <w:r>
        <w:rPr>
          <w:rFonts w:hint="eastAsia" w:ascii="仿宋" w:hAnsi="仿宋" w:eastAsia="仿宋" w:cs="仿宋"/>
          <w:color w:val="auto"/>
          <w:kern w:val="0"/>
          <w:sz w:val="22"/>
          <w:highlight w:val="none"/>
          <w:lang w:val="en-US" w:eastAsia="zh-CN"/>
        </w:rPr>
        <w:t>、“商务要求”</w:t>
      </w:r>
      <w:r>
        <w:rPr>
          <w:rFonts w:hint="eastAsia" w:ascii="仿宋" w:hAnsi="仿宋" w:eastAsia="仿宋" w:cs="仿宋"/>
          <w:color w:val="auto"/>
          <w:kern w:val="0"/>
          <w:sz w:val="22"/>
          <w:highlight w:val="none"/>
        </w:rPr>
        <w:t>要求提供证明材料，需按要求提供证明材料。</w:t>
      </w:r>
    </w:p>
    <w:p>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p>
    <w:p>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p>
    <w:p>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供应商名称：XXXX（盖单位公章）</w:t>
      </w:r>
    </w:p>
    <w:p>
      <w:pPr>
        <w:widowControl/>
        <w:shd w:val="clear" w:color="auto" w:fill="FFFFFF"/>
        <w:wordWrap w:val="0"/>
        <w:spacing w:line="360" w:lineRule="auto"/>
        <w:ind w:firstLine="42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2"/>
          <w:highlight w:val="none"/>
        </w:rPr>
        <w:t>法定代表人或授权代表签字：</w:t>
      </w:r>
    </w:p>
    <w:p>
      <w:pPr>
        <w:widowControl/>
        <w:shd w:val="clear" w:color="auto" w:fill="FFFFFF"/>
        <w:wordWrap w:val="0"/>
        <w:spacing w:line="360" w:lineRule="auto"/>
        <w:ind w:firstLine="36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2"/>
          <w:highlight w:val="none"/>
        </w:rPr>
        <w:t>日期:</w:t>
      </w:r>
    </w:p>
    <w:p>
      <w:pPr>
        <w:spacing w:line="360" w:lineRule="auto"/>
        <w:rPr>
          <w:rFonts w:hint="eastAsia" w:ascii="仿宋" w:hAnsi="仿宋" w:eastAsia="仿宋" w:cs="仿宋"/>
          <w:b/>
          <w:bCs/>
          <w:kern w:val="0"/>
          <w:sz w:val="28"/>
          <w:szCs w:val="32"/>
          <w:highlight w:val="none"/>
          <w:shd w:val="clear" w:color="auto" w:fill="FFFFFF"/>
        </w:rPr>
      </w:pPr>
      <w:r>
        <w:rPr>
          <w:rFonts w:hint="eastAsia" w:ascii="仿宋" w:hAnsi="仿宋" w:eastAsia="仿宋" w:cs="仿宋"/>
          <w:b/>
          <w:bCs/>
          <w:kern w:val="0"/>
          <w:sz w:val="28"/>
          <w:szCs w:val="32"/>
          <w:highlight w:val="none"/>
          <w:shd w:val="clear" w:color="auto" w:fill="FFFFFF"/>
        </w:rPr>
        <w:br w:type="page"/>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5</w:t>
      </w:r>
      <w:r>
        <w:rPr>
          <w:rFonts w:hint="eastAsia" w:ascii="仿宋_GB2312" w:hAnsi="Segoe UI" w:eastAsia="仿宋_GB2312" w:cs="Segoe UI"/>
          <w:b/>
          <w:bCs/>
          <w:color w:val="000000" w:themeColor="text1"/>
          <w:kern w:val="0"/>
          <w:sz w:val="28"/>
          <w:szCs w:val="28"/>
          <w14:textFill>
            <w14:solidFill>
              <w14:schemeClr w14:val="tx1"/>
            </w14:solidFill>
          </w14:textFill>
        </w:rPr>
        <w:t>-</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4</w:t>
      </w:r>
      <w:r>
        <w:rPr>
          <w:rFonts w:hint="eastAsia" w:ascii="仿宋_GB2312" w:hAnsi="Segoe UI" w:eastAsia="仿宋_GB2312" w:cs="Segoe UI"/>
          <w:b/>
          <w:bCs/>
          <w:color w:val="000000" w:themeColor="text1"/>
          <w:kern w:val="0"/>
          <w:sz w:val="28"/>
          <w:szCs w:val="28"/>
          <w14:textFill>
            <w14:solidFill>
              <w14:schemeClr w14:val="tx1"/>
            </w14:solidFill>
          </w14:textFill>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用户情况表</w:t>
      </w:r>
    </w:p>
    <w:tbl>
      <w:tblPr>
        <w:tblStyle w:val="13"/>
        <w:tblW w:w="8220" w:type="dxa"/>
        <w:jc w:val="center"/>
        <w:tblLayout w:type="autofit"/>
        <w:tblCellMar>
          <w:top w:w="0" w:type="dxa"/>
          <w:left w:w="0" w:type="dxa"/>
          <w:bottom w:w="0" w:type="dxa"/>
          <w:right w:w="0" w:type="dxa"/>
        </w:tblCellMar>
      </w:tblPr>
      <w:tblGrid>
        <w:gridCol w:w="723"/>
        <w:gridCol w:w="1500"/>
        <w:gridCol w:w="1497"/>
        <w:gridCol w:w="1260"/>
        <w:gridCol w:w="2160"/>
        <w:gridCol w:w="1080"/>
      </w:tblGrid>
      <w:tr>
        <w:tblPrEx>
          <w:tblCellMar>
            <w:top w:w="0" w:type="dxa"/>
            <w:left w:w="0" w:type="dxa"/>
            <w:bottom w:w="0" w:type="dxa"/>
            <w:right w:w="0" w:type="dxa"/>
          </w:tblCellMar>
        </w:tblPrEx>
        <w:trPr>
          <w:trHeight w:val="420" w:hRule="atLeast"/>
          <w:jc w:val="center"/>
        </w:trPr>
        <w:tc>
          <w:tcPr>
            <w:tcW w:w="72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序号</w:t>
            </w:r>
          </w:p>
        </w:tc>
        <w:tc>
          <w:tcPr>
            <w:tcW w:w="1500"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用户名称</w:t>
            </w:r>
          </w:p>
        </w:tc>
        <w:tc>
          <w:tcPr>
            <w:tcW w:w="149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备注</w:t>
            </w:r>
          </w:p>
        </w:tc>
      </w:tr>
      <w:tr>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bl>
    <w:p>
      <w:pPr>
        <w:widowControl/>
        <w:shd w:val="clear" w:color="auto" w:fill="FFFFFF"/>
        <w:wordWrap w:val="0"/>
        <w:spacing w:line="270" w:lineRule="atLeas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p>
      <w:pPr>
        <w:widowControl/>
        <w:shd w:val="clear" w:color="auto" w:fill="FFFFFF"/>
        <w:wordWrap w:val="0"/>
        <w:ind w:firstLine="48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p>
      <w:pPr>
        <w:widowControl/>
        <w:shd w:val="clear" w:color="auto" w:fill="FFFFFF"/>
        <w:wordWrap w:val="0"/>
        <w:ind w:firstLine="48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法定代表人或授权代表签字：</w:t>
      </w:r>
    </w:p>
    <w:p>
      <w:pPr>
        <w:widowControl/>
        <w:shd w:val="clear" w:color="auto" w:fill="FFFFFF"/>
        <w:wordWrap w:val="0"/>
        <w:spacing w:line="270" w:lineRule="atLeast"/>
        <w:ind w:firstLine="449"/>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b/>
          <w:bCs/>
          <w:color w:val="auto"/>
          <w:kern w:val="0"/>
          <w:sz w:val="24"/>
          <w:szCs w:val="24"/>
          <w:highlight w:val="none"/>
        </w:rPr>
        <w:t>:</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14:textFill>
            <w14:solidFill>
              <w14:schemeClr w14:val="tx1"/>
            </w14:solidFill>
          </w14:textFill>
        </w:rPr>
      </w:pPr>
      <w:r>
        <w:rPr>
          <w:rFonts w:hint="eastAsia" w:ascii="仿宋" w:hAnsi="仿宋" w:eastAsia="仿宋" w:cs="仿宋"/>
          <w:b/>
          <w:bCs/>
          <w:kern w:val="0"/>
          <w:sz w:val="28"/>
          <w:szCs w:val="32"/>
          <w:highlight w:val="none"/>
          <w:shd w:val="clear" w:color="auto" w:fill="FFFFFF"/>
        </w:rPr>
        <w:br w:type="page"/>
      </w:r>
      <w:r>
        <w:rPr>
          <w:rFonts w:hint="eastAsia" w:ascii="仿宋_GB2312" w:hAnsi="Segoe UI" w:eastAsia="仿宋_GB2312" w:cs="Segoe UI"/>
          <w:b/>
          <w:bCs/>
          <w:color w:val="000000" w:themeColor="text1"/>
          <w:kern w:val="0"/>
          <w:sz w:val="28"/>
          <w:szCs w:val="28"/>
          <w14:textFill>
            <w14:solidFill>
              <w14:schemeClr w14:val="tx1"/>
            </w14:solidFill>
          </w14:textFill>
        </w:rPr>
        <w:t>附件</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5</w:t>
      </w:r>
      <w:r>
        <w:rPr>
          <w:rFonts w:hint="eastAsia" w:ascii="仿宋_GB2312" w:hAnsi="Segoe UI" w:eastAsia="仿宋_GB2312" w:cs="Segoe UI"/>
          <w:b/>
          <w:bCs/>
          <w:color w:val="000000" w:themeColor="text1"/>
          <w:kern w:val="0"/>
          <w:sz w:val="28"/>
          <w:szCs w:val="28"/>
          <w14:textFill>
            <w14:solidFill>
              <w14:schemeClr w14:val="tx1"/>
            </w14:solidFill>
          </w14:textFill>
        </w:rPr>
        <w:t>-</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5</w:t>
      </w:r>
      <w:r>
        <w:rPr>
          <w:rFonts w:hint="eastAsia" w:ascii="仿宋_GB2312" w:hAnsi="Segoe UI" w:eastAsia="仿宋_GB2312" w:cs="Segoe UI"/>
          <w:b/>
          <w:bCs/>
          <w:color w:val="000000" w:themeColor="text1"/>
          <w:kern w:val="0"/>
          <w:sz w:val="28"/>
          <w:szCs w:val="28"/>
          <w14:textFill>
            <w14:solidFill>
              <w14:schemeClr w14:val="tx1"/>
            </w14:solidFill>
          </w14:textFill>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授权委托书</w:t>
      </w:r>
    </w:p>
    <w:p>
      <w:pPr>
        <w:pStyle w:val="26"/>
        <w:pageBreakBefore w:val="0"/>
        <w:kinsoku/>
        <w:wordWrap/>
        <w:overflowPunct/>
        <w:topLinePunct w:val="0"/>
        <w:bidi w:val="0"/>
        <w:spacing w:line="360" w:lineRule="auto"/>
        <w:jc w:val="center"/>
        <w:rPr>
          <w:rFonts w:hint="eastAsia"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（若供应商代表为“授权代表”时，提供此委托书）</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四川省妇幼保健院</w:t>
      </w:r>
      <w:r>
        <w:rPr>
          <w:rFonts w:hint="eastAsia" w:ascii="仿宋" w:hAnsi="仿宋" w:eastAsia="仿宋" w:cs="仿宋"/>
          <w:sz w:val="24"/>
          <w:highlight w:val="none"/>
        </w:rPr>
        <w:t>：</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本人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eastAsia="zh-CN"/>
        </w:rPr>
        <w:t>（姓名）系</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eastAsia="zh-CN"/>
        </w:rPr>
        <w:t>（供应商名称）的法定代表人（单位负责人），现委托</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eastAsia="zh-CN"/>
        </w:rPr>
        <w:t>（姓名）为我方代理人。代理人在本次采购中所签署的一切文件和处理的一切有关事宜，我公司（单位）均予承认，所产生的法律后果均由我公司（单位）承担。</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委托期限：自本授权委托书签署之日起至响应文件有效期届满之日止。代理人无转委托权。</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供应商名称：XXXX（盖单位公章）</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法定代表人（单位负责人）（签字或加盖个人名章）：XXXX。</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授权代表（代理人）签字：XXXX。</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日    期：XXXX。</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法定代表人（单位负责人）有效期内的居民身份证正反面</w:t>
      </w:r>
    </w:p>
    <w:tbl>
      <w:tblPr>
        <w:tblStyle w:val="13"/>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pPr>
              <w:tabs>
                <w:tab w:val="left" w:pos="5580"/>
              </w:tabs>
              <w:spacing w:line="360" w:lineRule="auto"/>
              <w:jc w:val="left"/>
              <w:rPr>
                <w:rFonts w:hint="eastAsia" w:ascii="仿宋" w:hAnsi="仿宋" w:eastAsia="仿宋" w:cs="仿宋"/>
                <w:color w:val="000000"/>
                <w:sz w:val="24"/>
                <w:szCs w:val="20"/>
                <w:highlight w:val="none"/>
              </w:rPr>
            </w:pPr>
          </w:p>
        </w:tc>
        <w:tc>
          <w:tcPr>
            <w:tcW w:w="2875" w:type="dxa"/>
            <w:noWrap w:val="0"/>
            <w:vAlign w:val="top"/>
          </w:tcPr>
          <w:p>
            <w:pPr>
              <w:tabs>
                <w:tab w:val="left" w:pos="5580"/>
              </w:tabs>
              <w:spacing w:line="360" w:lineRule="auto"/>
              <w:jc w:val="left"/>
              <w:rPr>
                <w:rFonts w:hint="eastAsia" w:ascii="仿宋" w:hAnsi="仿宋" w:eastAsia="仿宋" w:cs="仿宋"/>
                <w:color w:val="000000"/>
                <w:sz w:val="24"/>
                <w:szCs w:val="20"/>
                <w:highlight w:val="none"/>
              </w:rPr>
            </w:pPr>
          </w:p>
        </w:tc>
      </w:tr>
    </w:tbl>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授权代表（代理人）</w:t>
      </w:r>
      <w:r>
        <w:rPr>
          <w:rFonts w:hint="eastAsia" w:ascii="仿宋" w:hAnsi="仿宋" w:eastAsia="仿宋" w:cs="仿宋"/>
          <w:sz w:val="24"/>
          <w:highlight w:val="none"/>
          <w:lang w:val="en-US" w:eastAsia="zh-CN"/>
        </w:rPr>
        <w:t>有效期内的居民身份证正反面</w:t>
      </w:r>
    </w:p>
    <w:tbl>
      <w:tblPr>
        <w:tblStyle w:val="13"/>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pPr>
              <w:tabs>
                <w:tab w:val="left" w:pos="5580"/>
              </w:tabs>
              <w:spacing w:line="360" w:lineRule="auto"/>
              <w:jc w:val="left"/>
              <w:rPr>
                <w:rFonts w:hint="eastAsia" w:ascii="仿宋" w:hAnsi="仿宋" w:eastAsia="仿宋" w:cs="仿宋"/>
                <w:color w:val="000000"/>
                <w:sz w:val="24"/>
                <w:szCs w:val="20"/>
                <w:highlight w:val="none"/>
              </w:rPr>
            </w:pPr>
          </w:p>
        </w:tc>
        <w:tc>
          <w:tcPr>
            <w:tcW w:w="2875" w:type="dxa"/>
            <w:noWrap w:val="0"/>
            <w:vAlign w:val="top"/>
          </w:tcPr>
          <w:p>
            <w:pPr>
              <w:tabs>
                <w:tab w:val="left" w:pos="5580"/>
              </w:tabs>
              <w:spacing w:line="360" w:lineRule="auto"/>
              <w:jc w:val="left"/>
              <w:rPr>
                <w:rFonts w:hint="eastAsia" w:ascii="仿宋" w:hAnsi="仿宋" w:eastAsia="仿宋" w:cs="仿宋"/>
                <w:color w:val="000000"/>
                <w:sz w:val="24"/>
                <w:szCs w:val="20"/>
                <w:highlight w:val="none"/>
              </w:rPr>
            </w:pPr>
          </w:p>
        </w:tc>
      </w:tr>
    </w:tbl>
    <w:p>
      <w:pPr>
        <w:ind w:firstLine="720" w:firstLineChars="3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注：</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提供有效期内的身份证明材料，例如居民身份证或户口本或军官证或护照等；</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若提供居民身份证，须为正、反面复印件。</w:t>
      </w:r>
    </w:p>
    <w:p>
      <w:pPr>
        <w:widowControl/>
        <w:shd w:val="clear" w:color="auto" w:fill="FFFFFF"/>
        <w:wordWrap w:val="0"/>
        <w:spacing w:line="270" w:lineRule="atLeast"/>
        <w:ind w:left="480" w:hanging="36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★说明：上述证明文件附有法定代表人、被授权代表身份证复印件（</w:t>
      </w:r>
      <w:r>
        <w:rPr>
          <w:rFonts w:hint="eastAsia" w:ascii="仿宋" w:hAnsi="仿宋" w:eastAsia="仿宋" w:cs="仿宋"/>
          <w:color w:val="auto"/>
          <w:kern w:val="0"/>
          <w:sz w:val="24"/>
          <w:szCs w:val="24"/>
          <w:highlight w:val="none"/>
          <w:lang w:val="en-US" w:eastAsia="zh-CN"/>
        </w:rPr>
        <w:t>双方签字并</w:t>
      </w:r>
      <w:r>
        <w:rPr>
          <w:rFonts w:hint="eastAsia" w:ascii="仿宋" w:hAnsi="仿宋" w:eastAsia="仿宋" w:cs="仿宋"/>
          <w:color w:val="auto"/>
          <w:kern w:val="0"/>
          <w:sz w:val="24"/>
          <w:szCs w:val="24"/>
          <w:highlight w:val="none"/>
        </w:rPr>
        <w:t>加盖公章）时才能生效。</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Segoe UI" w:eastAsia="仿宋_GB2312" w:cs="Segoe UI"/>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auto"/>
          <w:kern w:val="0"/>
          <w:sz w:val="24"/>
          <w:szCs w:val="24"/>
          <w:highlight w:val="none"/>
        </w:rPr>
        <w:br w:type="page"/>
      </w:r>
      <w:r>
        <w:rPr>
          <w:rFonts w:hint="eastAsia" w:ascii="仿宋_GB2312" w:hAnsi="Segoe UI" w:eastAsia="仿宋_GB2312" w:cs="Segoe UI"/>
          <w:b/>
          <w:bCs/>
          <w:color w:val="000000" w:themeColor="text1"/>
          <w:kern w:val="0"/>
          <w:sz w:val="28"/>
          <w:szCs w:val="28"/>
          <w:lang w:val="en-US" w:eastAsia="zh-CN" w:bidi="ar-SA"/>
          <w14:textFill>
            <w14:solidFill>
              <w14:schemeClr w14:val="tx1"/>
            </w14:solidFill>
          </w14:textFill>
        </w:rPr>
        <w:t>附件5-6：</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法定代表人（单位负责人）身份证明</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center"/>
        <w:textAlignment w:val="auto"/>
        <w:outlineLvl w:val="9"/>
        <w:rPr>
          <w:rFonts w:hint="eastAsia"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（若供应商代表为“法定代表人（单位负责人）”时，提供此证明）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sz w:val="24"/>
          <w:highlight w:val="none"/>
          <w:lang w:eastAsia="zh-CN"/>
        </w:rPr>
        <w:t>四川省妇幼保健院</w:t>
      </w:r>
      <w:r>
        <w:rPr>
          <w:rFonts w:hint="eastAsia" w:ascii="仿宋" w:hAnsi="仿宋" w:eastAsia="仿宋" w:cs="仿宋"/>
          <w:sz w:val="24"/>
          <w:highlight w:val="none"/>
        </w:rPr>
        <w:t>：</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（姓名）系</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（供应商名称）的法定代表人（单位负责人）（职务</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特此证明。</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outlineLvl w:val="9"/>
        <w:rPr>
          <w:rFonts w:hint="eastAsia" w:ascii="仿宋" w:hAnsi="仿宋" w:eastAsia="仿宋" w:cs="仿宋"/>
          <w:highlight w:val="none"/>
          <w:lang w:val="en-US" w:eastAsia="zh-CN"/>
        </w:rPr>
      </w:pP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供应商名称：XXXX（盖单位公章）</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法定代表人（单位负责人）（签字或加盖个人名章）：XXXX。</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日    期：XXXX。</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u w:val="none"/>
          <w:lang w:val="en-US" w:eastAsia="zh-CN"/>
        </w:rPr>
      </w:pP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法定代表人（单位负责人）有效期内的居民身份证正反面</w:t>
      </w:r>
    </w:p>
    <w:tbl>
      <w:tblPr>
        <w:tblStyle w:val="13"/>
        <w:tblW w:w="6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01"/>
        <w:gridCol w:w="3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jc w:val="center"/>
        </w:trPr>
        <w:tc>
          <w:tcPr>
            <w:tcW w:w="3501" w:type="dxa"/>
            <w:noWrap w:val="0"/>
            <w:vAlign w:val="top"/>
          </w:tcPr>
          <w:p>
            <w:pPr>
              <w:tabs>
                <w:tab w:val="left" w:pos="5580"/>
              </w:tabs>
              <w:spacing w:line="360" w:lineRule="auto"/>
              <w:jc w:val="left"/>
              <w:rPr>
                <w:rFonts w:hint="eastAsia" w:ascii="仿宋" w:hAnsi="仿宋" w:eastAsia="仿宋" w:cs="仿宋"/>
                <w:color w:val="000000"/>
                <w:sz w:val="24"/>
                <w:szCs w:val="20"/>
                <w:highlight w:val="none"/>
              </w:rPr>
            </w:pPr>
          </w:p>
        </w:tc>
        <w:tc>
          <w:tcPr>
            <w:tcW w:w="3398" w:type="dxa"/>
            <w:noWrap w:val="0"/>
            <w:vAlign w:val="top"/>
          </w:tcPr>
          <w:p>
            <w:pPr>
              <w:tabs>
                <w:tab w:val="left" w:pos="5580"/>
              </w:tabs>
              <w:spacing w:line="360" w:lineRule="auto"/>
              <w:jc w:val="left"/>
              <w:rPr>
                <w:rFonts w:hint="eastAsia" w:ascii="仿宋" w:hAnsi="仿宋" w:eastAsia="仿宋" w:cs="仿宋"/>
                <w:color w:val="000000"/>
                <w:sz w:val="24"/>
                <w:szCs w:val="20"/>
                <w:highlight w:val="none"/>
              </w:rPr>
            </w:pPr>
          </w:p>
        </w:tc>
      </w:tr>
    </w:tbl>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2" w:firstLineChars="200"/>
        <w:jc w:val="left"/>
        <w:textAlignment w:val="auto"/>
        <w:outlineLvl w:val="9"/>
        <w:rPr>
          <w:rFonts w:hint="eastAsia" w:ascii="仿宋" w:hAnsi="仿宋" w:eastAsia="仿宋" w:cs="仿宋"/>
          <w:b/>
          <w:bCs/>
          <w:i w:val="0"/>
          <w:iCs w:val="0"/>
          <w:color w:val="auto"/>
          <w:sz w:val="24"/>
          <w:szCs w:val="24"/>
          <w:highlight w:val="none"/>
          <w:u w:val="none"/>
          <w:lang w:val="en-US" w:eastAsia="zh-CN"/>
        </w:rPr>
      </w:pPr>
    </w:p>
    <w:p>
      <w:pPr>
        <w:rPr>
          <w:rFonts w:hint="eastAsia" w:ascii="仿宋" w:hAnsi="仿宋" w:eastAsia="仿宋" w:cs="仿宋"/>
          <w:b/>
          <w:bCs/>
          <w:color w:val="auto"/>
          <w:kern w:val="0"/>
          <w:sz w:val="24"/>
          <w:szCs w:val="24"/>
          <w:highlight w:val="none"/>
        </w:rPr>
      </w:pPr>
      <w:r>
        <w:rPr>
          <w:rFonts w:hint="eastAsia" w:ascii="仿宋" w:hAnsi="仿宋" w:eastAsia="仿宋" w:cs="仿宋"/>
          <w:sz w:val="24"/>
          <w:highlight w:val="none"/>
          <w:lang w:eastAsia="zh-CN"/>
        </w:rPr>
        <w:t>注：</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提供有效期内的身份证明材料，例如居民身份证或户口本或军官证或护照等；</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若提供居民身份证，须为正、反面复印件。</w:t>
      </w:r>
    </w:p>
    <w:p>
      <w:pPr>
        <w:pStyle w:val="7"/>
        <w:rPr>
          <w:rFonts w:hint="eastAsia" w:ascii="仿宋" w:hAnsi="仿宋" w:eastAsia="仿宋" w:cs="仿宋"/>
          <w:highlight w:val="none"/>
        </w:rPr>
      </w:pPr>
    </w:p>
    <w:p>
      <w:pP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pPr>
        <w:pStyle w:val="27"/>
        <w:pageBreakBefore w:val="0"/>
        <w:kinsoku/>
        <w:overflowPunct/>
        <w:topLinePunct w:val="0"/>
        <w:autoSpaceDE/>
        <w:autoSpaceDN/>
        <w:bidi w:val="0"/>
        <w:snapToGrid w:val="0"/>
        <w:spacing w:before="156" w:beforeLines="50" w:after="312" w:afterLines="100" w:line="360" w:lineRule="auto"/>
        <w:ind w:firstLine="0" w:firstLineChars="0"/>
        <w:jc w:val="left"/>
        <w:textAlignment w:val="auto"/>
        <w:rPr>
          <w:rFonts w:hint="eastAsia" w:ascii="仿宋_GB2312" w:hAnsi="Segoe UI" w:eastAsia="仿宋_GB2312" w:cs="Segoe UI"/>
          <w:b/>
          <w:bCs/>
          <w:color w:val="000000" w:themeColor="text1"/>
          <w:kern w:val="0"/>
          <w:sz w:val="28"/>
          <w:szCs w:val="28"/>
          <w:lang w:val="en-US" w:eastAsia="zh-CN" w:bidi="ar-SA"/>
          <w14:textFill>
            <w14:solidFill>
              <w14:schemeClr w14:val="tx1"/>
            </w14:solidFill>
          </w14:textFill>
        </w:rPr>
      </w:pPr>
      <w:r>
        <w:rPr>
          <w:rFonts w:hint="eastAsia" w:ascii="仿宋_GB2312" w:hAnsi="Segoe UI" w:eastAsia="仿宋_GB2312" w:cs="Segoe UI"/>
          <w:b/>
          <w:bCs/>
          <w:color w:val="000000" w:themeColor="text1"/>
          <w:kern w:val="0"/>
          <w:sz w:val="28"/>
          <w:szCs w:val="28"/>
          <w:lang w:val="en-US" w:eastAsia="zh-CN" w:bidi="ar-SA"/>
          <w14:textFill>
            <w14:solidFill>
              <w14:schemeClr w14:val="tx1"/>
            </w14:solidFill>
          </w14:textFill>
        </w:rPr>
        <w:t>附件5-7：承诺函</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承诺函</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四川省妇幼保健院：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xml:space="preserve">本供应商      （供应商全称）        参加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 xml:space="preserve">   （项目编号            ）的磋商活动，现郑重承诺：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一、具备本项目规定的条件：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xml:space="preserve">（一）具有独立承担民事责任的能力；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xml:space="preserve">（二）具有良好的商业信誉和健全的财务会计制度；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xml:space="preserve">（三）具有履行合同所必需的设备和专业技术能力；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xml:space="preserve">（四）有依法缴纳税收和社会保障资金的良好记录；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（五）参加采购活动前三年内，在经营活动中没有重大违法记录；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（六）法律、行政法规规定的其他条件；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四、参加本次磋商采购活动，不存在和其他供应商在同一合同项下的采购项目中，同时委托同一个自然人、同一家庭的人员、同一单位的人员作为代理人的行为。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五、本单位未被对列入按财库[2016]125号规定的失信被执行人、重大税收违法案件当事人名单、政府采购严重违法失信行为记录名单及其他不符合《中华人民共和国政府采购法》第二十二条规定条件的供应商。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六、国家或行业主管部门对采购产品的技术标准、质量标准和资格资质条件等有强制性规定的，我方承诺符合其要求。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本公司对上述承诺的内容事项真实性负责。如经查实上述承诺的内容事项存在虚假，本单位愿意接受以提供虚假材料谋取成交追究法律责任。</w:t>
      </w:r>
      <w:r>
        <w:rPr>
          <w:rFonts w:hint="eastAsia" w:ascii="仿宋" w:hAnsi="仿宋" w:eastAsia="仿宋" w:cs="仿宋"/>
          <w:sz w:val="24"/>
          <w:highlight w:val="none"/>
          <w:lang w:eastAsia="zh-CN"/>
        </w:rPr>
        <w:tab/>
      </w:r>
      <w:r>
        <w:rPr>
          <w:rFonts w:hint="eastAsia" w:ascii="仿宋" w:hAnsi="仿宋" w:eastAsia="仿宋" w:cs="仿宋"/>
          <w:sz w:val="24"/>
          <w:highlight w:val="none"/>
          <w:lang w:eastAsia="zh-CN"/>
        </w:rPr>
        <w:tab/>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供应商名称：        （盖章）</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法定代表人或授权代表（签字或盖章）：</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日 期：</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highlight w:val="none"/>
          <w:lang w:eastAsia="zh-CN"/>
        </w:rPr>
        <w:sectPr>
          <w:pgSz w:w="11906" w:h="16838"/>
          <w:pgMar w:top="1440" w:right="1800" w:bottom="1440" w:left="1800" w:header="851" w:footer="992" w:gutter="0"/>
          <w:cols w:space="425" w:num="1"/>
          <w:docGrid w:type="lines" w:linePitch="312" w:charSpace="0"/>
        </w:sectPr>
      </w:pPr>
    </w:p>
    <w:bookmarkEnd w:id="2"/>
    <w:bookmarkEnd w:id="3"/>
    <w:bookmarkEnd w:id="4"/>
    <w:bookmarkEnd w:id="5"/>
    <w:bookmarkEnd w:id="6"/>
    <w:p>
      <w:pPr>
        <w:pStyle w:val="27"/>
        <w:pageBreakBefore w:val="0"/>
        <w:kinsoku/>
        <w:overflowPunct/>
        <w:topLinePunct w:val="0"/>
        <w:autoSpaceDE/>
        <w:autoSpaceDN/>
        <w:bidi w:val="0"/>
        <w:snapToGrid w:val="0"/>
        <w:spacing w:before="156" w:beforeLines="50" w:after="312" w:afterLines="100" w:line="360" w:lineRule="auto"/>
        <w:ind w:firstLine="0" w:firstLineChars="0"/>
        <w:jc w:val="left"/>
        <w:textAlignment w:val="auto"/>
        <w:rPr>
          <w:rFonts w:hint="eastAsia" w:ascii="仿宋_GB2312" w:hAnsi="Segoe UI" w:eastAsia="仿宋_GB2312" w:cs="Segoe UI"/>
          <w:b/>
          <w:bCs/>
          <w:color w:val="000000" w:themeColor="text1"/>
          <w:kern w:val="0"/>
          <w:sz w:val="28"/>
          <w:szCs w:val="28"/>
          <w:lang w:val="en-US" w:eastAsia="zh-CN" w:bidi="ar-SA"/>
          <w14:textFill>
            <w14:solidFill>
              <w14:schemeClr w14:val="tx1"/>
            </w14:solidFill>
          </w14:textFill>
        </w:rPr>
      </w:pPr>
      <w:r>
        <w:rPr>
          <w:rFonts w:hint="eastAsia" w:ascii="仿宋_GB2312" w:hAnsi="Segoe UI" w:eastAsia="仿宋_GB2312" w:cs="Segoe UI"/>
          <w:b/>
          <w:bCs/>
          <w:color w:val="000000" w:themeColor="text1"/>
          <w:kern w:val="0"/>
          <w:sz w:val="28"/>
          <w:szCs w:val="28"/>
          <w:lang w:val="en-US" w:eastAsia="zh-CN" w:bidi="ar-SA"/>
          <w14:textFill>
            <w14:solidFill>
              <w14:schemeClr w14:val="tx1"/>
            </w14:solidFill>
          </w14:textFill>
        </w:rPr>
        <w:t>附件6：</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反商业贿赂承诺书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二、本厂家、商家、公司保证在药品、医疗器械、设备、物资、基建工程竞标工作及药品、试剂销售等工作中承诺做到：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1、不与其他供应商相互串通投标报价，损害贵院的合法权益；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2、不与招标人串通投标，损害国家利益、社会公共利益或他人的合法权益；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3、不以向招标人或者评标委员会成员行贿的手段谋取中标；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4、竞标报价不违反相关法律的规定，也不以他人名义投标或者以其他方式弄虚作假，骗取中标；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5、保证不以其他任何方式扰乱贵院的招标工作；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6、保证不在药品销售、医疗器械、设备、物资、基建工程竞标中采取账外暗中给予回扣的手段腐蚀、贿赂医护、药剂人员、干部等其他相关人员；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8、保证不让贵院临床科室、药剂部门以及有关人员登记、统计医生处方或为此提供方便，干扰贵院的正常工作秩序；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9、保证不以其他任何不正当竞争手段推销药品、医疗器械、设备、物资。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三、本厂家、商家、公司保证竭力维护贵院的声誉，不做任何有损贵院形象的事情。</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五、对本厂家、商家、公司及本厂家、商家、公司工作人员采取以上手段竞标、促销等，干扰贵院正常工作秩序，损害贵院形象的，本厂家、商家、公司保证：</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2、对本厂家、商家、公司相关工作人员作出严肃处理；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六、采购物资名称：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本《承诺书》一式二份（一份由承诺人自存；一份随投标文件装订）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sectPr>
          <w:pgSz w:w="11906" w:h="16838"/>
          <w:pgMar w:top="1020" w:right="1800" w:bottom="1440" w:left="1800" w:header="851" w:footer="992" w:gutter="0"/>
          <w:cols w:space="425" w:num="1"/>
          <w:docGrid w:type="lines" w:linePitch="312" w:charSpace="0"/>
        </w:sectPr>
      </w:pPr>
      <w:r>
        <w:rPr>
          <w:rFonts w:hint="eastAsia" w:ascii="仿宋" w:hAnsi="仿宋" w:eastAsia="仿宋" w:cs="仿宋"/>
          <w:sz w:val="24"/>
          <w:highlight w:val="none"/>
          <w:lang w:eastAsia="zh-CN"/>
        </w:rPr>
        <w:t>承诺企业名称（公章）法人代表或委托代理人（承诺人）</w:t>
      </w:r>
    </w:p>
    <w:p>
      <w:pPr>
        <w:pStyle w:val="27"/>
        <w:pageBreakBefore w:val="0"/>
        <w:kinsoku/>
        <w:overflowPunct/>
        <w:topLinePunct w:val="0"/>
        <w:autoSpaceDE/>
        <w:autoSpaceDN/>
        <w:bidi w:val="0"/>
        <w:snapToGrid w:val="0"/>
        <w:spacing w:before="156" w:beforeLines="50" w:after="312" w:afterLines="100" w:line="360" w:lineRule="auto"/>
        <w:ind w:firstLine="0" w:firstLineChars="0"/>
        <w:jc w:val="left"/>
        <w:textAlignment w:val="auto"/>
        <w:rPr>
          <w:rFonts w:hint="eastAsia" w:ascii="仿宋_GB2312" w:hAnsi="Segoe UI" w:eastAsia="仿宋_GB2312" w:cs="Segoe UI"/>
          <w:b/>
          <w:bCs/>
          <w:color w:val="000000" w:themeColor="text1"/>
          <w:kern w:val="0"/>
          <w:sz w:val="28"/>
          <w:szCs w:val="28"/>
          <w:lang w:val="en-US" w:eastAsia="zh-CN" w:bidi="ar-SA"/>
          <w14:textFill>
            <w14:solidFill>
              <w14:schemeClr w14:val="tx1"/>
            </w14:solidFill>
          </w14:textFill>
        </w:rPr>
      </w:pPr>
      <w:r>
        <w:rPr>
          <w:rFonts w:hint="eastAsia" w:ascii="仿宋_GB2312" w:hAnsi="Segoe UI" w:eastAsia="仿宋_GB2312" w:cs="Segoe UI"/>
          <w:b/>
          <w:bCs/>
          <w:color w:val="000000" w:themeColor="text1"/>
          <w:kern w:val="0"/>
          <w:sz w:val="28"/>
          <w:szCs w:val="28"/>
          <w:lang w:val="en-US" w:eastAsia="zh-CN" w:bidi="ar-SA"/>
          <w14:textFill>
            <w14:solidFill>
              <w14:schemeClr w14:val="tx1"/>
            </w14:solidFill>
          </w14:textFill>
        </w:rPr>
        <w:t>附件7：</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 xml:space="preserve"> 无围标、串标行为承诺书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本公司郑重承诺：我公司自觉遵守《中华人民共和国政府采购法》和《中华人民共和国政府采购法实施条例》的有关规定，我公司在参加本次项目（项目名称：XXXXXXX）采购活动中，无以下围标、串标行为：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1.不同供应商的投标文件由同一单位或者个人编制；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2.不同供应商委托同一单位或者个人办理投标事宜；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3.不同供应商的投标文件载明的项目管理成员或者联系人员为同一人；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4.不同供应商的投标文件异常一致或者投标报价呈规律性差异；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5.不同供应商的投标文件相互混装；</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6.不同供应商的投标保证金从同一单位或者个人的账户转出；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7.不同供应商的董事、监事、高管、单位负责人为同一人或者存在控股、管理关系的不同单位参加同一采购项目；</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8.供应商之间事先约定由某一特定供应商中标、成交；</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9.供应商之间商定部分供应商放弃参加采购活动或者放弃中标、成交；</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10.法律法规界定的其他围标串标行为。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供应商法人代表或委托代理人（承诺人）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xml:space="preserve">供应商：（公章）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日期：   年    月    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br w:type="page"/>
      </w:r>
    </w:p>
    <w:p>
      <w:pPr>
        <w:pStyle w:val="27"/>
        <w:pageBreakBefore w:val="0"/>
        <w:kinsoku/>
        <w:overflowPunct/>
        <w:topLinePunct w:val="0"/>
        <w:autoSpaceDE/>
        <w:autoSpaceDN/>
        <w:bidi w:val="0"/>
        <w:snapToGrid w:val="0"/>
        <w:spacing w:before="156" w:beforeLines="50" w:after="312" w:afterLines="100" w:line="360" w:lineRule="auto"/>
        <w:ind w:firstLine="0" w:firstLineChars="0"/>
        <w:jc w:val="left"/>
        <w:textAlignment w:val="auto"/>
        <w:rPr>
          <w:rFonts w:hint="eastAsia" w:ascii="仿宋_GB2312" w:hAnsi="Segoe UI" w:eastAsia="仿宋_GB2312" w:cs="Segoe UI"/>
          <w:b/>
          <w:bCs/>
          <w:color w:val="000000" w:themeColor="text1"/>
          <w:kern w:val="0"/>
          <w:sz w:val="28"/>
          <w:szCs w:val="28"/>
          <w:lang w:val="en-US" w:eastAsia="zh-CN" w:bidi="ar-SA"/>
          <w14:textFill>
            <w14:solidFill>
              <w14:schemeClr w14:val="tx1"/>
            </w14:solidFill>
          </w14:textFill>
        </w:rPr>
      </w:pPr>
      <w:r>
        <w:rPr>
          <w:rFonts w:hint="eastAsia" w:ascii="仿宋_GB2312" w:hAnsi="Segoe UI" w:eastAsia="仿宋_GB2312" w:cs="Segoe UI"/>
          <w:b/>
          <w:bCs/>
          <w:color w:val="000000" w:themeColor="text1"/>
          <w:kern w:val="0"/>
          <w:sz w:val="28"/>
          <w:szCs w:val="28"/>
          <w:lang w:val="en-US" w:eastAsia="zh-CN" w:bidi="ar-SA"/>
          <w14:textFill>
            <w14:solidFill>
              <w14:schemeClr w14:val="tx1"/>
            </w14:solidFill>
          </w14:textFill>
        </w:rPr>
        <w:t>附件8：</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供应商遵守招标采购纪律承诺书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致四川省妇幼保健院：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我单位作为本次采购项目的供应商，根据</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lang w:eastAsia="zh-CN"/>
        </w:rPr>
        <w:t>文件要求，现郑重承诺如下：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一、参加本次采购活动，我单位不存在与单位负责人为同一人或者存在直接控股、管理关系的其他供应商参与同一合同项下的采购活动的行为。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二、参加本次采购活动，不得直接或者间接从采购人或者采购代理机构处获得其他供应商的相关情况并修改其投标文件或者响应文件。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三、参加本次采购活动，不得按照采购人的授意撤换、修改投标文件或者响应文件。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四、参加本次采购活动，不得和本次采购供应商之间协商报价、技术方案等投标文件或者响应文件的实质性内容。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五、本次采购活动中，不存在属于同一集团、协会、商会等组织成员的供应商按照该组织要求协同参加本次采购活动。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六、参加本次采购活动，不存在与其他供应商之间事先约定由某一特定供应商中标、成交。</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七、参加本次采购活动，不存在与其他供应商商定部分供应商放弃参加采购活动或者放弃中标、成交。</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八、参加本次采购活动，不存在我单位的投标文件或者响应文件由其他参与本项目的单位或个人编制或委托办理投标事宜。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九、参加本次采购活动，不存在我单位与采购人之间、供应商相互之间，为谋求特定供应商中标、成交或者排斥其他供应商的其他串通行为。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十、与我方存在直接控股关系的单位为：_______________；</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存在管理关系单位为：____________________________。</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xml:space="preserve">供应商名称（单位公章）：                 年    月   日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法定代表人/单位负责人或授权代表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xml:space="preserve">（签字或加盖个人名章）：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1.“负责人”是指单位法定代表人或者法律、行政法规规定代表单位行使职权的主要负责人。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3.“管理关系”是指与不具有出资持股关系的单位之间存在的其他管理与被管理关系。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p>
    <w:p>
      <w:pPr>
        <w:rPr>
          <w:rFonts w:hint="eastAsia" w:ascii="仿宋" w:hAnsi="仿宋" w:eastAsia="仿宋" w:cs="仿宋"/>
          <w:highlight w:val="none"/>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457125"/>
    <w:rsid w:val="022669F2"/>
    <w:rsid w:val="024E0D6C"/>
    <w:rsid w:val="053A5330"/>
    <w:rsid w:val="07953CAB"/>
    <w:rsid w:val="07B925A7"/>
    <w:rsid w:val="0BF815CE"/>
    <w:rsid w:val="0D7D551E"/>
    <w:rsid w:val="0E0C720C"/>
    <w:rsid w:val="0E911C5D"/>
    <w:rsid w:val="0E9A50FE"/>
    <w:rsid w:val="0FF534BF"/>
    <w:rsid w:val="10954EC2"/>
    <w:rsid w:val="11811400"/>
    <w:rsid w:val="11CC58B9"/>
    <w:rsid w:val="12A81059"/>
    <w:rsid w:val="13485B4A"/>
    <w:rsid w:val="14456F80"/>
    <w:rsid w:val="1590024E"/>
    <w:rsid w:val="16D74F44"/>
    <w:rsid w:val="195D2073"/>
    <w:rsid w:val="1A37043E"/>
    <w:rsid w:val="1B59785A"/>
    <w:rsid w:val="1D6C7B6D"/>
    <w:rsid w:val="1EBF6869"/>
    <w:rsid w:val="1F67059B"/>
    <w:rsid w:val="21F26A46"/>
    <w:rsid w:val="224C33B7"/>
    <w:rsid w:val="228C2840"/>
    <w:rsid w:val="26D9225C"/>
    <w:rsid w:val="272816FC"/>
    <w:rsid w:val="28203DA9"/>
    <w:rsid w:val="2C930845"/>
    <w:rsid w:val="2E811DD5"/>
    <w:rsid w:val="357C4381"/>
    <w:rsid w:val="364F4E7F"/>
    <w:rsid w:val="365344A5"/>
    <w:rsid w:val="37972F5F"/>
    <w:rsid w:val="38BB478A"/>
    <w:rsid w:val="396510AC"/>
    <w:rsid w:val="3DE334AA"/>
    <w:rsid w:val="3ED3727D"/>
    <w:rsid w:val="405F3E1B"/>
    <w:rsid w:val="41EE0E8D"/>
    <w:rsid w:val="4669398D"/>
    <w:rsid w:val="477915F2"/>
    <w:rsid w:val="48983A5D"/>
    <w:rsid w:val="4AE36A9A"/>
    <w:rsid w:val="4B7A520A"/>
    <w:rsid w:val="4C5E41EC"/>
    <w:rsid w:val="4E1A3864"/>
    <w:rsid w:val="4EE10A0C"/>
    <w:rsid w:val="4FDD037A"/>
    <w:rsid w:val="51CB3FD0"/>
    <w:rsid w:val="52373124"/>
    <w:rsid w:val="53914C7E"/>
    <w:rsid w:val="54EF164B"/>
    <w:rsid w:val="5536063D"/>
    <w:rsid w:val="55F211D3"/>
    <w:rsid w:val="56183BA8"/>
    <w:rsid w:val="577B25E6"/>
    <w:rsid w:val="57A645F4"/>
    <w:rsid w:val="59BF720F"/>
    <w:rsid w:val="5C452678"/>
    <w:rsid w:val="5CCE2199"/>
    <w:rsid w:val="5FEC0FA4"/>
    <w:rsid w:val="60795DD8"/>
    <w:rsid w:val="61956C64"/>
    <w:rsid w:val="61DB5EE7"/>
    <w:rsid w:val="623D5263"/>
    <w:rsid w:val="62FA0171"/>
    <w:rsid w:val="637366D0"/>
    <w:rsid w:val="63E72E68"/>
    <w:rsid w:val="64ED5044"/>
    <w:rsid w:val="65C660EF"/>
    <w:rsid w:val="65DA011F"/>
    <w:rsid w:val="66D20681"/>
    <w:rsid w:val="672307FB"/>
    <w:rsid w:val="672843F4"/>
    <w:rsid w:val="6A052BEC"/>
    <w:rsid w:val="6A38583D"/>
    <w:rsid w:val="6C0F1984"/>
    <w:rsid w:val="6CF82393"/>
    <w:rsid w:val="6F981A3F"/>
    <w:rsid w:val="701306BF"/>
    <w:rsid w:val="710D63F2"/>
    <w:rsid w:val="716610EA"/>
    <w:rsid w:val="71D57369"/>
    <w:rsid w:val="73873B69"/>
    <w:rsid w:val="75233D75"/>
    <w:rsid w:val="77490A08"/>
    <w:rsid w:val="78BA1DAC"/>
    <w:rsid w:val="799A6260"/>
    <w:rsid w:val="7A036A71"/>
    <w:rsid w:val="7C560E66"/>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5"/>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jc w:val="left"/>
    </w:pPr>
    <w:rPr>
      <w:sz w:val="18"/>
      <w:szCs w:val="18"/>
    </w:rPr>
  </w:style>
  <w:style w:type="paragraph" w:styleId="5">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6">
    <w:name w:val="annotation text"/>
    <w:basedOn w:val="1"/>
    <w:link w:val="21"/>
    <w:semiHidden/>
    <w:unhideWhenUsed/>
    <w:qFormat/>
    <w:uiPriority w:val="99"/>
    <w:pPr>
      <w:jc w:val="left"/>
    </w:pPr>
  </w:style>
  <w:style w:type="paragraph" w:styleId="7">
    <w:name w:val="Body Text"/>
    <w:basedOn w:val="1"/>
    <w:next w:val="1"/>
    <w:unhideWhenUsed/>
    <w:qFormat/>
    <w:uiPriority w:val="99"/>
    <w:pPr>
      <w:spacing w:after="120"/>
    </w:pPr>
  </w:style>
  <w:style w:type="paragraph" w:styleId="8">
    <w:name w:val="Body Text Indent 2"/>
    <w:basedOn w:val="1"/>
    <w:semiHidden/>
    <w:unhideWhenUsed/>
    <w:qFormat/>
    <w:uiPriority w:val="99"/>
    <w:pPr>
      <w:spacing w:after="120" w:line="480" w:lineRule="auto"/>
      <w:ind w:left="420" w:leftChars="200"/>
    </w:pPr>
  </w:style>
  <w:style w:type="paragraph" w:styleId="9">
    <w:name w:val="Balloon Text"/>
    <w:basedOn w:val="1"/>
    <w:link w:val="23"/>
    <w:semiHidden/>
    <w:unhideWhenUsed/>
    <w:qFormat/>
    <w:uiPriority w:val="99"/>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6"/>
    <w:next w:val="6"/>
    <w:link w:val="22"/>
    <w:semiHidden/>
    <w:unhideWhenUsed/>
    <w:qFormat/>
    <w:uiPriority w:val="99"/>
    <w:rPr>
      <w:b/>
      <w:bCs/>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Emphasis"/>
    <w:basedOn w:val="15"/>
    <w:qFormat/>
    <w:uiPriority w:val="20"/>
    <w:rPr>
      <w:i/>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10"/>
    <w:semiHidden/>
    <w:qFormat/>
    <w:uiPriority w:val="99"/>
    <w:rPr>
      <w:sz w:val="18"/>
      <w:szCs w:val="18"/>
    </w:rPr>
  </w:style>
  <w:style w:type="character" w:customStyle="1" w:styleId="19">
    <w:name w:val="页脚 Char"/>
    <w:basedOn w:val="15"/>
    <w:link w:val="2"/>
    <w:semiHidden/>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批注文字 Char"/>
    <w:basedOn w:val="15"/>
    <w:link w:val="6"/>
    <w:semiHidden/>
    <w:qFormat/>
    <w:uiPriority w:val="99"/>
  </w:style>
  <w:style w:type="character" w:customStyle="1" w:styleId="22">
    <w:name w:val="批注主题 Char"/>
    <w:basedOn w:val="21"/>
    <w:link w:val="12"/>
    <w:semiHidden/>
    <w:qFormat/>
    <w:uiPriority w:val="99"/>
    <w:rPr>
      <w:b/>
      <w:bCs/>
    </w:rPr>
  </w:style>
  <w:style w:type="character" w:customStyle="1" w:styleId="23">
    <w:name w:val="批注框文本 Char"/>
    <w:basedOn w:val="15"/>
    <w:link w:val="9"/>
    <w:semiHidden/>
    <w:qFormat/>
    <w:uiPriority w:val="99"/>
    <w:rPr>
      <w:sz w:val="18"/>
      <w:szCs w:val="18"/>
    </w:rPr>
  </w:style>
  <w:style w:type="character" w:customStyle="1" w:styleId="24">
    <w:name w:val="fontstyle01"/>
    <w:basedOn w:val="15"/>
    <w:qFormat/>
    <w:uiPriority w:val="0"/>
    <w:rPr>
      <w:rFonts w:ascii="SegoeUI" w:hAnsi="SegoeUI" w:eastAsia="SegoeUI" w:cs="SegoeUI"/>
      <w:color w:val="333333"/>
      <w:sz w:val="16"/>
      <w:szCs w:val="16"/>
    </w:rPr>
  </w:style>
  <w:style w:type="character" w:customStyle="1" w:styleId="25">
    <w:name w:val="fontstyle11"/>
    <w:basedOn w:val="15"/>
    <w:qFormat/>
    <w:uiPriority w:val="0"/>
    <w:rPr>
      <w:rFonts w:ascii="MicrosoftYaHei" w:hAnsi="MicrosoftYaHei" w:eastAsia="MicrosoftYaHei" w:cs="MicrosoftYaHei"/>
      <w:color w:val="333333"/>
      <w:sz w:val="16"/>
      <w:szCs w:val="16"/>
    </w:rPr>
  </w:style>
  <w:style w:type="paragraph" w:customStyle="1" w:styleId="26">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27">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2</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WPS_447501871</cp:lastModifiedBy>
  <cp:lastPrinted>2025-08-22T06:58:00Z</cp:lastPrinted>
  <dcterms:modified xsi:type="dcterms:W3CDTF">2025-08-25T00:36:04Z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