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21B04">
      <w:pPr>
        <w:pageBreakBefore w:val="0"/>
        <w:kinsoku/>
        <w:autoSpaceDE/>
        <w:autoSpaceDN/>
        <w:bidi w:val="0"/>
        <w:spacing w:line="240" w:lineRule="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附件1：</w:t>
      </w:r>
      <w:r>
        <w:rPr>
          <w:rFonts w:hint="eastAsia" w:ascii="仿宋" w:hAnsi="仿宋" w:eastAsia="仿宋" w:cs="仿宋"/>
          <w:b/>
          <w:bCs/>
          <w:color w:val="auto"/>
          <w:sz w:val="32"/>
          <w:szCs w:val="32"/>
          <w:highlight w:val="none"/>
          <w:lang w:val="en-US" w:eastAsia="zh-CN"/>
        </w:rPr>
        <w:t>采购需求</w:t>
      </w:r>
    </w:p>
    <w:p w14:paraId="1184BF77">
      <w:pPr>
        <w:pStyle w:val="7"/>
        <w:pageBreakBefore w:val="0"/>
        <w:kinsoku/>
        <w:autoSpaceDE/>
        <w:autoSpaceDN/>
        <w:bidi w:val="0"/>
        <w:spacing w:line="240" w:lineRule="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一、项目概述</w:t>
      </w:r>
    </w:p>
    <w:p w14:paraId="059D8A8F">
      <w:pPr>
        <w:pStyle w:val="10"/>
        <w:pageBreakBefore w:val="0"/>
        <w:kinsoku/>
        <w:autoSpaceDE/>
        <w:autoSpaceDN/>
        <w:bidi w:val="0"/>
        <w:spacing w:before="0" w:beforeAutospacing="0" w:after="0" w:afterAutospacing="0" w:line="24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新生儿出生一件事”是以省一体化政务服务平台为管理枢纽，联通卫健、公安、疾控、医保、社保相关业务系统的集成化办理服务。包括基于天府通办APP发起申请的移动端、基于四川政务服务网发起申请的网页端等业务模块。为落实国务院办公厅关于加快推进“一件事一次办”相关文件精神，提高“新生儿出生一件事”服务质效，提出</w:t>
      </w:r>
      <w:bookmarkStart w:id="0" w:name="OLE_LINK3"/>
      <w:r>
        <w:rPr>
          <w:rFonts w:hint="eastAsia" w:ascii="仿宋" w:hAnsi="仿宋" w:eastAsia="仿宋" w:cs="仿宋"/>
          <w:bCs/>
          <w:color w:val="auto"/>
          <w:sz w:val="32"/>
          <w:szCs w:val="32"/>
        </w:rPr>
        <w:t>“新生儿出生一件事”信息系统运维服务</w:t>
      </w:r>
      <w:bookmarkEnd w:id="0"/>
      <w:r>
        <w:rPr>
          <w:rFonts w:hint="eastAsia" w:ascii="仿宋" w:hAnsi="仿宋" w:eastAsia="仿宋" w:cs="仿宋"/>
          <w:bCs/>
          <w:color w:val="auto"/>
          <w:sz w:val="32"/>
          <w:szCs w:val="32"/>
        </w:rPr>
        <w:t>需求。</w:t>
      </w:r>
    </w:p>
    <w:p w14:paraId="7F3BB595">
      <w:pPr>
        <w:pStyle w:val="10"/>
        <w:pageBreakBefore w:val="0"/>
        <w:kinsoku/>
        <w:autoSpaceDE/>
        <w:autoSpaceDN/>
        <w:bidi w:val="0"/>
        <w:spacing w:before="0" w:beforeAutospacing="0" w:after="0" w:afterAutospacing="0" w:line="240" w:lineRule="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二</w:t>
      </w:r>
      <w:r>
        <w:rPr>
          <w:rFonts w:hint="eastAsia" w:ascii="仿宋" w:hAnsi="仿宋" w:eastAsia="仿宋" w:cs="仿宋"/>
          <w:b/>
          <w:bCs w:val="0"/>
          <w:color w:val="auto"/>
          <w:sz w:val="32"/>
          <w:szCs w:val="32"/>
        </w:rPr>
        <w:t>、采购清单</w:t>
      </w:r>
    </w:p>
    <w:p w14:paraId="32A81CCF">
      <w:pPr>
        <w:pStyle w:val="17"/>
        <w:pageBreakBefore w:val="0"/>
        <w:numPr>
          <w:ilvl w:val="0"/>
          <w:numId w:val="0"/>
        </w:numPr>
        <w:kinsoku/>
        <w:autoSpaceDE/>
        <w:autoSpaceDN/>
        <w:bidi w:val="0"/>
        <w:adjustRightInd w:val="0"/>
        <w:spacing w:before="156" w:beforeLines="50" w:after="156" w:afterLines="50" w:line="240" w:lineRule="auto"/>
        <w:contextualSpacing/>
        <w:jc w:val="lef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预算：</w:t>
      </w:r>
      <w:r>
        <w:rPr>
          <w:rFonts w:hint="eastAsia" w:ascii="仿宋" w:hAnsi="仿宋" w:eastAsia="仿宋" w:cs="仿宋"/>
          <w:bCs/>
          <w:color w:val="auto"/>
          <w:sz w:val="32"/>
          <w:szCs w:val="32"/>
          <w:lang w:val="en-US" w:eastAsia="zh-CN"/>
        </w:rPr>
        <w:t>9.8</w:t>
      </w:r>
      <w:r>
        <w:rPr>
          <w:rFonts w:hint="eastAsia" w:ascii="仿宋" w:hAnsi="仿宋" w:eastAsia="仿宋" w:cs="仿宋"/>
          <w:bCs/>
          <w:color w:val="auto"/>
          <w:sz w:val="32"/>
          <w:szCs w:val="32"/>
        </w:rPr>
        <w:t>万元</w:t>
      </w:r>
    </w:p>
    <w:p w14:paraId="72AE1FDC">
      <w:pPr>
        <w:pStyle w:val="17"/>
        <w:pageBreakBefore w:val="0"/>
        <w:numPr>
          <w:ilvl w:val="0"/>
          <w:numId w:val="0"/>
        </w:numPr>
        <w:kinsoku/>
        <w:autoSpaceDE/>
        <w:autoSpaceDN/>
        <w:bidi w:val="0"/>
        <w:adjustRightInd w:val="0"/>
        <w:spacing w:before="156" w:beforeLines="50" w:after="156" w:afterLines="50" w:line="240" w:lineRule="auto"/>
        <w:contextualSpacing/>
        <w:jc w:val="lef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2.采购</w:t>
      </w:r>
      <w:r>
        <w:rPr>
          <w:rFonts w:hint="eastAsia" w:ascii="仿宋" w:hAnsi="仿宋" w:eastAsia="仿宋" w:cs="仿宋"/>
          <w:bCs/>
          <w:color w:val="auto"/>
          <w:sz w:val="32"/>
          <w:szCs w:val="32"/>
        </w:rPr>
        <w:t>清单</w:t>
      </w:r>
    </w:p>
    <w:tbl>
      <w:tblPr>
        <w:tblStyle w:val="14"/>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54"/>
        <w:gridCol w:w="1701"/>
        <w:gridCol w:w="1701"/>
        <w:gridCol w:w="2151"/>
        <w:gridCol w:w="1818"/>
      </w:tblGrid>
      <w:tr w14:paraId="2EA4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5A9B91B">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序号</w:t>
            </w:r>
          </w:p>
        </w:tc>
        <w:tc>
          <w:tcPr>
            <w:tcW w:w="2254" w:type="dxa"/>
            <w:vAlign w:val="center"/>
          </w:tcPr>
          <w:p w14:paraId="0260B2F0">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标的名称</w:t>
            </w:r>
          </w:p>
        </w:tc>
        <w:tc>
          <w:tcPr>
            <w:tcW w:w="1701" w:type="dxa"/>
            <w:vAlign w:val="center"/>
          </w:tcPr>
          <w:p w14:paraId="182130C7">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数量</w:t>
            </w:r>
          </w:p>
        </w:tc>
        <w:tc>
          <w:tcPr>
            <w:tcW w:w="1701" w:type="dxa"/>
            <w:vAlign w:val="center"/>
          </w:tcPr>
          <w:p w14:paraId="0CFB2679">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单位</w:t>
            </w:r>
          </w:p>
        </w:tc>
        <w:tc>
          <w:tcPr>
            <w:tcW w:w="2151" w:type="dxa"/>
            <w:vAlign w:val="center"/>
          </w:tcPr>
          <w:p w14:paraId="357EB3EA">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最高限价</w:t>
            </w:r>
          </w:p>
          <w:p w14:paraId="5F821973">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万</w:t>
            </w:r>
            <w:r>
              <w:rPr>
                <w:rFonts w:hint="eastAsia" w:ascii="仿宋" w:hAnsi="仿宋" w:eastAsia="仿宋" w:cs="仿宋"/>
                <w:b/>
                <w:color w:val="auto"/>
                <w:sz w:val="32"/>
                <w:szCs w:val="32"/>
              </w:rPr>
              <w:t>元）</w:t>
            </w:r>
          </w:p>
        </w:tc>
        <w:tc>
          <w:tcPr>
            <w:tcW w:w="1818" w:type="dxa"/>
            <w:vAlign w:val="center"/>
          </w:tcPr>
          <w:p w14:paraId="1FA655E4">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备注</w:t>
            </w:r>
          </w:p>
        </w:tc>
      </w:tr>
      <w:tr w14:paraId="40A1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1" w:type="dxa"/>
            <w:vAlign w:val="center"/>
          </w:tcPr>
          <w:p w14:paraId="46895FA5">
            <w:pPr>
              <w:pStyle w:val="17"/>
              <w:pageBreakBefore w:val="0"/>
              <w:widowControl/>
              <w:kinsoku/>
              <w:autoSpaceDE/>
              <w:autoSpaceDN/>
              <w:bidi w:val="0"/>
              <w:adjustRightInd w:val="0"/>
              <w:snapToGrid w:val="0"/>
              <w:spacing w:after="0" w:line="240" w:lineRule="auto"/>
              <w:ind w:left="420"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2254" w:type="dxa"/>
            <w:vAlign w:val="center"/>
          </w:tcPr>
          <w:p w14:paraId="3624E46D">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新生儿出生一件事系统运维服务</w:t>
            </w:r>
          </w:p>
        </w:tc>
        <w:tc>
          <w:tcPr>
            <w:tcW w:w="1701" w:type="dxa"/>
            <w:vAlign w:val="center"/>
          </w:tcPr>
          <w:p w14:paraId="55076F45">
            <w:pPr>
              <w:pageBreakBefore w:val="0"/>
              <w:widowControl/>
              <w:kinsoku/>
              <w:autoSpaceDE/>
              <w:autoSpaceDN/>
              <w:bidi w:val="0"/>
              <w:adjustRightInd w:val="0"/>
              <w:snapToGrid w:val="0"/>
              <w:spacing w:line="240" w:lineRule="auto"/>
              <w:contextualSpacing/>
              <w:jc w:val="center"/>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1</w:t>
            </w:r>
          </w:p>
        </w:tc>
        <w:tc>
          <w:tcPr>
            <w:tcW w:w="1701" w:type="dxa"/>
            <w:vAlign w:val="center"/>
          </w:tcPr>
          <w:p w14:paraId="1C64D2BA">
            <w:pPr>
              <w:pageBreakBefore w:val="0"/>
              <w:widowControl/>
              <w:kinsoku/>
              <w:autoSpaceDE/>
              <w:autoSpaceDN/>
              <w:bidi w:val="0"/>
              <w:adjustRightInd w:val="0"/>
              <w:snapToGrid w:val="0"/>
              <w:spacing w:line="240" w:lineRule="auto"/>
              <w:contextualSpacing/>
              <w:jc w:val="center"/>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kern w:val="0"/>
                <w:sz w:val="32"/>
                <w:szCs w:val="32"/>
                <w:lang w:val="en-US" w:eastAsia="zh-CN"/>
              </w:rPr>
              <w:t>项</w:t>
            </w:r>
          </w:p>
        </w:tc>
        <w:tc>
          <w:tcPr>
            <w:tcW w:w="2151" w:type="dxa"/>
            <w:vAlign w:val="center"/>
          </w:tcPr>
          <w:p w14:paraId="63A51583">
            <w:pPr>
              <w:pageBreakBefore w:val="0"/>
              <w:widowControl/>
              <w:kinsoku/>
              <w:autoSpaceDE/>
              <w:autoSpaceDN/>
              <w:bidi w:val="0"/>
              <w:adjustRightInd w:val="0"/>
              <w:snapToGrid w:val="0"/>
              <w:spacing w:after="0" w:line="240" w:lineRule="auto"/>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9.8</w:t>
            </w:r>
          </w:p>
        </w:tc>
        <w:tc>
          <w:tcPr>
            <w:tcW w:w="1818" w:type="dxa"/>
            <w:vAlign w:val="center"/>
          </w:tcPr>
          <w:p w14:paraId="0A272C4A">
            <w:pPr>
              <w:pageBreakBefore w:val="0"/>
              <w:widowControl/>
              <w:kinsoku/>
              <w:autoSpaceDE/>
              <w:autoSpaceDN/>
              <w:bidi w:val="0"/>
              <w:adjustRightInd w:val="0"/>
              <w:snapToGrid w:val="0"/>
              <w:spacing w:after="0" w:line="240" w:lineRule="auto"/>
              <w:jc w:val="center"/>
              <w:rPr>
                <w:rFonts w:hint="eastAsia" w:ascii="仿宋" w:hAnsi="仿宋" w:eastAsia="仿宋" w:cs="仿宋"/>
                <w:color w:val="auto"/>
                <w:sz w:val="32"/>
                <w:szCs w:val="32"/>
              </w:rPr>
            </w:pPr>
          </w:p>
        </w:tc>
      </w:tr>
    </w:tbl>
    <w:p w14:paraId="584E552E">
      <w:pPr>
        <w:pageBreakBefore w:val="0"/>
        <w:kinsoku/>
        <w:autoSpaceDE/>
        <w:autoSpaceDN/>
        <w:bidi w:val="0"/>
        <w:adjustRightInd w:val="0"/>
        <w:spacing w:line="240" w:lineRule="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w:t>
      </w:r>
    </w:p>
    <w:p w14:paraId="5DA88468">
      <w:pPr>
        <w:pageBreakBefore w:val="0"/>
        <w:kinsoku/>
        <w:autoSpaceDE/>
        <w:autoSpaceDN/>
        <w:bidi w:val="0"/>
        <w:adjustRightInd w:val="0"/>
        <w:spacing w:line="240" w:lineRule="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val="en-US" w:eastAsia="zh-CN"/>
        </w:rPr>
        <w:t>三</w:t>
      </w:r>
      <w:r>
        <w:rPr>
          <w:rFonts w:hint="eastAsia" w:ascii="仿宋" w:hAnsi="仿宋" w:eastAsia="仿宋" w:cs="仿宋"/>
          <w:b/>
          <w:bCs w:val="0"/>
          <w:color w:val="auto"/>
          <w:sz w:val="32"/>
          <w:szCs w:val="32"/>
        </w:rPr>
        <w:t>、</w:t>
      </w:r>
      <w:r>
        <w:rPr>
          <w:rFonts w:hint="eastAsia" w:ascii="仿宋" w:hAnsi="仿宋" w:eastAsia="仿宋" w:cs="仿宋"/>
          <w:b/>
          <w:bCs w:val="0"/>
          <w:color w:val="auto"/>
          <w:sz w:val="32"/>
          <w:szCs w:val="32"/>
          <w:lang w:eastAsia="zh-CN"/>
        </w:rPr>
        <w:t>技术要求（</w:t>
      </w:r>
      <w:r>
        <w:rPr>
          <w:rFonts w:hint="eastAsia" w:ascii="仿宋" w:hAnsi="仿宋" w:eastAsia="仿宋" w:cs="仿宋"/>
          <w:b/>
          <w:bCs w:val="0"/>
          <w:color w:val="auto"/>
          <w:sz w:val="32"/>
          <w:szCs w:val="32"/>
          <w:lang w:val="en-US" w:eastAsia="zh-CN"/>
        </w:rPr>
        <w:t>功能和质量要求</w:t>
      </w:r>
      <w:r>
        <w:rPr>
          <w:rFonts w:hint="eastAsia" w:ascii="仿宋" w:hAnsi="仿宋" w:eastAsia="仿宋" w:cs="仿宋"/>
          <w:b/>
          <w:bCs w:val="0"/>
          <w:color w:val="auto"/>
          <w:sz w:val="32"/>
          <w:szCs w:val="32"/>
          <w:lang w:eastAsia="zh-CN"/>
        </w:rPr>
        <w:t>）</w:t>
      </w:r>
    </w:p>
    <w:p w14:paraId="4D2DF5E3">
      <w:pPr>
        <w:pStyle w:val="2"/>
        <w:pageBreakBefore w:val="0"/>
        <w:kinsoku/>
        <w:autoSpaceDE/>
        <w:autoSpaceDN/>
        <w:bidi w:val="0"/>
        <w:spacing w:line="240" w:lineRule="auto"/>
        <w:rPr>
          <w:rFonts w:hint="eastAsia" w:ascii="仿宋" w:hAnsi="仿宋" w:eastAsia="仿宋" w:cs="仿宋"/>
          <w:color w:val="auto"/>
          <w:sz w:val="32"/>
          <w:szCs w:val="32"/>
          <w:lang w:val="en-US" w:eastAsia="zh-CN"/>
        </w:rPr>
      </w:pPr>
    </w:p>
    <w:p w14:paraId="2D3E1CBC">
      <w:pPr>
        <w:pageBreakBefore w:val="0"/>
        <w:kinsoku/>
        <w:autoSpaceDE/>
        <w:autoSpaceDN/>
        <w:bidi w:val="0"/>
        <w:spacing w:line="24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注：本文中标注“</w:t>
      </w:r>
      <w:bookmarkStart w:id="1" w:name="_Hlk202272378"/>
      <w:r>
        <w:rPr>
          <w:rFonts w:hint="eastAsia" w:ascii="仿宋" w:hAnsi="仿宋" w:eastAsia="仿宋" w:cs="仿宋"/>
          <w:b w:val="0"/>
          <w:bCs w:val="0"/>
          <w:color w:val="auto"/>
          <w:sz w:val="32"/>
          <w:szCs w:val="32"/>
        </w:rPr>
        <w:t>★</w:t>
      </w:r>
      <w:bookmarkEnd w:id="1"/>
      <w:r>
        <w:rPr>
          <w:rFonts w:hint="eastAsia" w:ascii="仿宋" w:hAnsi="仿宋" w:eastAsia="仿宋" w:cs="仿宋"/>
          <w:b w:val="0"/>
          <w:bCs w:val="0"/>
          <w:color w:val="auto"/>
          <w:sz w:val="32"/>
          <w:szCs w:val="32"/>
        </w:rPr>
        <w:t>”号的条款为本项目的实质性要求，供应商应全部满足，否则其投标文件作无效处理。未标识符号的条款为一般参数条款。</w:t>
      </w:r>
    </w:p>
    <w:p w14:paraId="077DCD4C">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br w:type="page"/>
      </w:r>
    </w:p>
    <w:p w14:paraId="721D513F">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保障“新生儿出生一件事”信息系统正常运行，包括但不限于以下内容。</w:t>
      </w:r>
    </w:p>
    <w:p w14:paraId="53AB8B97">
      <w:pPr>
        <w:pStyle w:val="3"/>
        <w:keepNext w:val="0"/>
        <w:keepLines w:val="0"/>
        <w:widowControl/>
        <w:spacing w:before="0" w:after="0" w:line="240" w:lineRule="auto"/>
        <w:ind w:firstLine="640" w:firstLineChars="200"/>
        <w:rPr>
          <w:rFonts w:hint="eastAsia" w:ascii="楷体" w:hAnsi="楷体" w:eastAsia="楷体" w:cs="楷体"/>
          <w:b/>
          <w:color w:val="auto"/>
          <w:sz w:val="32"/>
        </w:rPr>
      </w:pPr>
      <w:r>
        <w:rPr>
          <w:rFonts w:hint="eastAsia" w:ascii="楷体" w:hAnsi="楷体" w:eastAsia="楷体" w:cs="楷体"/>
          <w:color w:val="auto"/>
          <w:sz w:val="32"/>
        </w:rPr>
        <w:t>★（一）服务范围</w:t>
      </w:r>
    </w:p>
    <w:p w14:paraId="5FCD6CA3">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包括采购人、各市州所有授权单位或者用户。</w:t>
      </w:r>
    </w:p>
    <w:p w14:paraId="0F38B736">
      <w:pPr>
        <w:pStyle w:val="3"/>
        <w:keepNext w:val="0"/>
        <w:keepLines w:val="0"/>
        <w:widowControl/>
        <w:numPr>
          <w:ilvl w:val="255"/>
          <w:numId w:val="0"/>
        </w:numPr>
        <w:spacing w:before="0" w:after="0" w:line="240" w:lineRule="auto"/>
        <w:ind w:firstLine="640" w:firstLineChars="200"/>
        <w:rPr>
          <w:rFonts w:hint="eastAsia" w:ascii="楷体" w:hAnsi="楷体" w:eastAsia="楷体" w:cs="楷体"/>
          <w:b/>
          <w:color w:val="auto"/>
          <w:sz w:val="32"/>
        </w:rPr>
      </w:pPr>
      <w:r>
        <w:rPr>
          <w:rFonts w:hint="eastAsia" w:ascii="楷体" w:hAnsi="楷体" w:eastAsia="楷体" w:cs="楷体"/>
          <w:color w:val="auto"/>
          <w:sz w:val="32"/>
        </w:rPr>
        <w:t>（二）业务运维</w:t>
      </w:r>
    </w:p>
    <w:p w14:paraId="79BDED29">
      <w:pPr>
        <w:pStyle w:val="4"/>
        <w:widowControl/>
        <w:spacing w:line="240" w:lineRule="auto"/>
        <w:ind w:firstLine="640" w:firstLineChars="200"/>
        <w:rPr>
          <w:rFonts w:ascii="仿宋_GB2312" w:hAnsi="仿宋_GB2312" w:eastAsia="仿宋_GB2312" w:cs="仿宋_GB2312"/>
          <w:b/>
          <w:bCs/>
          <w:color w:val="auto"/>
        </w:rPr>
      </w:pPr>
      <w:bookmarkStart w:id="2" w:name="OLE_LINK15"/>
      <w:r>
        <w:rPr>
          <w:rFonts w:ascii="仿宋_GB2312" w:hAnsi="仿宋_GB2312" w:eastAsia="仿宋_GB2312" w:cs="仿宋_GB2312"/>
          <w:bCs/>
          <w:color w:val="auto"/>
        </w:rPr>
        <w:t>1. 业务系统监控与保障</w:t>
      </w:r>
    </w:p>
    <w:bookmarkEnd w:id="2"/>
    <w:p w14:paraId="519E29AB">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（1）安全合规采集数据，确保系统能够准确、完整地采集各类业务数据，如新生儿及父母信息、办理记录等，并对敏感数据进行加密存储，确保数据的安全性和可用性。</w:t>
      </w:r>
    </w:p>
    <w:p w14:paraId="2786645F">
      <w:pPr>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实时监控移动端（天府通办APP）、网页端（四川政务服务网）及各联办部门系统（卫健、公安、医保、疾控、社保等）的业务流程通畅性，确保申请、数据推送、结果反馈等环节无中断。监控关键业务指标（如跨系统接口调用响应时间等），异常情况15分钟内预警。</w:t>
      </w:r>
    </w:p>
    <w:p w14:paraId="5C67DD29">
      <w:pPr>
        <w:pStyle w:val="10"/>
        <w:spacing w:before="0" w:beforeAutospacing="0" w:after="0" w:afterAutospacing="0" w:line="240" w:lineRule="auto"/>
        <w:ind w:firstLine="640" w:firstLineChars="200"/>
        <w:outlineLvl w:val="2"/>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 共享与协同</w:t>
      </w:r>
    </w:p>
    <w:p w14:paraId="2BEFFF82">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★（1）确保与国家、省内其他相关系统进行信息传输及交换的外部接口的稳定运行。每月至少开展1次联调测试，验证跨部门业务流程及数据传输的协同性。（提供承诺函并加盖公章）</w:t>
      </w:r>
    </w:p>
    <w:p w14:paraId="51854475">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bookmarkStart w:id="3" w:name="OLE_LINK17"/>
      <w:r>
        <w:rPr>
          <w:rFonts w:hint="eastAsia" w:ascii="仿宋_GB2312" w:hAnsi="仿宋_GB2312" w:eastAsia="仿宋_GB2312" w:cs="仿宋_GB2312"/>
          <w:bCs/>
          <w:color w:val="auto"/>
          <w:sz w:val="32"/>
          <w:szCs w:val="32"/>
        </w:rPr>
        <w:t>（2）</w:t>
      </w:r>
      <w:bookmarkEnd w:id="3"/>
      <w:r>
        <w:rPr>
          <w:rFonts w:hint="eastAsia" w:ascii="仿宋_GB2312" w:hAnsi="仿宋_GB2312" w:eastAsia="仿宋_GB2312" w:cs="仿宋_GB2312"/>
          <w:bCs/>
          <w:color w:val="auto"/>
          <w:sz w:val="32"/>
          <w:szCs w:val="32"/>
        </w:rPr>
        <w:t>协同采购人按照主管部门要求持续开展政务数据普查工作，确保数据更新的连续性、及时性、准确性、安全性。</w:t>
      </w:r>
    </w:p>
    <w:p w14:paraId="5C066176">
      <w:pPr>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（3）根据国家或联办部门政策变化快速响应政策调整，配合调整或优化业务模块，1周内完成系统配置更新并测试上线。并协同采购人进行组织机构维护，确保数据调整后权限配置的自动、准确调整。</w:t>
      </w:r>
    </w:p>
    <w:p w14:paraId="1B1F3449">
      <w:pPr>
        <w:spacing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（4）建立跨部门运维联络清单，针对用户办理中因部门系统差异导致的卡点问题，定位原因并推动协调解决。</w:t>
      </w:r>
    </w:p>
    <w:p w14:paraId="59133D04">
      <w:pPr>
        <w:pStyle w:val="3"/>
        <w:keepNext w:val="0"/>
        <w:keepLines w:val="0"/>
        <w:widowControl/>
        <w:spacing w:before="0" w:after="0" w:line="240" w:lineRule="auto"/>
        <w:ind w:firstLine="640" w:firstLineChars="200"/>
        <w:rPr>
          <w:rFonts w:hint="eastAsia" w:ascii="楷体" w:hAnsi="楷体" w:eastAsia="楷体" w:cs="楷体"/>
          <w:b/>
          <w:color w:val="auto"/>
          <w:sz w:val="32"/>
        </w:rPr>
      </w:pPr>
      <w:r>
        <w:rPr>
          <w:rFonts w:hint="eastAsia" w:ascii="楷体" w:hAnsi="楷体" w:eastAsia="楷体" w:cs="楷体"/>
          <w:color w:val="auto"/>
          <w:sz w:val="32"/>
        </w:rPr>
        <w:t>（三）系统优化和接口对接</w:t>
      </w:r>
    </w:p>
    <w:p w14:paraId="7FFCF6EB">
      <w:pPr>
        <w:pStyle w:val="4"/>
        <w:widowControl/>
        <w:spacing w:line="240" w:lineRule="auto"/>
        <w:ind w:firstLine="640" w:firstLineChars="200"/>
        <w:rPr>
          <w:rFonts w:ascii="仿宋_GB2312" w:hAnsi="仿宋_GB2312" w:eastAsia="仿宋_GB2312" w:cs="仿宋_GB2312"/>
          <w:b/>
          <w:bCs/>
          <w:color w:val="auto"/>
        </w:rPr>
      </w:pPr>
      <w:r>
        <w:rPr>
          <w:rFonts w:ascii="仿宋_GB2312" w:hAnsi="仿宋_GB2312" w:eastAsia="仿宋_GB2312" w:cs="仿宋_GB2312"/>
          <w:bCs/>
          <w:color w:val="auto"/>
        </w:rPr>
        <w:t>1. 系统优化</w:t>
      </w:r>
    </w:p>
    <w:p w14:paraId="0AE267CA">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结合采购人使用情况，开展系统架构、数据库表结构、部署模式等的优化，优化核心业务的操作流程，增强高频使用界面的美观性与流畅性，保障重要接口的运行的稳定性，提供4人月的接口开发，费用由供应商承担。（提供承诺函并加盖公章）</w:t>
      </w:r>
    </w:p>
    <w:p w14:paraId="7782787D">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（2）支撑业务调整，对采购人提出的小范围业务优化、交互调整、性能提升等，中标人需在一周内提供改进方案、半月内完成整改，在充分测试验证并报备采购人同意后再开展升级。</w:t>
      </w:r>
    </w:p>
    <w:p w14:paraId="489789AD">
      <w:pPr>
        <w:pStyle w:val="4"/>
        <w:widowControl/>
        <w:spacing w:line="240" w:lineRule="auto"/>
        <w:ind w:firstLine="640" w:firstLineChars="200"/>
        <w:rPr>
          <w:rFonts w:ascii="仿宋_GB2312" w:hAnsi="仿宋_GB2312" w:eastAsia="仿宋_GB2312" w:cs="仿宋_GB2312"/>
          <w:b/>
          <w:bCs/>
          <w:color w:val="auto"/>
        </w:rPr>
      </w:pPr>
      <w:r>
        <w:rPr>
          <w:rFonts w:ascii="仿宋_GB2312" w:hAnsi="仿宋_GB2312" w:eastAsia="仿宋_GB2312" w:cs="仿宋_GB2312"/>
          <w:bCs/>
          <w:color w:val="auto"/>
        </w:rPr>
        <w:t>2. 系统对接和数据统计</w:t>
      </w:r>
    </w:p>
    <w:p w14:paraId="3BD7B959">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bookmarkStart w:id="4" w:name="OLE_LINK12"/>
      <w:r>
        <w:rPr>
          <w:rFonts w:hint="eastAsia" w:ascii="仿宋_GB2312" w:hAnsi="仿宋_GB2312" w:eastAsia="仿宋_GB2312" w:cs="仿宋_GB2312"/>
          <w:bCs/>
          <w:color w:val="auto"/>
          <w:sz w:val="32"/>
          <w:szCs w:val="32"/>
        </w:rPr>
        <w:t>★</w:t>
      </w:r>
      <w:bookmarkEnd w:id="4"/>
      <w:r>
        <w:rPr>
          <w:rFonts w:hint="eastAsia" w:ascii="仿宋_GB2312" w:hAnsi="仿宋_GB2312" w:eastAsia="仿宋_GB2312" w:cs="仿宋_GB2312"/>
          <w:bCs/>
          <w:color w:val="auto"/>
          <w:sz w:val="32"/>
          <w:szCs w:val="32"/>
        </w:rPr>
        <w:t>（1）无条件开放系统已有的各类外部接口，并提供详细的接口手册，在必要时提供研发支持，费用由供应商承担。</w:t>
      </w:r>
      <w:bookmarkStart w:id="5" w:name="OLE_LINK13"/>
      <w:bookmarkStart w:id="6" w:name="OLE_LINK19"/>
      <w:r>
        <w:rPr>
          <w:rFonts w:hint="eastAsia" w:ascii="仿宋_GB2312" w:hAnsi="仿宋_GB2312" w:eastAsia="仿宋_GB2312" w:cs="仿宋_GB2312"/>
          <w:bCs/>
          <w:color w:val="auto"/>
          <w:sz w:val="32"/>
          <w:szCs w:val="32"/>
        </w:rPr>
        <w:t>（提供承诺函并加盖公章）</w:t>
      </w:r>
      <w:bookmarkEnd w:id="5"/>
    </w:p>
    <w:bookmarkEnd w:id="6"/>
    <w:p w14:paraId="3732E798">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★（2）提供数据采集、统计服务，在采购人有对应系统的数据采集、统计需求时，最迟在一周内提供结果数据。（提供承诺函并加盖公章）</w:t>
      </w:r>
    </w:p>
    <w:p w14:paraId="00BB42E2">
      <w:pPr>
        <w:pStyle w:val="3"/>
        <w:keepNext w:val="0"/>
        <w:keepLines w:val="0"/>
        <w:widowControl/>
        <w:numPr>
          <w:ilvl w:val="255"/>
          <w:numId w:val="0"/>
        </w:numPr>
        <w:spacing w:before="0" w:after="0" w:line="240" w:lineRule="auto"/>
        <w:ind w:firstLine="640" w:firstLineChars="200"/>
        <w:rPr>
          <w:rFonts w:hint="eastAsia" w:ascii="楷体" w:hAnsi="楷体" w:eastAsia="楷体" w:cs="楷体"/>
          <w:b/>
          <w:color w:val="auto"/>
          <w:sz w:val="32"/>
        </w:rPr>
      </w:pPr>
      <w:r>
        <w:rPr>
          <w:rFonts w:hint="eastAsia" w:ascii="楷体" w:hAnsi="楷体" w:eastAsia="楷体" w:cs="楷体"/>
          <w:color w:val="auto"/>
          <w:sz w:val="32"/>
        </w:rPr>
        <w:t>（四）系统监控和维护</w:t>
      </w:r>
    </w:p>
    <w:p w14:paraId="03F4297A">
      <w:pPr>
        <w:pStyle w:val="4"/>
        <w:widowControl/>
        <w:spacing w:line="240" w:lineRule="auto"/>
        <w:ind w:firstLine="640" w:firstLineChars="200"/>
        <w:rPr>
          <w:rFonts w:ascii="仿宋_GB2312" w:hAnsi="仿宋_GB2312" w:eastAsia="仿宋_GB2312" w:cs="仿宋_GB2312"/>
          <w:b/>
          <w:bCs/>
          <w:color w:val="auto"/>
        </w:rPr>
      </w:pPr>
      <w:bookmarkStart w:id="7" w:name="OLE_LINK1"/>
      <w:r>
        <w:rPr>
          <w:rFonts w:ascii="仿宋_GB2312" w:hAnsi="仿宋_GB2312" w:eastAsia="仿宋_GB2312" w:cs="仿宋_GB2312"/>
          <w:bCs/>
          <w:color w:val="auto"/>
        </w:rPr>
        <w:t>1.</w:t>
      </w:r>
      <w:bookmarkEnd w:id="7"/>
      <w:r>
        <w:rPr>
          <w:rFonts w:ascii="仿宋_GB2312" w:hAnsi="仿宋_GB2312" w:eastAsia="仿宋_GB2312" w:cs="仿宋_GB2312"/>
          <w:bCs/>
          <w:color w:val="auto"/>
        </w:rPr>
        <w:t xml:space="preserve"> </w:t>
      </w:r>
      <w:r>
        <w:rPr>
          <w:rFonts w:ascii="楷体" w:hAnsi="楷体" w:eastAsia="楷体" w:cs="楷体"/>
          <w:bCs/>
          <w:color w:val="auto"/>
        </w:rPr>
        <w:t>日常</w:t>
      </w:r>
      <w:r>
        <w:rPr>
          <w:rFonts w:ascii="仿宋_GB2312" w:hAnsi="仿宋_GB2312" w:eastAsia="仿宋_GB2312" w:cs="仿宋_GB2312"/>
          <w:bCs/>
          <w:color w:val="auto"/>
        </w:rPr>
        <w:t>状态监控和调优</w:t>
      </w:r>
    </w:p>
    <w:p w14:paraId="099BC772">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（1）开展硬件监控，包括服务器、存储设备、网络设备等的运行状态，如CPU使用率、内存占用、磁盘空间、网络流量等，当阈值超过80%时应进行记录、分析、调优。</w:t>
      </w:r>
    </w:p>
    <w:p w14:paraId="1A2805E8">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（2）开展软件监控，包括操作系统、中间件、数据库、应用程序等的运行状态，如服务是否正常、日志是否有异常、响应时间是否在合理范围内等，</w:t>
      </w:r>
      <w:bookmarkStart w:id="8" w:name="OLE_LINK6"/>
      <w:r>
        <w:rPr>
          <w:rFonts w:hint="eastAsia" w:ascii="仿宋_GB2312" w:hAnsi="仿宋_GB2312" w:eastAsia="仿宋_GB2312" w:cs="仿宋_GB2312"/>
          <w:bCs/>
          <w:color w:val="auto"/>
          <w:sz w:val="32"/>
          <w:szCs w:val="32"/>
        </w:rPr>
        <w:t>当出现异常时应及进行记录、分析、调优</w:t>
      </w:r>
      <w:bookmarkEnd w:id="8"/>
      <w:r>
        <w:rPr>
          <w:rFonts w:hint="eastAsia" w:ascii="仿宋_GB2312" w:hAnsi="仿宋_GB2312" w:eastAsia="仿宋_GB2312" w:cs="仿宋_GB2312"/>
          <w:bCs/>
          <w:color w:val="auto"/>
          <w:sz w:val="32"/>
          <w:szCs w:val="32"/>
        </w:rPr>
        <w:t>。</w:t>
      </w:r>
    </w:p>
    <w:p w14:paraId="3F3FC38F">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（3）开展业务监控，包括关键业务流程的执行情况，如业务的处理量、成功率、耗时等，当出现异常时应及进行记录、分析、调优。</w:t>
      </w:r>
    </w:p>
    <w:p w14:paraId="35B791B0">
      <w:pPr>
        <w:pStyle w:val="4"/>
        <w:widowControl/>
        <w:spacing w:line="240" w:lineRule="auto"/>
        <w:ind w:firstLine="640" w:firstLineChars="200"/>
        <w:rPr>
          <w:rFonts w:ascii="仿宋_GB2312" w:hAnsi="仿宋_GB2312" w:eastAsia="仿宋_GB2312" w:cs="仿宋_GB2312"/>
          <w:b/>
          <w:bCs/>
          <w:color w:val="auto"/>
        </w:rPr>
      </w:pPr>
      <w:r>
        <w:rPr>
          <w:rFonts w:ascii="仿宋_GB2312" w:hAnsi="仿宋_GB2312" w:eastAsia="仿宋_GB2312" w:cs="仿宋_GB2312"/>
          <w:bCs/>
          <w:color w:val="auto"/>
        </w:rPr>
        <w:t>2. 策略维护</w:t>
      </w:r>
    </w:p>
    <w:p w14:paraId="16A7621E">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（1）定期开展巡检。运维人员定期对系统进行人工巡检，检查硬件设备、网络连接、系统日志等，确保系统正常运行。</w:t>
      </w:r>
    </w:p>
    <w:p w14:paraId="3F63FA0B">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（2）开展预防性维护。根据监控数据和历史经验，提前进行配套硬件更换、软件升级等操作，防止潜在故障发生。</w:t>
      </w:r>
    </w:p>
    <w:p w14:paraId="6C011F80">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（3）增强自动化维护。通过脚本或工具实现日常维护任务的自动化，如日志清理、数据库备份等，提高运维效率。</w:t>
      </w:r>
    </w:p>
    <w:p w14:paraId="7E5D299B">
      <w:pPr>
        <w:pStyle w:val="3"/>
        <w:keepNext w:val="0"/>
        <w:keepLines w:val="0"/>
        <w:widowControl/>
        <w:spacing w:before="0" w:after="0" w:line="240" w:lineRule="auto"/>
        <w:ind w:firstLine="640" w:firstLineChars="200"/>
        <w:rPr>
          <w:rFonts w:hint="eastAsia" w:ascii="楷体" w:hAnsi="楷体" w:eastAsia="楷体" w:cs="楷体"/>
          <w:b/>
          <w:color w:val="auto"/>
          <w:sz w:val="32"/>
        </w:rPr>
      </w:pPr>
      <w:bookmarkStart w:id="9" w:name="OLE_LINK5"/>
      <w:r>
        <w:rPr>
          <w:rFonts w:hint="eastAsia" w:ascii="楷体" w:hAnsi="楷体" w:eastAsia="楷体" w:cs="楷体"/>
          <w:color w:val="auto"/>
          <w:sz w:val="32"/>
        </w:rPr>
        <w:t>（五）运维管理</w:t>
      </w:r>
    </w:p>
    <w:p w14:paraId="178D5A93">
      <w:pPr>
        <w:pStyle w:val="4"/>
        <w:widowControl/>
        <w:spacing w:line="240" w:lineRule="auto"/>
        <w:ind w:firstLine="640" w:firstLineChars="200"/>
        <w:rPr>
          <w:rFonts w:ascii="仿宋_GB2312" w:hAnsi="仿宋_GB2312" w:eastAsia="仿宋_GB2312" w:cs="仿宋_GB2312"/>
          <w:b/>
          <w:bCs/>
          <w:color w:val="auto"/>
        </w:rPr>
      </w:pPr>
      <w:bookmarkStart w:id="10" w:name="OLE_LINK14"/>
      <w:r>
        <w:rPr>
          <w:rFonts w:ascii="仿宋_GB2312" w:hAnsi="仿宋_GB2312" w:eastAsia="仿宋_GB2312" w:cs="仿宋_GB2312"/>
          <w:bCs/>
          <w:color w:val="auto"/>
        </w:rPr>
        <w:t>1. 人员管理</w:t>
      </w:r>
    </w:p>
    <w:bookmarkEnd w:id="10"/>
    <w:p w14:paraId="78D108DA">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（1）遵守采购人信息系统管理规定、机房管理规定、应急管理规定、第三方和外包人员管理规定，接受采购人不定期组织的安全培训和考核。</w:t>
      </w:r>
    </w:p>
    <w:p w14:paraId="1D8B48BF">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（2）原则上应派遣熟悉系统业务功能、熟悉采购人应用环境的工程师进行运维服务，因供应商原因导致被上级单位约谈、通报或市州投诉时，采购人有权要求投标人更换工程师，同时扣合同金额5%/次的违约金。</w:t>
      </w:r>
    </w:p>
    <w:p w14:paraId="66769E98">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（3）所有运维人员应具备无犯罪记录证明，并由中标人不定期开展背景调查。</w:t>
      </w:r>
    </w:p>
    <w:p w14:paraId="4344921E">
      <w:pPr>
        <w:pStyle w:val="4"/>
        <w:widowControl/>
        <w:spacing w:line="240" w:lineRule="auto"/>
        <w:ind w:firstLine="640" w:firstLineChars="200"/>
        <w:rPr>
          <w:rFonts w:ascii="仿宋_GB2312" w:hAnsi="仿宋_GB2312" w:eastAsia="仿宋_GB2312" w:cs="仿宋_GB2312"/>
          <w:b/>
          <w:bCs/>
          <w:color w:val="auto"/>
        </w:rPr>
      </w:pPr>
      <w:r>
        <w:rPr>
          <w:rFonts w:ascii="仿宋_GB2312" w:hAnsi="仿宋_GB2312" w:eastAsia="仿宋_GB2312" w:cs="仿宋_GB2312"/>
          <w:bCs/>
          <w:color w:val="auto"/>
        </w:rPr>
        <w:t>2. 过程管理</w:t>
      </w:r>
    </w:p>
    <w:bookmarkEnd w:id="9"/>
    <w:p w14:paraId="09F6D7CF">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bookmarkStart w:id="11" w:name="OLE_LINK9"/>
      <w:r>
        <w:rPr>
          <w:rFonts w:hint="eastAsia" w:ascii="仿宋_GB2312" w:hAnsi="仿宋_GB2312" w:eastAsia="仿宋_GB2312" w:cs="仿宋_GB2312"/>
          <w:bCs/>
          <w:color w:val="auto"/>
          <w:sz w:val="32"/>
          <w:szCs w:val="32"/>
        </w:rPr>
        <w:t>★</w:t>
      </w:r>
      <w:bookmarkEnd w:id="11"/>
      <w:r>
        <w:rPr>
          <w:rFonts w:hint="eastAsia" w:ascii="仿宋_GB2312" w:hAnsi="仿宋_GB2312" w:eastAsia="仿宋_GB2312" w:cs="仿宋_GB2312"/>
          <w:bCs/>
          <w:color w:val="auto"/>
          <w:sz w:val="32"/>
          <w:szCs w:val="32"/>
        </w:rPr>
        <w:t>（1）建立完善的用户反馈机制，并集中管理和体系化分析所有用户反馈的各类问题或意见，每季度向采购人进行一次书面报告。报告内容包括但不限于系统日常维护记录、技术问题解答记录、远程技术支持服务记录以及高频问题解决措施或优化方案等。（提供承诺函并加盖公章）</w:t>
      </w:r>
    </w:p>
    <w:p w14:paraId="115BD34E">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bookmarkStart w:id="12" w:name="OLE_LINK11"/>
      <w:r>
        <w:rPr>
          <w:rFonts w:hint="eastAsia" w:ascii="仿宋_GB2312" w:hAnsi="仿宋_GB2312" w:eastAsia="仿宋_GB2312" w:cs="仿宋_GB2312"/>
          <w:bCs/>
          <w:color w:val="auto"/>
          <w:sz w:val="32"/>
          <w:szCs w:val="32"/>
        </w:rPr>
        <w:t>★</w:t>
      </w:r>
      <w:bookmarkEnd w:id="12"/>
      <w:r>
        <w:rPr>
          <w:rFonts w:hint="eastAsia" w:ascii="仿宋_GB2312" w:hAnsi="仿宋_GB2312" w:eastAsia="仿宋_GB2312" w:cs="仿宋_GB2312"/>
          <w:bCs/>
          <w:color w:val="auto"/>
          <w:sz w:val="32"/>
          <w:szCs w:val="32"/>
        </w:rPr>
        <w:t>（2）及时编制针对性较强的操作手册，包括反馈频次超过3次的问题、近期更新的模块、新上线的业务等，在必要时编制培训材料并进行培训。</w:t>
      </w:r>
      <w:bookmarkStart w:id="13" w:name="OLE_LINK7"/>
      <w:r>
        <w:rPr>
          <w:rFonts w:hint="eastAsia" w:ascii="仿宋_GB2312" w:hAnsi="仿宋_GB2312" w:eastAsia="仿宋_GB2312" w:cs="仿宋_GB2312"/>
          <w:bCs/>
          <w:color w:val="auto"/>
          <w:sz w:val="32"/>
          <w:szCs w:val="32"/>
        </w:rPr>
        <w:t>（提供承诺函并加盖公章）</w:t>
      </w:r>
      <w:bookmarkEnd w:id="13"/>
    </w:p>
    <w:p w14:paraId="3FE2BF51">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常态化开展安全巡检，每月一次，并在重大节假日前配合院方做好安全防护、安全巡检等工作以及节假日保障，并向采购人提供巡检报告，报告内容应最少包含巡检范围、巡检项目、巡检汇总结果、中高风险问题。</w:t>
      </w:r>
    </w:p>
    <w:p w14:paraId="1CECD66D">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每月月初5个工作日内提交中标人签字盖章后的上月运维报告，报告内容应最少包含项目概况（基本信息、运维范围/项目清单）、运维回顾（所有待完成事项、本运维周期工作目标）、本运维周期运维情况（例行巡检、日常</w:t>
      </w:r>
      <w:bookmarkStart w:id="14" w:name="OLE_LINK16"/>
      <w:r>
        <w:rPr>
          <w:rFonts w:hint="eastAsia" w:ascii="仿宋_GB2312" w:hAnsi="仿宋_GB2312" w:eastAsia="仿宋_GB2312" w:cs="仿宋_GB2312"/>
          <w:bCs/>
          <w:color w:val="auto"/>
          <w:sz w:val="32"/>
          <w:szCs w:val="32"/>
        </w:rPr>
        <w:t>任务</w:t>
      </w:r>
      <w:bookmarkEnd w:id="14"/>
      <w:r>
        <w:rPr>
          <w:rFonts w:hint="eastAsia" w:ascii="仿宋_GB2312" w:hAnsi="仿宋_GB2312" w:eastAsia="仿宋_GB2312" w:cs="仿宋_GB2312"/>
          <w:bCs/>
          <w:color w:val="auto"/>
          <w:sz w:val="32"/>
          <w:szCs w:val="32"/>
        </w:rPr>
        <w:t>（缺陷/需求/保障）、安全防护）、协同推进（意见反馈、需要采购人处理的事项、同类型业务最新动态）、下一个运维周期工作目标。</w:t>
      </w:r>
    </w:p>
    <w:p w14:paraId="00E76CD2">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★（5）日常用户咨询与技术支撑，对使用过程中出现的技术问题、业务问题进行解答和技术支持，包括现场服务、7*24小时线上或者电话服务，并在必要时提供培训。</w:t>
      </w:r>
    </w:p>
    <w:p w14:paraId="0D4F0BCA">
      <w:pPr>
        <w:pStyle w:val="3"/>
        <w:keepNext w:val="0"/>
        <w:keepLines w:val="0"/>
        <w:widowControl/>
        <w:spacing w:before="0" w:after="0" w:line="240" w:lineRule="auto"/>
        <w:ind w:firstLine="640" w:firstLineChars="200"/>
        <w:rPr>
          <w:rFonts w:hint="eastAsia" w:ascii="楷体" w:hAnsi="楷体" w:eastAsia="楷体" w:cs="楷体"/>
          <w:b/>
          <w:color w:val="auto"/>
          <w:sz w:val="32"/>
        </w:rPr>
      </w:pPr>
      <w:bookmarkStart w:id="15" w:name="OLE_LINK10"/>
      <w:r>
        <w:rPr>
          <w:rFonts w:hint="eastAsia" w:ascii="楷体" w:hAnsi="楷体" w:eastAsia="楷体" w:cs="楷体"/>
          <w:color w:val="auto"/>
          <w:sz w:val="32"/>
        </w:rPr>
        <w:t>（六）运维安全</w:t>
      </w:r>
    </w:p>
    <w:bookmarkEnd w:id="15"/>
    <w:p w14:paraId="36A77686">
      <w:pPr>
        <w:pStyle w:val="4"/>
        <w:widowControl/>
        <w:spacing w:line="240" w:lineRule="auto"/>
        <w:ind w:firstLine="640" w:firstLineChars="200"/>
        <w:rPr>
          <w:rFonts w:ascii="仿宋_GB2312" w:hAnsi="仿宋_GB2312" w:eastAsia="仿宋_GB2312" w:cs="仿宋_GB2312"/>
          <w:b/>
          <w:bCs/>
          <w:color w:val="auto"/>
        </w:rPr>
      </w:pPr>
      <w:r>
        <w:rPr>
          <w:rFonts w:ascii="仿宋_GB2312" w:hAnsi="仿宋_GB2312" w:eastAsia="仿宋_GB2312" w:cs="仿宋_GB2312"/>
          <w:bCs/>
          <w:color w:val="auto"/>
        </w:rPr>
        <w:t>1. 合规运维</w:t>
      </w:r>
    </w:p>
    <w:p w14:paraId="5A8082C4">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★（1）在运维过程中，原则上使用采购人提供的VPN+堡垒机的方式进行运维，不得违规接入任何具有存储功能的电子设备，不得对采购人的网络进行探测与破坏，不得携带病毒文件到采购人的各类信息设备。</w:t>
      </w:r>
    </w:p>
    <w:p w14:paraId="1342D774">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严格控制并采取必要措施对采购人在用系统中所有运行日志、业务数据、系统源代码及其他专有信息、内部管理和其他商业秘密及资料、其他敏感信息等进行保密，不得在未经采购人审批同意下篡改日志、拷贝数据、对外传播等，并定期对系统日志、操作日志进行审计与分析。</w:t>
      </w:r>
      <w:bookmarkStart w:id="16" w:name="OLE_LINK20"/>
      <w:r>
        <w:rPr>
          <w:rFonts w:hint="eastAsia" w:ascii="仿宋_GB2312" w:hAnsi="仿宋_GB2312" w:eastAsia="仿宋_GB2312" w:cs="仿宋_GB2312"/>
          <w:bCs/>
          <w:color w:val="auto"/>
          <w:sz w:val="32"/>
          <w:szCs w:val="32"/>
        </w:rPr>
        <w:t>（提供承诺函并加盖公章）</w:t>
      </w:r>
      <w:bookmarkEnd w:id="16"/>
    </w:p>
    <w:p w14:paraId="6701A470">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★（3）无条件将系统中所有的管理员账号、数据库口令账号、系统部署图、系统吞度量、统计数据等以安全的方式告知采购人，并在密码发生变更时第一时间同步给采购人。（提供承诺函并加盖公章）</w:t>
      </w:r>
    </w:p>
    <w:p w14:paraId="598A0A67">
      <w:pPr>
        <w:pStyle w:val="4"/>
        <w:widowControl/>
        <w:spacing w:line="240" w:lineRule="auto"/>
        <w:ind w:firstLine="640" w:firstLineChars="200"/>
        <w:rPr>
          <w:rFonts w:ascii="仿宋_GB2312" w:hAnsi="仿宋_GB2312" w:eastAsia="仿宋_GB2312" w:cs="仿宋_GB2312"/>
          <w:b/>
          <w:bCs/>
          <w:color w:val="auto"/>
        </w:rPr>
      </w:pPr>
      <w:r>
        <w:rPr>
          <w:rFonts w:ascii="仿宋_GB2312" w:hAnsi="仿宋_GB2312" w:eastAsia="仿宋_GB2312" w:cs="仿宋_GB2312"/>
          <w:bCs/>
          <w:color w:val="auto"/>
        </w:rPr>
        <w:t>2. 信息安全</w:t>
      </w:r>
    </w:p>
    <w:p w14:paraId="5F204624">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遵守相关法律法规，包括但不限于《中华人民共和国网络安全法》《关键信息基础设施安全保护条例》《中华人民共和国个人信息保护法》《移动互联网应用程序信息服务管理规定》《生成式人工智能服务管理暂行办法》《未成年人网络保护条例》《网络数据安全管理条例》《个人信息保护合规审计管理办法》《中华人民共和国保守国家秘密法》《中华人民共和国密码法》《网络安全等级保护条例》《医疗卫生机构网络安全管理办法》《医疗质量安全核心制度要点》《国家网络身份认证公共服务管理办法》《网络暴力信息治理规定》《互联网信息服务管理办法》《互联网用户账号信息管理规定》《人脸识别技术应用安全管理办法》《中华人民共和国数据安全法》。</w:t>
      </w:r>
    </w:p>
    <w:p w14:paraId="7DC3DE9F">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★（2）支撑采购人开展攻防演练、等保测评、供应链检测、安全运维，并在72小时内完成中高风险的缺陷处理，包括但不限于安全漏洞修复、系统补丁更新。（提供承诺函并加盖公章）</w:t>
      </w:r>
    </w:p>
    <w:p w14:paraId="461172B8">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编制和优化系统应急预案，若因系统漏洞导致采购人系统故障或数据泄露，中标人须在1小时内启动应急响应预案，2小时内到达现场（本地运维场景）或远程接管故障系统（异地运维场景），并每2小时向采购人通报一次处置进展，直至故障修复。</w:t>
      </w:r>
      <w:bookmarkStart w:id="17" w:name="OLE_LINK4"/>
      <w:bookmarkStart w:id="18" w:name="OLE_LINK8"/>
      <w:r>
        <w:rPr>
          <w:rFonts w:hint="eastAsia" w:ascii="仿宋_GB2312" w:hAnsi="仿宋_GB2312" w:eastAsia="仿宋_GB2312" w:cs="仿宋_GB2312"/>
          <w:bCs/>
          <w:color w:val="auto"/>
          <w:sz w:val="32"/>
          <w:szCs w:val="32"/>
        </w:rPr>
        <w:t>（提供承诺函并加盖公章）</w:t>
      </w:r>
      <w:bookmarkEnd w:id="17"/>
    </w:p>
    <w:bookmarkEnd w:id="18"/>
    <w:p w14:paraId="702EF935">
      <w:pPr>
        <w:pStyle w:val="10"/>
        <w:spacing w:before="0" w:beforeAutospacing="0" w:after="0" w:afterAutospacing="0" w:line="240" w:lineRule="auto"/>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（4）开展业务数据和应用程序备份恢复工作，每季度1次，并具有完整的操作记录、记录文件，确保数据的安全性、完整性，重要数据丢失不超过2小时。</w:t>
      </w:r>
    </w:p>
    <w:p w14:paraId="55B95AEC">
      <w:pPr>
        <w:pStyle w:val="2"/>
        <w:rPr>
          <w:rFonts w:hint="eastAsia"/>
          <w:color w:val="auto"/>
        </w:rPr>
      </w:pPr>
    </w:p>
    <w:p w14:paraId="6B476DE9">
      <w:pPr>
        <w:pStyle w:val="2"/>
        <w:pageBreakBefore w:val="0"/>
        <w:numPr>
          <w:ilvl w:val="0"/>
          <w:numId w:val="2"/>
        </w:numPr>
        <w:kinsoku/>
        <w:autoSpaceDE/>
        <w:autoSpaceDN/>
        <w:bidi w:val="0"/>
        <w:spacing w:line="240" w:lineRule="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商务要求（实质性要求）</w:t>
      </w:r>
    </w:p>
    <w:p w14:paraId="0BA2F219">
      <w:pPr>
        <w:pageBreakBefore w:val="0"/>
        <w:kinsoku/>
        <w:autoSpaceDE/>
        <w:autoSpaceDN/>
        <w:bidi w:val="0"/>
        <w:spacing w:line="24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以下要求为实质性要求，供应商应全部满足，否则其投标文件作无效处理。</w:t>
      </w:r>
    </w:p>
    <w:p w14:paraId="2EA193AE">
      <w:pPr>
        <w:pStyle w:val="10"/>
        <w:spacing w:before="0" w:beforeAutospacing="0" w:after="0" w:afterAutospacing="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1、合同履行期限：自合同签订之日起1年。</w:t>
      </w:r>
    </w:p>
    <w:p w14:paraId="6790FBFE">
      <w:pPr>
        <w:pStyle w:val="10"/>
        <w:adjustRightInd w:val="0"/>
        <w:snapToGrid w:val="0"/>
        <w:spacing w:before="0" w:beforeAutospacing="0" w:after="0" w:afterAutospacing="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2、合同履约地点：采购人指定地点。</w:t>
      </w:r>
    </w:p>
    <w:p w14:paraId="0297BBA8">
      <w:pPr>
        <w:pStyle w:val="10"/>
        <w:spacing w:before="0" w:beforeAutospacing="0" w:after="0" w:afterAutospacing="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3、支付方式：合同签订后支付合同总金额的100%。</w:t>
      </w:r>
    </w:p>
    <w:p w14:paraId="4B4E373C">
      <w:pPr>
        <w:pStyle w:val="10"/>
        <w:spacing w:before="0" w:beforeAutospacing="0" w:after="0" w:afterAutospacing="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4、履约保证金：成交金额的10%，合同签订前收取。合同履行期限结束后，由供应商提出书面申请，采购人60日内无息退还。在合同履行期限内，供应商存在任何违约行为，履约保证金不予退还。</w:t>
      </w:r>
    </w:p>
    <w:p w14:paraId="07D1F179">
      <w:pPr>
        <w:pStyle w:val="2"/>
        <w:pageBreakBefore w:val="0"/>
        <w:numPr>
          <w:ilvl w:val="0"/>
          <w:numId w:val="0"/>
        </w:numPr>
        <w:kinsoku/>
        <w:autoSpaceDE/>
        <w:autoSpaceDN/>
        <w:bidi w:val="0"/>
        <w:spacing w:line="360" w:lineRule="auto"/>
        <w:rPr>
          <w:rFonts w:hint="eastAsia" w:ascii="仿宋" w:hAnsi="仿宋" w:eastAsia="仿宋" w:cs="仿宋"/>
          <w:color w:val="auto"/>
          <w:sz w:val="32"/>
          <w:szCs w:val="32"/>
          <w:lang w:val="en-US" w:eastAsia="zh-CN"/>
        </w:rPr>
      </w:pPr>
      <w:r>
        <w:rPr>
          <w:rFonts w:hint="eastAsia" w:ascii="仿宋_GB2312" w:hAnsi="仿宋_GB2312" w:eastAsia="仿宋_GB2312" w:cs="仿宋_GB2312"/>
          <w:bCs/>
          <w:sz w:val="32"/>
          <w:szCs w:val="32"/>
        </w:rPr>
        <w:t>5、知识产权：供应商应保证在本项目中使用的任何技术、产品和服务（包括部分使用），不会产生因第三方提出侵犯其专利权、商标权或其它知识产权而引起的法律和经济纠纷，如存在前述情形，由供应商承担所有相关责任，并且赔偿由此给采购人带来的损失。采购人享有本项目实施过程中产生的知识成果及知识产权。</w:t>
      </w:r>
    </w:p>
    <w:p w14:paraId="69B6AAD5">
      <w:pPr>
        <w:pageBreakBefore w:val="0"/>
        <w:widowControl w:val="0"/>
        <w:kinsoku/>
        <w:autoSpaceDE/>
        <w:autoSpaceDN/>
        <w:bidi w:val="0"/>
        <w:spacing w:after="120" w:line="240" w:lineRule="auto"/>
        <w:ind w:left="0" w:leftChars="0" w:firstLine="640" w:firstLineChars="200"/>
        <w:jc w:val="both"/>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br w:type="page"/>
      </w:r>
    </w:p>
    <w:p w14:paraId="4E78ABAA">
      <w:pPr>
        <w:pStyle w:val="5"/>
        <w:keepNext w:val="0"/>
        <w:keepLines w:val="0"/>
        <w:pageBreakBefore w:val="0"/>
        <w:numPr>
          <w:ilvl w:val="0"/>
          <w:numId w:val="0"/>
        </w:numPr>
        <w:kinsoku/>
        <w:wordWrap/>
        <w:overflowPunct/>
        <w:topLinePunct w:val="0"/>
        <w:autoSpaceDE/>
        <w:autoSpaceDN/>
        <w:bidi w:val="0"/>
        <w:spacing w:line="240" w:lineRule="auto"/>
        <w:rPr>
          <w:rFonts w:hint="eastAsia" w:ascii="仿宋" w:hAnsi="仿宋" w:eastAsia="仿宋" w:cs="仿宋"/>
          <w:b/>
          <w:bCs w:val="0"/>
          <w:i w:val="0"/>
          <w:caps w:val="0"/>
          <w:color w:val="auto"/>
          <w:spacing w:val="0"/>
          <w:sz w:val="32"/>
          <w:szCs w:val="32"/>
          <w:highlight w:val="none"/>
          <w:shd w:val="clear" w:fill="FFFFFF"/>
        </w:rPr>
      </w:pPr>
      <w:r>
        <w:rPr>
          <w:rFonts w:hint="eastAsia" w:ascii="仿宋" w:hAnsi="仿宋" w:eastAsia="仿宋" w:cs="仿宋"/>
          <w:b/>
          <w:bCs w:val="0"/>
          <w:i w:val="0"/>
          <w:caps w:val="0"/>
          <w:color w:val="auto"/>
          <w:spacing w:val="0"/>
          <w:sz w:val="32"/>
          <w:szCs w:val="32"/>
          <w:highlight w:val="none"/>
          <w:shd w:val="clear" w:fill="FFFFFF"/>
          <w:lang w:val="en-US" w:eastAsia="zh-CN"/>
        </w:rPr>
        <w:t>附件2：</w:t>
      </w:r>
      <w:r>
        <w:rPr>
          <w:rFonts w:hint="eastAsia" w:ascii="仿宋" w:hAnsi="仿宋" w:eastAsia="仿宋" w:cs="仿宋"/>
          <w:b/>
          <w:bCs w:val="0"/>
          <w:i w:val="0"/>
          <w:caps w:val="0"/>
          <w:color w:val="auto"/>
          <w:spacing w:val="0"/>
          <w:sz w:val="32"/>
          <w:szCs w:val="32"/>
          <w:highlight w:val="none"/>
          <w:shd w:val="clear" w:fill="FFFFFF"/>
        </w:rPr>
        <w:t>评审办法</w:t>
      </w:r>
    </w:p>
    <w:tbl>
      <w:tblPr>
        <w:tblStyle w:val="13"/>
        <w:tblpPr w:leftFromText="180" w:rightFromText="180" w:vertAnchor="text" w:horzAnchor="page" w:tblpX="1807" w:tblpY="61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127"/>
        <w:gridCol w:w="1132"/>
        <w:gridCol w:w="4755"/>
        <w:gridCol w:w="924"/>
      </w:tblGrid>
      <w:tr w14:paraId="18C3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14:paraId="06AB6691">
            <w:pPr>
              <w:keepNext w:val="0"/>
              <w:keepLines w:val="0"/>
              <w:pageBreakBefore w:val="0"/>
              <w:widowControl w:val="0"/>
              <w:kinsoku/>
              <w:wordWrap w:val="0"/>
              <w:overflowPunct w:val="0"/>
              <w:topLinePunct/>
              <w:autoSpaceDE/>
              <w:autoSpaceDN/>
              <w:bidi w:val="0"/>
              <w:spacing w:after="160" w:line="0" w:lineRule="atLeast"/>
              <w:jc w:val="center"/>
              <w:textAlignment w:val="center"/>
              <w:rPr>
                <w:rFonts w:hint="eastAsia" w:ascii="仿宋" w:hAnsi="仿宋" w:eastAsia="仿宋" w:cs="仿宋"/>
                <w:color w:val="auto"/>
                <w:sz w:val="32"/>
                <w:szCs w:val="32"/>
              </w:rPr>
            </w:pPr>
            <w:r>
              <w:rPr>
                <w:rFonts w:hint="eastAsia" w:ascii="仿宋" w:hAnsi="仿宋" w:eastAsia="仿宋" w:cs="仿宋"/>
                <w:b/>
                <w:color w:val="auto"/>
                <w:sz w:val="32"/>
                <w:szCs w:val="32"/>
              </w:rPr>
              <w:t>序号</w:t>
            </w:r>
          </w:p>
        </w:tc>
        <w:tc>
          <w:tcPr>
            <w:tcW w:w="661" w:type="pct"/>
            <w:shd w:val="clear" w:color="auto" w:fill="auto"/>
            <w:vAlign w:val="center"/>
          </w:tcPr>
          <w:p w14:paraId="1E496B4F">
            <w:pPr>
              <w:keepNext w:val="0"/>
              <w:keepLines w:val="0"/>
              <w:pageBreakBefore w:val="0"/>
              <w:widowControl w:val="0"/>
              <w:kinsoku/>
              <w:wordWrap w:val="0"/>
              <w:overflowPunct w:val="0"/>
              <w:topLinePunct/>
              <w:autoSpaceDE/>
              <w:autoSpaceDN/>
              <w:bidi w:val="0"/>
              <w:spacing w:after="160" w:line="0" w:lineRule="atLeast"/>
              <w:jc w:val="center"/>
              <w:textAlignment w:val="center"/>
              <w:rPr>
                <w:rFonts w:hint="eastAsia" w:ascii="仿宋" w:hAnsi="仿宋" w:eastAsia="仿宋" w:cs="仿宋"/>
                <w:color w:val="auto"/>
                <w:sz w:val="32"/>
                <w:szCs w:val="32"/>
              </w:rPr>
            </w:pPr>
            <w:r>
              <w:rPr>
                <w:rFonts w:hint="eastAsia" w:ascii="仿宋" w:hAnsi="仿宋" w:eastAsia="仿宋" w:cs="仿宋"/>
                <w:b/>
                <w:color w:val="auto"/>
                <w:sz w:val="32"/>
                <w:szCs w:val="32"/>
              </w:rPr>
              <w:t>评分因素</w:t>
            </w:r>
          </w:p>
        </w:tc>
        <w:tc>
          <w:tcPr>
            <w:tcW w:w="664" w:type="pct"/>
            <w:shd w:val="clear" w:color="auto" w:fill="auto"/>
            <w:vAlign w:val="center"/>
          </w:tcPr>
          <w:p w14:paraId="0BFA6ED3">
            <w:pPr>
              <w:keepNext w:val="0"/>
              <w:keepLines w:val="0"/>
              <w:pageBreakBefore w:val="0"/>
              <w:widowControl w:val="0"/>
              <w:kinsoku/>
              <w:wordWrap w:val="0"/>
              <w:overflowPunct w:val="0"/>
              <w:topLinePunct/>
              <w:autoSpaceDE/>
              <w:autoSpaceDN/>
              <w:bidi w:val="0"/>
              <w:spacing w:after="160" w:line="0" w:lineRule="atLeast"/>
              <w:jc w:val="center"/>
              <w:textAlignment w:val="center"/>
              <w:rPr>
                <w:rFonts w:hint="eastAsia" w:ascii="仿宋" w:hAnsi="仿宋" w:eastAsia="仿宋" w:cs="仿宋"/>
                <w:color w:val="auto"/>
                <w:sz w:val="32"/>
                <w:szCs w:val="32"/>
              </w:rPr>
            </w:pPr>
            <w:r>
              <w:rPr>
                <w:rFonts w:hint="eastAsia" w:ascii="仿宋" w:hAnsi="仿宋" w:eastAsia="仿宋" w:cs="仿宋"/>
                <w:b/>
                <w:color w:val="auto"/>
                <w:sz w:val="32"/>
                <w:szCs w:val="32"/>
              </w:rPr>
              <w:t>分值</w:t>
            </w:r>
          </w:p>
        </w:tc>
        <w:tc>
          <w:tcPr>
            <w:tcW w:w="2789" w:type="pct"/>
            <w:shd w:val="clear" w:color="auto" w:fill="auto"/>
            <w:vAlign w:val="center"/>
          </w:tcPr>
          <w:p w14:paraId="774DDC87">
            <w:pPr>
              <w:keepNext w:val="0"/>
              <w:keepLines w:val="0"/>
              <w:pageBreakBefore w:val="0"/>
              <w:widowControl w:val="0"/>
              <w:kinsoku/>
              <w:wordWrap w:val="0"/>
              <w:overflowPunct w:val="0"/>
              <w:topLinePunct/>
              <w:autoSpaceDE/>
              <w:autoSpaceDN/>
              <w:bidi w:val="0"/>
              <w:spacing w:after="160" w:line="0" w:lineRule="atLeast"/>
              <w:jc w:val="center"/>
              <w:textAlignment w:val="center"/>
              <w:rPr>
                <w:rFonts w:hint="eastAsia" w:ascii="仿宋" w:hAnsi="仿宋" w:eastAsia="仿宋" w:cs="仿宋"/>
                <w:b/>
                <w:color w:val="auto"/>
                <w:sz w:val="32"/>
                <w:szCs w:val="32"/>
              </w:rPr>
            </w:pPr>
            <w:r>
              <w:rPr>
                <w:rFonts w:hint="eastAsia" w:ascii="仿宋" w:hAnsi="仿宋" w:eastAsia="仿宋" w:cs="仿宋"/>
                <w:b/>
                <w:color w:val="auto"/>
                <w:sz w:val="32"/>
                <w:szCs w:val="32"/>
              </w:rPr>
              <w:t>评分标准</w:t>
            </w:r>
          </w:p>
        </w:tc>
        <w:tc>
          <w:tcPr>
            <w:tcW w:w="542" w:type="pct"/>
            <w:shd w:val="clear" w:color="auto" w:fill="auto"/>
            <w:vAlign w:val="center"/>
          </w:tcPr>
          <w:p w14:paraId="468DC64E">
            <w:pPr>
              <w:keepNext w:val="0"/>
              <w:keepLines w:val="0"/>
              <w:pageBreakBefore w:val="0"/>
              <w:widowControl w:val="0"/>
              <w:kinsoku/>
              <w:wordWrap w:val="0"/>
              <w:overflowPunct w:val="0"/>
              <w:topLinePunct/>
              <w:autoSpaceDE/>
              <w:autoSpaceDN/>
              <w:bidi w:val="0"/>
              <w:spacing w:after="160" w:line="0" w:lineRule="atLeast"/>
              <w:jc w:val="center"/>
              <w:textAlignment w:val="center"/>
              <w:rPr>
                <w:rFonts w:hint="eastAsia" w:ascii="仿宋" w:hAnsi="仿宋" w:eastAsia="仿宋" w:cs="仿宋"/>
                <w:b/>
                <w:color w:val="auto"/>
                <w:sz w:val="32"/>
                <w:szCs w:val="32"/>
              </w:rPr>
            </w:pPr>
            <w:r>
              <w:rPr>
                <w:rFonts w:hint="eastAsia" w:ascii="仿宋" w:hAnsi="仿宋" w:eastAsia="仿宋" w:cs="仿宋"/>
                <w:b/>
                <w:color w:val="auto"/>
                <w:sz w:val="32"/>
                <w:szCs w:val="32"/>
              </w:rPr>
              <w:t>说明</w:t>
            </w:r>
          </w:p>
        </w:tc>
      </w:tr>
      <w:tr w14:paraId="538F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14:paraId="7A6B1EF4">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bCs/>
                <w:snapToGrid w:val="0"/>
                <w:kern w:val="0"/>
                <w:sz w:val="24"/>
              </w:rPr>
              <w:t>1</w:t>
            </w:r>
          </w:p>
        </w:tc>
        <w:tc>
          <w:tcPr>
            <w:tcW w:w="661" w:type="pct"/>
            <w:shd w:val="clear" w:color="auto" w:fill="auto"/>
            <w:vAlign w:val="center"/>
          </w:tcPr>
          <w:p w14:paraId="6D7F99C9">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bCs/>
                <w:snapToGrid w:val="0"/>
                <w:kern w:val="0"/>
                <w:sz w:val="24"/>
              </w:rPr>
              <w:t>报价</w:t>
            </w:r>
          </w:p>
        </w:tc>
        <w:tc>
          <w:tcPr>
            <w:tcW w:w="664" w:type="pct"/>
            <w:shd w:val="clear" w:color="auto" w:fill="auto"/>
            <w:vAlign w:val="center"/>
          </w:tcPr>
          <w:p w14:paraId="636C7FBF">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bCs/>
                <w:snapToGrid w:val="0"/>
                <w:kern w:val="0"/>
                <w:sz w:val="24"/>
              </w:rPr>
              <w:t>15</w:t>
            </w:r>
          </w:p>
        </w:tc>
        <w:tc>
          <w:tcPr>
            <w:tcW w:w="2789" w:type="pct"/>
            <w:shd w:val="clear" w:color="auto" w:fill="auto"/>
            <w:vAlign w:val="top"/>
          </w:tcPr>
          <w:p w14:paraId="5477FA76">
            <w:pPr>
              <w:overflowPunct w:val="0"/>
              <w:topLinePunct/>
              <w:spacing w:line="440" w:lineRule="exact"/>
              <w:jc w:val="left"/>
              <w:textAlignment w:val="center"/>
              <w:rPr>
                <w:rFonts w:hint="eastAsia" w:ascii="仿宋" w:hAnsi="仿宋" w:eastAsia="仿宋" w:cs="仿宋"/>
                <w:b/>
                <w:color w:val="auto"/>
                <w:sz w:val="32"/>
                <w:szCs w:val="32"/>
              </w:rPr>
            </w:pPr>
            <w:r>
              <w:rPr>
                <w:rFonts w:hint="eastAsia" w:ascii="仿宋" w:hAnsi="仿宋" w:eastAsia="仿宋" w:cs="仿宋"/>
                <w:sz w:val="24"/>
              </w:rPr>
              <w:t>1.满足招标文件要求且投标价格最低的有效投标报价为评标基准价，其投标人的报价分为15分。其他投标人的报价分按以下公式计算：报价得分=(评标基准价／投标报价)×15。</w:t>
            </w:r>
          </w:p>
        </w:tc>
        <w:tc>
          <w:tcPr>
            <w:tcW w:w="542" w:type="pct"/>
            <w:shd w:val="clear" w:color="auto" w:fill="auto"/>
            <w:vAlign w:val="center"/>
          </w:tcPr>
          <w:p w14:paraId="3514281A">
            <w:pPr>
              <w:wordWrap w:val="0"/>
              <w:overflowPunct w:val="0"/>
              <w:topLinePunct/>
              <w:spacing w:line="440" w:lineRule="exact"/>
              <w:jc w:val="center"/>
              <w:textAlignment w:val="center"/>
              <w:rPr>
                <w:rFonts w:hint="eastAsia" w:ascii="仿宋" w:hAnsi="仿宋" w:eastAsia="仿宋" w:cs="仿宋"/>
                <w:b/>
                <w:bCs/>
                <w:color w:val="auto"/>
                <w:sz w:val="32"/>
                <w:szCs w:val="32"/>
              </w:rPr>
            </w:pPr>
          </w:p>
        </w:tc>
      </w:tr>
      <w:tr w14:paraId="3336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14:paraId="07C09F42">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bCs/>
                <w:snapToGrid w:val="0"/>
                <w:kern w:val="0"/>
                <w:sz w:val="24"/>
              </w:rPr>
              <w:t>2</w:t>
            </w:r>
          </w:p>
        </w:tc>
        <w:tc>
          <w:tcPr>
            <w:tcW w:w="661" w:type="pct"/>
            <w:shd w:val="clear" w:color="auto" w:fill="auto"/>
            <w:vAlign w:val="center"/>
          </w:tcPr>
          <w:p w14:paraId="4BE53D4A">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sz w:val="24"/>
              </w:rPr>
              <w:t>服务方案</w:t>
            </w:r>
          </w:p>
        </w:tc>
        <w:tc>
          <w:tcPr>
            <w:tcW w:w="664" w:type="pct"/>
            <w:shd w:val="clear" w:color="auto" w:fill="auto"/>
            <w:vAlign w:val="center"/>
          </w:tcPr>
          <w:p w14:paraId="778DB69E">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lang w:bidi="ar"/>
              </w:rPr>
              <w:t>20</w:t>
            </w:r>
          </w:p>
        </w:tc>
        <w:tc>
          <w:tcPr>
            <w:tcW w:w="2789" w:type="pct"/>
            <w:shd w:val="clear" w:color="auto" w:fill="auto"/>
            <w:vAlign w:val="center"/>
          </w:tcPr>
          <w:p w14:paraId="506DF7CE">
            <w:pPr>
              <w:adjustRightInd w:val="0"/>
              <w:snapToGrid w:val="0"/>
              <w:jc w:val="left"/>
              <w:rPr>
                <w:rFonts w:hint="eastAsia" w:ascii="仿宋" w:hAnsi="仿宋" w:eastAsia="仿宋" w:cs="仿宋"/>
                <w:sz w:val="24"/>
              </w:rPr>
            </w:pPr>
            <w:r>
              <w:rPr>
                <w:rFonts w:hint="eastAsia" w:ascii="仿宋" w:hAnsi="仿宋" w:eastAsia="仿宋" w:cs="仿宋"/>
                <w:sz w:val="24"/>
              </w:rPr>
              <w:t>根据投标人针对本项目提供的服务方案进行评审，包括：</w:t>
            </w:r>
          </w:p>
          <w:p w14:paraId="34C309BF">
            <w:pPr>
              <w:adjustRightInd w:val="0"/>
              <w:snapToGrid w:val="0"/>
              <w:jc w:val="left"/>
              <w:rPr>
                <w:rFonts w:hint="eastAsia" w:ascii="仿宋" w:hAnsi="仿宋" w:eastAsia="仿宋" w:cs="仿宋"/>
                <w:sz w:val="24"/>
              </w:rPr>
            </w:pPr>
            <w:r>
              <w:rPr>
                <w:rFonts w:hint="eastAsia" w:ascii="仿宋" w:hAnsi="仿宋" w:eastAsia="仿宋" w:cs="仿宋"/>
                <w:sz w:val="24"/>
              </w:rPr>
              <w:t>①对系统业务流程、数据关联的理解和认识；</w:t>
            </w:r>
          </w:p>
          <w:p w14:paraId="71D93570">
            <w:pPr>
              <w:jc w:val="left"/>
            </w:pPr>
            <w:r>
              <w:rPr>
                <w:rFonts w:hint="eastAsia" w:ascii="仿宋" w:hAnsi="仿宋" w:eastAsia="仿宋" w:cs="仿宋"/>
                <w:sz w:val="24"/>
              </w:rPr>
              <w:t>②运维方案；</w:t>
            </w:r>
          </w:p>
          <w:p w14:paraId="10656E0D">
            <w:pPr>
              <w:adjustRightInd w:val="0"/>
              <w:snapToGrid w:val="0"/>
              <w:jc w:val="left"/>
              <w:rPr>
                <w:rFonts w:hint="eastAsia" w:ascii="仿宋" w:hAnsi="仿宋" w:eastAsia="仿宋" w:cs="仿宋"/>
                <w:sz w:val="24"/>
              </w:rPr>
            </w:pPr>
            <w:r>
              <w:rPr>
                <w:rFonts w:hint="eastAsia" w:ascii="仿宋" w:hAnsi="仿宋" w:eastAsia="仿宋" w:cs="仿宋"/>
                <w:sz w:val="24"/>
              </w:rPr>
              <w:t>③分析系统的重难点问题并提出解决方案；</w:t>
            </w:r>
          </w:p>
          <w:p w14:paraId="1E176758">
            <w:pPr>
              <w:adjustRightInd w:val="0"/>
              <w:snapToGrid w:val="0"/>
              <w:jc w:val="left"/>
              <w:rPr>
                <w:rFonts w:hint="eastAsia" w:ascii="仿宋" w:hAnsi="仿宋" w:eastAsia="仿宋" w:cs="仿宋"/>
                <w:sz w:val="24"/>
              </w:rPr>
            </w:pPr>
            <w:r>
              <w:rPr>
                <w:rFonts w:hint="eastAsia" w:ascii="仿宋" w:hAnsi="仿宋" w:eastAsia="仿宋" w:cs="仿宋"/>
                <w:sz w:val="24"/>
              </w:rPr>
              <w:t>④培训方案；</w:t>
            </w:r>
          </w:p>
          <w:p w14:paraId="388E4842">
            <w:pPr>
              <w:adjustRightInd w:val="0"/>
              <w:snapToGrid w:val="0"/>
              <w:jc w:val="left"/>
              <w:rPr>
                <w:rFonts w:hint="eastAsia" w:ascii="仿宋" w:hAnsi="仿宋" w:eastAsia="仿宋" w:cs="仿宋"/>
                <w:sz w:val="24"/>
              </w:rPr>
            </w:pPr>
            <w:r>
              <w:rPr>
                <w:rFonts w:hint="eastAsia" w:ascii="仿宋" w:hAnsi="仿宋" w:eastAsia="仿宋" w:cs="仿宋"/>
                <w:sz w:val="24"/>
              </w:rPr>
              <w:t>⑤人员分工方案；</w:t>
            </w:r>
          </w:p>
          <w:p w14:paraId="2CAE43B2">
            <w:pPr>
              <w:wordWrap w:val="0"/>
              <w:overflowPunct w:val="0"/>
              <w:topLinePunct/>
              <w:spacing w:line="440" w:lineRule="exact"/>
              <w:jc w:val="left"/>
              <w:textAlignment w:val="center"/>
              <w:rPr>
                <w:rFonts w:hint="eastAsia" w:ascii="仿宋" w:hAnsi="仿宋" w:eastAsia="仿宋" w:cs="仿宋"/>
                <w:b/>
                <w:color w:val="auto"/>
                <w:sz w:val="32"/>
                <w:szCs w:val="32"/>
              </w:rPr>
            </w:pPr>
            <w:r>
              <w:rPr>
                <w:rFonts w:hint="eastAsia" w:ascii="仿宋" w:hAnsi="仿宋" w:eastAsia="仿宋" w:cs="仿宋"/>
                <w:sz w:val="24"/>
              </w:rPr>
              <w:t>上述5项内容齐全且无缺陷（缺陷是指：内容涉及的规范或标准错误、套用其他项目内容、内容与本项目无关、内容不利于项目实施的任意一种情形）得20分，每缺少一项内容扣4分，扣完为止；单项内容每存在一处缺陷扣2分，单项内容分扣完为止。</w:t>
            </w:r>
          </w:p>
        </w:tc>
        <w:tc>
          <w:tcPr>
            <w:tcW w:w="542" w:type="pct"/>
            <w:shd w:val="clear" w:color="auto" w:fill="auto"/>
            <w:vAlign w:val="center"/>
          </w:tcPr>
          <w:p w14:paraId="416E5CC4">
            <w:pPr>
              <w:wordWrap w:val="0"/>
              <w:overflowPunct w:val="0"/>
              <w:topLinePunct/>
              <w:spacing w:line="440" w:lineRule="exact"/>
              <w:jc w:val="center"/>
              <w:textAlignment w:val="center"/>
              <w:rPr>
                <w:rFonts w:hint="eastAsia" w:ascii="仿宋" w:hAnsi="仿宋" w:eastAsia="仿宋" w:cs="仿宋"/>
                <w:b/>
                <w:bCs/>
                <w:color w:val="auto"/>
                <w:sz w:val="32"/>
                <w:szCs w:val="32"/>
              </w:rPr>
            </w:pPr>
          </w:p>
        </w:tc>
      </w:tr>
      <w:tr w14:paraId="2C77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14:paraId="1276715F">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bCs/>
                <w:snapToGrid w:val="0"/>
                <w:kern w:val="0"/>
                <w:sz w:val="24"/>
              </w:rPr>
              <w:t>3</w:t>
            </w:r>
          </w:p>
        </w:tc>
        <w:tc>
          <w:tcPr>
            <w:tcW w:w="661" w:type="pct"/>
            <w:shd w:val="clear" w:color="auto" w:fill="auto"/>
            <w:vAlign w:val="center"/>
          </w:tcPr>
          <w:p w14:paraId="6E6B0FC6">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rPr>
              <w:t>安全方案</w:t>
            </w:r>
          </w:p>
        </w:tc>
        <w:tc>
          <w:tcPr>
            <w:tcW w:w="664" w:type="pct"/>
            <w:shd w:val="clear" w:color="auto" w:fill="auto"/>
            <w:vAlign w:val="center"/>
          </w:tcPr>
          <w:p w14:paraId="0CC9AC61">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lang w:bidi="ar"/>
              </w:rPr>
              <w:t>6</w:t>
            </w:r>
          </w:p>
        </w:tc>
        <w:tc>
          <w:tcPr>
            <w:tcW w:w="2789" w:type="pct"/>
            <w:shd w:val="clear" w:color="auto" w:fill="auto"/>
            <w:vAlign w:val="center"/>
          </w:tcPr>
          <w:p w14:paraId="3E8D41A8">
            <w:pPr>
              <w:adjustRightInd w:val="0"/>
              <w:snapToGrid w:val="0"/>
              <w:jc w:val="left"/>
              <w:rPr>
                <w:rFonts w:hint="eastAsia" w:ascii="仿宋" w:hAnsi="仿宋" w:eastAsia="仿宋" w:cs="仿宋"/>
                <w:sz w:val="24"/>
              </w:rPr>
            </w:pPr>
            <w:r>
              <w:rPr>
                <w:rFonts w:hint="eastAsia" w:ascii="仿宋" w:hAnsi="仿宋" w:eastAsia="仿宋" w:cs="仿宋"/>
                <w:sz w:val="24"/>
              </w:rPr>
              <w:t>根据投标人针对本项目提供的安全方案进行评审，包括：</w:t>
            </w:r>
          </w:p>
          <w:p w14:paraId="31C4CC1F">
            <w:pPr>
              <w:adjustRightInd w:val="0"/>
              <w:snapToGrid w:val="0"/>
              <w:jc w:val="left"/>
              <w:rPr>
                <w:rFonts w:hint="eastAsia" w:ascii="仿宋" w:hAnsi="仿宋" w:eastAsia="仿宋" w:cs="仿宋"/>
                <w:sz w:val="24"/>
              </w:rPr>
            </w:pPr>
            <w:r>
              <w:rPr>
                <w:rFonts w:hint="eastAsia" w:ascii="仿宋" w:hAnsi="仿宋" w:eastAsia="仿宋" w:cs="仿宋"/>
                <w:sz w:val="24"/>
              </w:rPr>
              <w:t>①应急人员分配情况；</w:t>
            </w:r>
          </w:p>
          <w:p w14:paraId="218D52A2">
            <w:pPr>
              <w:adjustRightInd w:val="0"/>
              <w:snapToGrid w:val="0"/>
              <w:jc w:val="left"/>
              <w:rPr>
                <w:rFonts w:hint="eastAsia" w:ascii="仿宋" w:hAnsi="仿宋" w:eastAsia="仿宋" w:cs="仿宋"/>
                <w:sz w:val="24"/>
              </w:rPr>
            </w:pPr>
            <w:r>
              <w:rPr>
                <w:rFonts w:hint="eastAsia" w:ascii="仿宋" w:hAnsi="仿宋" w:eastAsia="仿宋" w:cs="仿宋"/>
                <w:sz w:val="24"/>
              </w:rPr>
              <w:t>②安全管理制度；</w:t>
            </w:r>
          </w:p>
          <w:p w14:paraId="2AA1FB85">
            <w:pPr>
              <w:adjustRightInd w:val="0"/>
              <w:snapToGrid w:val="0"/>
              <w:jc w:val="left"/>
              <w:rPr>
                <w:rFonts w:hint="eastAsia" w:ascii="仿宋" w:hAnsi="仿宋" w:eastAsia="仿宋" w:cs="仿宋"/>
                <w:sz w:val="24"/>
              </w:rPr>
            </w:pPr>
            <w:r>
              <w:rPr>
                <w:rFonts w:hint="eastAsia" w:ascii="仿宋" w:hAnsi="仿宋" w:eastAsia="仿宋" w:cs="仿宋"/>
                <w:sz w:val="24"/>
              </w:rPr>
              <w:t>③紧急情况应急预案；</w:t>
            </w:r>
          </w:p>
          <w:p w14:paraId="4DC678C0">
            <w:pPr>
              <w:wordWrap w:val="0"/>
              <w:overflowPunct w:val="0"/>
              <w:topLinePunct/>
              <w:spacing w:line="440" w:lineRule="exact"/>
              <w:jc w:val="left"/>
              <w:textAlignment w:val="center"/>
              <w:rPr>
                <w:rFonts w:hint="eastAsia" w:ascii="仿宋" w:hAnsi="仿宋" w:eastAsia="仿宋" w:cs="仿宋"/>
                <w:b/>
                <w:color w:val="auto"/>
                <w:sz w:val="32"/>
                <w:szCs w:val="32"/>
              </w:rPr>
            </w:pPr>
            <w:r>
              <w:rPr>
                <w:rFonts w:hint="eastAsia" w:ascii="仿宋" w:hAnsi="仿宋" w:eastAsia="仿宋" w:cs="仿宋"/>
                <w:sz w:val="24"/>
              </w:rPr>
              <w:t>上述3项内容齐全且无缺陷（缺陷是指：内容涉及的规范或标准错误、套用其他项目内容、内容与本项目无关、内容不利于项目实施的任意一种情形）得6分，每缺少一项内容扣2分，扣完为止；单项内容每存在一处缺陷扣1分，单项内容分扣完为止。</w:t>
            </w:r>
          </w:p>
        </w:tc>
        <w:tc>
          <w:tcPr>
            <w:tcW w:w="542" w:type="pct"/>
            <w:shd w:val="clear" w:color="auto" w:fill="auto"/>
            <w:vAlign w:val="center"/>
          </w:tcPr>
          <w:p w14:paraId="030831C5">
            <w:pPr>
              <w:wordWrap w:val="0"/>
              <w:overflowPunct w:val="0"/>
              <w:topLinePunct/>
              <w:spacing w:line="440" w:lineRule="exact"/>
              <w:jc w:val="center"/>
              <w:textAlignment w:val="center"/>
              <w:rPr>
                <w:rFonts w:hint="eastAsia" w:ascii="仿宋" w:hAnsi="仿宋" w:eastAsia="仿宋" w:cs="仿宋"/>
                <w:b/>
                <w:bCs/>
                <w:color w:val="auto"/>
                <w:sz w:val="32"/>
                <w:szCs w:val="32"/>
              </w:rPr>
            </w:pPr>
          </w:p>
        </w:tc>
      </w:tr>
      <w:tr w14:paraId="5FD0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14:paraId="33AB3EF1">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bCs/>
                <w:snapToGrid w:val="0"/>
                <w:kern w:val="0"/>
                <w:sz w:val="24"/>
              </w:rPr>
              <w:t>4</w:t>
            </w:r>
          </w:p>
        </w:tc>
        <w:tc>
          <w:tcPr>
            <w:tcW w:w="661" w:type="pct"/>
            <w:shd w:val="clear" w:color="auto" w:fill="auto"/>
            <w:vAlign w:val="center"/>
          </w:tcPr>
          <w:p w14:paraId="5526DFD4">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rPr>
              <w:t>履约能力</w:t>
            </w:r>
          </w:p>
        </w:tc>
        <w:tc>
          <w:tcPr>
            <w:tcW w:w="664" w:type="pct"/>
            <w:shd w:val="clear" w:color="auto" w:fill="auto"/>
            <w:vAlign w:val="center"/>
          </w:tcPr>
          <w:p w14:paraId="2ADE936E">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lang w:bidi="ar"/>
              </w:rPr>
              <w:t>8</w:t>
            </w:r>
          </w:p>
        </w:tc>
        <w:tc>
          <w:tcPr>
            <w:tcW w:w="2789" w:type="pct"/>
            <w:shd w:val="clear" w:color="auto" w:fill="auto"/>
            <w:vAlign w:val="center"/>
          </w:tcPr>
          <w:p w14:paraId="4150FDBB">
            <w:pPr>
              <w:adjustRightInd w:val="0"/>
              <w:snapToGrid w:val="0"/>
              <w:jc w:val="left"/>
              <w:rPr>
                <w:rFonts w:hint="eastAsia" w:ascii="仿宋" w:hAnsi="仿宋" w:eastAsia="仿宋" w:cs="仿宋"/>
                <w:sz w:val="24"/>
              </w:rPr>
            </w:pPr>
            <w:r>
              <w:rPr>
                <w:rFonts w:hint="eastAsia" w:ascii="仿宋" w:hAnsi="仿宋" w:eastAsia="仿宋" w:cs="仿宋"/>
                <w:sz w:val="24"/>
              </w:rPr>
              <w:t>根据投标人2022年1月1日（含1日）至提交投标文件截止日的类似业绩进行评审，每提供</w:t>
            </w:r>
            <w:r>
              <w:rPr>
                <w:rFonts w:hint="eastAsia" w:ascii="仿宋" w:hAnsi="仿宋" w:eastAsia="仿宋" w:cs="仿宋"/>
                <w:sz w:val="24"/>
                <w:lang w:val="en-US" w:eastAsia="zh-CN"/>
              </w:rPr>
              <w:t>1</w:t>
            </w:r>
            <w:r>
              <w:rPr>
                <w:rFonts w:hint="eastAsia" w:ascii="仿宋" w:hAnsi="仿宋" w:eastAsia="仿宋" w:cs="仿宋"/>
                <w:sz w:val="24"/>
              </w:rPr>
              <w:t>个业绩得</w:t>
            </w:r>
            <w:r>
              <w:rPr>
                <w:rFonts w:hint="eastAsia" w:ascii="仿宋" w:hAnsi="仿宋" w:eastAsia="仿宋" w:cs="仿宋"/>
                <w:sz w:val="24"/>
                <w:lang w:val="en-US" w:eastAsia="zh-CN"/>
              </w:rPr>
              <w:t>2</w:t>
            </w:r>
            <w:r>
              <w:rPr>
                <w:rFonts w:hint="eastAsia" w:ascii="仿宋" w:hAnsi="仿宋" w:eastAsia="仿宋" w:cs="仿宋"/>
                <w:sz w:val="24"/>
              </w:rPr>
              <w:t xml:space="preserve">分，不提供不得分，最多得8分。 </w:t>
            </w:r>
          </w:p>
          <w:p w14:paraId="2B95B0FE">
            <w:pPr>
              <w:wordWrap w:val="0"/>
              <w:overflowPunct w:val="0"/>
              <w:topLinePunct/>
              <w:spacing w:line="440" w:lineRule="exact"/>
              <w:jc w:val="left"/>
              <w:textAlignment w:val="center"/>
              <w:rPr>
                <w:rFonts w:hint="eastAsia" w:ascii="仿宋" w:hAnsi="仿宋" w:eastAsia="仿宋" w:cs="仿宋"/>
                <w:b/>
                <w:color w:val="auto"/>
                <w:sz w:val="32"/>
                <w:szCs w:val="32"/>
              </w:rPr>
            </w:pPr>
            <w:r>
              <w:rPr>
                <w:rFonts w:hint="eastAsia" w:ascii="仿宋" w:hAnsi="仿宋" w:eastAsia="仿宋" w:cs="仿宋"/>
                <w:sz w:val="24"/>
              </w:rPr>
              <w:t>注：提供合同（协议）复印件并加盖投标人公章。</w:t>
            </w:r>
          </w:p>
        </w:tc>
        <w:tc>
          <w:tcPr>
            <w:tcW w:w="542" w:type="pct"/>
            <w:shd w:val="clear" w:color="auto" w:fill="auto"/>
            <w:vAlign w:val="center"/>
          </w:tcPr>
          <w:p w14:paraId="52C7D5C6">
            <w:pPr>
              <w:wordWrap w:val="0"/>
              <w:overflowPunct w:val="0"/>
              <w:topLinePunct/>
              <w:spacing w:line="440" w:lineRule="exact"/>
              <w:jc w:val="center"/>
              <w:textAlignment w:val="center"/>
              <w:rPr>
                <w:rFonts w:hint="eastAsia" w:ascii="仿宋" w:hAnsi="仿宋" w:eastAsia="仿宋" w:cs="仿宋"/>
                <w:b/>
                <w:bCs/>
                <w:color w:val="auto"/>
                <w:sz w:val="32"/>
                <w:szCs w:val="32"/>
              </w:rPr>
            </w:pPr>
          </w:p>
        </w:tc>
      </w:tr>
      <w:tr w14:paraId="3E0D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14:paraId="1207B813">
            <w:pPr>
              <w:wordWrap w:val="0"/>
              <w:overflowPunct w:val="0"/>
              <w:topLinePunct/>
              <w:spacing w:line="440" w:lineRule="exact"/>
              <w:jc w:val="center"/>
              <w:textAlignment w:val="center"/>
              <w:rPr>
                <w:rFonts w:hint="eastAsia" w:ascii="仿宋" w:hAnsi="仿宋" w:eastAsia="仿宋" w:cs="仿宋"/>
                <w:bCs/>
                <w:snapToGrid w:val="0"/>
                <w:color w:val="auto"/>
                <w:kern w:val="0"/>
                <w:sz w:val="32"/>
                <w:szCs w:val="32"/>
              </w:rPr>
            </w:pPr>
            <w:r>
              <w:rPr>
                <w:rFonts w:hint="eastAsia" w:ascii="仿宋" w:hAnsi="仿宋" w:eastAsia="仿宋" w:cs="仿宋"/>
                <w:bCs/>
                <w:snapToGrid w:val="0"/>
                <w:kern w:val="0"/>
                <w:sz w:val="24"/>
              </w:rPr>
              <w:t>5</w:t>
            </w:r>
          </w:p>
        </w:tc>
        <w:tc>
          <w:tcPr>
            <w:tcW w:w="661" w:type="pct"/>
            <w:shd w:val="clear" w:color="auto" w:fill="auto"/>
            <w:vAlign w:val="center"/>
          </w:tcPr>
          <w:p w14:paraId="6BEB4D86">
            <w:pPr>
              <w:wordWrap w:val="0"/>
              <w:overflowPunct w:val="0"/>
              <w:topLinePunct/>
              <w:spacing w:line="440" w:lineRule="exact"/>
              <w:jc w:val="center"/>
              <w:textAlignment w:val="center"/>
              <w:rPr>
                <w:rFonts w:hint="eastAsia" w:ascii="仿宋" w:hAnsi="仿宋" w:eastAsia="仿宋" w:cs="仿宋"/>
                <w:color w:val="auto"/>
                <w:sz w:val="32"/>
                <w:szCs w:val="32"/>
              </w:rPr>
            </w:pPr>
            <w:r>
              <w:rPr>
                <w:rFonts w:hint="eastAsia" w:ascii="仿宋" w:hAnsi="仿宋" w:eastAsia="仿宋" w:cs="仿宋"/>
              </w:rPr>
              <w:t>技术服务要求</w:t>
            </w:r>
          </w:p>
        </w:tc>
        <w:tc>
          <w:tcPr>
            <w:tcW w:w="664" w:type="pct"/>
            <w:shd w:val="clear" w:color="auto" w:fill="auto"/>
            <w:vAlign w:val="center"/>
          </w:tcPr>
          <w:p w14:paraId="78B14B48">
            <w:pPr>
              <w:wordWrap w:val="0"/>
              <w:overflowPunct w:val="0"/>
              <w:topLinePunct/>
              <w:spacing w:line="440" w:lineRule="exact"/>
              <w:jc w:val="center"/>
              <w:textAlignment w:val="center"/>
              <w:rPr>
                <w:rFonts w:hint="eastAsia" w:ascii="仿宋" w:hAnsi="仿宋" w:eastAsia="仿宋" w:cs="仿宋"/>
                <w:b/>
                <w:color w:val="auto"/>
                <w:sz w:val="32"/>
                <w:szCs w:val="32"/>
              </w:rPr>
            </w:pPr>
            <w:r>
              <w:rPr>
                <w:rFonts w:hint="eastAsia" w:ascii="仿宋" w:hAnsi="仿宋" w:eastAsia="仿宋" w:cs="仿宋"/>
                <w:lang w:bidi="ar"/>
              </w:rPr>
              <w:t>51</w:t>
            </w:r>
          </w:p>
        </w:tc>
        <w:tc>
          <w:tcPr>
            <w:tcW w:w="2789" w:type="pct"/>
            <w:shd w:val="clear" w:color="auto" w:fill="auto"/>
            <w:vAlign w:val="center"/>
          </w:tcPr>
          <w:p w14:paraId="42DD3A47">
            <w:pPr>
              <w:adjustRightInd w:val="0"/>
              <w:snapToGrid w:val="0"/>
              <w:jc w:val="left"/>
              <w:rPr>
                <w:rFonts w:hint="eastAsia" w:ascii="仿宋" w:hAnsi="仿宋" w:eastAsia="仿宋" w:cs="仿宋"/>
                <w:sz w:val="24"/>
              </w:rPr>
            </w:pPr>
            <w:r>
              <w:rPr>
                <w:rFonts w:hint="eastAsia" w:ascii="仿宋" w:hAnsi="仿宋" w:eastAsia="仿宋" w:cs="仿宋"/>
                <w:sz w:val="24"/>
              </w:rPr>
              <w:t>招标文件“技术参数与性能指标”中：未标注“★”的条款为一般技术参数；</w:t>
            </w:r>
          </w:p>
          <w:p w14:paraId="2A8DA5CC">
            <w:pPr>
              <w:wordWrap w:val="0"/>
              <w:overflowPunct w:val="0"/>
              <w:topLinePunct/>
              <w:spacing w:line="440" w:lineRule="exact"/>
              <w:jc w:val="left"/>
              <w:textAlignment w:val="center"/>
              <w:rPr>
                <w:rFonts w:hint="eastAsia" w:ascii="仿宋" w:hAnsi="仿宋" w:eastAsia="仿宋" w:cs="仿宋"/>
                <w:b/>
                <w:color w:val="auto"/>
                <w:sz w:val="32"/>
                <w:szCs w:val="32"/>
              </w:rPr>
            </w:pPr>
            <w:r>
              <w:rPr>
                <w:rFonts w:hint="eastAsia" w:ascii="仿宋" w:hAnsi="仿宋" w:eastAsia="仿宋" w:cs="仿宋"/>
                <w:sz w:val="24"/>
              </w:rPr>
              <w:t>（1）一般技术参数响应得分=（投标人满足一般技术参数的数量÷招标文件中一般技术参数的总数量，共17条）*51分；</w:t>
            </w:r>
          </w:p>
        </w:tc>
        <w:tc>
          <w:tcPr>
            <w:tcW w:w="542" w:type="pct"/>
            <w:shd w:val="clear" w:color="auto" w:fill="auto"/>
            <w:vAlign w:val="center"/>
          </w:tcPr>
          <w:p w14:paraId="50A7DDC0">
            <w:pPr>
              <w:wordWrap w:val="0"/>
              <w:overflowPunct w:val="0"/>
              <w:topLinePunct/>
              <w:spacing w:line="440" w:lineRule="exact"/>
              <w:jc w:val="center"/>
              <w:textAlignment w:val="center"/>
              <w:rPr>
                <w:rFonts w:hint="eastAsia" w:ascii="仿宋" w:hAnsi="仿宋" w:eastAsia="仿宋" w:cs="仿宋"/>
                <w:b/>
                <w:bCs/>
                <w:color w:val="auto"/>
                <w:sz w:val="32"/>
                <w:szCs w:val="32"/>
              </w:rPr>
            </w:pPr>
          </w:p>
        </w:tc>
      </w:tr>
    </w:tbl>
    <w:p w14:paraId="53DA6B53">
      <w:pPr>
        <w:pStyle w:val="5"/>
        <w:keepNext w:val="0"/>
        <w:keepLines w:val="0"/>
        <w:pageBreakBefore w:val="0"/>
        <w:numPr>
          <w:ilvl w:val="0"/>
          <w:numId w:val="0"/>
        </w:numPr>
        <w:kinsoku/>
        <w:wordWrap/>
        <w:overflowPunct/>
        <w:topLinePunct w:val="0"/>
        <w:autoSpaceDE/>
        <w:autoSpaceDN/>
        <w:bidi w:val="0"/>
        <w:spacing w:line="240" w:lineRule="auto"/>
        <w:rPr>
          <w:rFonts w:hint="eastAsia" w:ascii="仿宋" w:hAnsi="仿宋" w:eastAsia="仿宋" w:cs="仿宋"/>
          <w:b w:val="0"/>
          <w:bCs/>
          <w:i w:val="0"/>
          <w:caps w:val="0"/>
          <w:color w:val="auto"/>
          <w:spacing w:val="0"/>
          <w:sz w:val="32"/>
          <w:szCs w:val="32"/>
          <w:highlight w:val="none"/>
          <w:shd w:val="clear" w:fill="FFFFFF"/>
        </w:rPr>
      </w:pPr>
    </w:p>
    <w:p w14:paraId="65917850">
      <w:pPr>
        <w:pageBreakBefore w:val="0"/>
        <w:kinsoku/>
        <w:autoSpaceDE/>
        <w:autoSpaceDN/>
        <w:bidi w:val="0"/>
        <w:adjustRightInd w:val="0"/>
        <w:snapToGrid w:val="0"/>
        <w:spacing w:line="240" w:lineRule="auto"/>
        <w:rPr>
          <w:rFonts w:hint="eastAsia" w:ascii="仿宋" w:hAnsi="仿宋" w:eastAsia="仿宋" w:cs="仿宋"/>
          <w:color w:val="auto"/>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bookmarkStart w:id="19" w:name="_GoBack"/>
      <w:bookmarkEnd w:id="19"/>
    </w:p>
    <w:p w14:paraId="74F3A029">
      <w:pPr>
        <w:pageBreakBefore w:val="0"/>
        <w:kinsoku/>
        <w:autoSpaceDE/>
        <w:autoSpaceDN/>
        <w:bidi w:val="0"/>
        <w:adjustRightInd w:val="0"/>
        <w:snapToGrid w:val="0"/>
        <w:spacing w:line="24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w:t>
      </w:r>
    </w:p>
    <w:p w14:paraId="6E931A01">
      <w:pPr>
        <w:pageBreakBefore w:val="0"/>
        <w:kinsoku/>
        <w:autoSpaceDE/>
        <w:autoSpaceDN/>
        <w:bidi w:val="0"/>
        <w:spacing w:line="240" w:lineRule="auto"/>
        <w:jc w:val="center"/>
        <w:rPr>
          <w:rFonts w:hint="eastAsia" w:ascii="仿宋" w:hAnsi="仿宋" w:eastAsia="仿宋" w:cs="仿宋"/>
          <w:bCs/>
          <w:color w:val="auto"/>
          <w:kern w:val="0"/>
          <w:sz w:val="32"/>
          <w:szCs w:val="32"/>
          <w:highlight w:val="none"/>
          <w:shd w:val="clear" w:color="auto" w:fill="FFFFFF"/>
        </w:rPr>
      </w:pPr>
      <w:r>
        <w:rPr>
          <w:rFonts w:hint="eastAsia" w:ascii="仿宋" w:hAnsi="仿宋" w:eastAsia="仿宋" w:cs="仿宋"/>
          <w:bCs/>
          <w:color w:val="auto"/>
          <w:kern w:val="0"/>
          <w:sz w:val="32"/>
          <w:szCs w:val="32"/>
          <w:highlight w:val="none"/>
          <w:shd w:val="clear" w:color="auto" w:fill="FFFFFF"/>
          <w:lang w:val="en-US" w:eastAsia="zh-CN"/>
        </w:rPr>
        <w:t>资格证明</w:t>
      </w:r>
      <w:r>
        <w:rPr>
          <w:rFonts w:hint="eastAsia" w:ascii="仿宋" w:hAnsi="仿宋" w:eastAsia="仿宋" w:cs="仿宋"/>
          <w:bCs/>
          <w:color w:val="auto"/>
          <w:kern w:val="0"/>
          <w:sz w:val="32"/>
          <w:szCs w:val="32"/>
          <w:highlight w:val="none"/>
          <w:shd w:val="clear" w:color="auto" w:fill="FFFFFF"/>
        </w:rPr>
        <w:t>文件装订顺序</w:t>
      </w:r>
    </w:p>
    <w:p w14:paraId="038C3EBF">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1.封面（注明包号、</w:t>
      </w:r>
      <w:r>
        <w:rPr>
          <w:rFonts w:hint="eastAsia" w:ascii="仿宋" w:hAnsi="仿宋" w:eastAsia="仿宋" w:cs="仿宋"/>
          <w:color w:val="auto"/>
          <w:spacing w:val="8"/>
          <w:kern w:val="0"/>
          <w:sz w:val="32"/>
          <w:szCs w:val="32"/>
          <w:highlight w:val="none"/>
          <w:shd w:val="clear" w:color="auto" w:fill="FFFFFF"/>
          <w:lang w:val="en-US" w:eastAsia="zh-CN"/>
        </w:rPr>
        <w:t>项目名称</w:t>
      </w:r>
      <w:r>
        <w:rPr>
          <w:rFonts w:hint="eastAsia" w:ascii="仿宋" w:hAnsi="仿宋" w:eastAsia="仿宋" w:cs="仿宋"/>
          <w:color w:val="auto"/>
          <w:spacing w:val="8"/>
          <w:kern w:val="0"/>
          <w:sz w:val="32"/>
          <w:szCs w:val="32"/>
          <w:highlight w:val="none"/>
          <w:shd w:val="clear" w:color="auto" w:fill="FFFFFF"/>
        </w:rPr>
        <w:t>、公司名称、联系人、联系电话、加盖公司印章）。</w:t>
      </w:r>
    </w:p>
    <w:p w14:paraId="1D1A3DEA">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2.目录。</w:t>
      </w:r>
    </w:p>
    <w:p w14:paraId="153F9280">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3.有效的营业执照（副本）复印件。</w:t>
      </w:r>
    </w:p>
    <w:p w14:paraId="5B94DFBA">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4.</w:t>
      </w:r>
      <w:r>
        <w:rPr>
          <w:rFonts w:hint="eastAsia" w:ascii="仿宋" w:hAnsi="仿宋" w:eastAsia="仿宋" w:cs="仿宋"/>
          <w:color w:val="auto"/>
          <w:spacing w:val="8"/>
          <w:kern w:val="0"/>
          <w:sz w:val="32"/>
          <w:szCs w:val="32"/>
          <w:highlight w:val="none"/>
          <w:shd w:val="clear" w:color="auto" w:fill="FFFFFF"/>
          <w:lang w:eastAsia="zh-CN"/>
        </w:rPr>
        <w:t>授权参加本次采购活动的供应商代表证明。(供应商代表为“授权代表”时，提供授权委托书（</w:t>
      </w:r>
      <w:r>
        <w:rPr>
          <w:rFonts w:hint="eastAsia" w:ascii="仿宋" w:hAnsi="仿宋" w:eastAsia="仿宋" w:cs="仿宋"/>
          <w:color w:val="auto"/>
          <w:spacing w:val="8"/>
          <w:kern w:val="0"/>
          <w:sz w:val="32"/>
          <w:szCs w:val="32"/>
          <w:highlight w:val="none"/>
          <w:shd w:val="clear" w:color="auto" w:fill="FFFFFF"/>
          <w:lang w:val="en-US" w:eastAsia="zh-CN"/>
        </w:rPr>
        <w:t>格式见附件5-5</w:t>
      </w:r>
      <w:r>
        <w:rPr>
          <w:rFonts w:hint="eastAsia" w:ascii="仿宋" w:hAnsi="仿宋" w:eastAsia="仿宋" w:cs="仿宋"/>
          <w:color w:val="auto"/>
          <w:spacing w:val="8"/>
          <w:kern w:val="0"/>
          <w:sz w:val="32"/>
          <w:szCs w:val="32"/>
          <w:highlight w:val="none"/>
          <w:shd w:val="clear" w:color="auto" w:fill="FFFFFF"/>
          <w:lang w:eastAsia="zh-CN"/>
        </w:rPr>
        <w:t>）及身份证复印件；供应商代表为“法定代表人（单位负责人）”时，提供法定代表人（单位负责人）身份证</w:t>
      </w:r>
      <w:r>
        <w:rPr>
          <w:rFonts w:hint="eastAsia" w:ascii="仿宋" w:hAnsi="仿宋" w:eastAsia="仿宋" w:cs="仿宋"/>
          <w:color w:val="auto"/>
          <w:spacing w:val="8"/>
          <w:kern w:val="0"/>
          <w:sz w:val="32"/>
          <w:szCs w:val="32"/>
          <w:highlight w:val="none"/>
          <w:shd w:val="clear" w:color="auto" w:fill="FFFFFF"/>
          <w:lang w:val="en-US" w:eastAsia="zh-CN"/>
        </w:rPr>
        <w:t>明</w:t>
      </w:r>
      <w:r>
        <w:rPr>
          <w:rFonts w:hint="eastAsia" w:ascii="仿宋" w:hAnsi="仿宋" w:eastAsia="仿宋" w:cs="仿宋"/>
          <w:color w:val="auto"/>
          <w:spacing w:val="8"/>
          <w:kern w:val="0"/>
          <w:sz w:val="32"/>
          <w:szCs w:val="32"/>
          <w:highlight w:val="none"/>
          <w:shd w:val="clear" w:color="auto" w:fill="FFFFFF"/>
          <w:lang w:eastAsia="zh-CN"/>
        </w:rPr>
        <w:t>（</w:t>
      </w:r>
      <w:r>
        <w:rPr>
          <w:rFonts w:hint="eastAsia" w:ascii="仿宋" w:hAnsi="仿宋" w:eastAsia="仿宋" w:cs="仿宋"/>
          <w:color w:val="auto"/>
          <w:spacing w:val="8"/>
          <w:kern w:val="0"/>
          <w:sz w:val="32"/>
          <w:szCs w:val="32"/>
          <w:highlight w:val="none"/>
          <w:shd w:val="clear" w:color="auto" w:fill="FFFFFF"/>
          <w:lang w:val="en-US" w:eastAsia="zh-CN"/>
        </w:rPr>
        <w:t>格式见附件5-6</w:t>
      </w:r>
      <w:r>
        <w:rPr>
          <w:rFonts w:hint="eastAsia" w:ascii="仿宋" w:hAnsi="仿宋" w:eastAsia="仿宋" w:cs="仿宋"/>
          <w:color w:val="auto"/>
          <w:spacing w:val="8"/>
          <w:kern w:val="0"/>
          <w:sz w:val="32"/>
          <w:szCs w:val="32"/>
          <w:highlight w:val="none"/>
          <w:shd w:val="clear" w:color="auto" w:fill="FFFFFF"/>
          <w:lang w:eastAsia="zh-CN"/>
        </w:rPr>
        <w:t>）)</w:t>
      </w:r>
      <w:r>
        <w:rPr>
          <w:rFonts w:hint="eastAsia" w:ascii="仿宋" w:hAnsi="仿宋" w:eastAsia="仿宋" w:cs="仿宋"/>
          <w:color w:val="auto"/>
          <w:spacing w:val="8"/>
          <w:kern w:val="0"/>
          <w:sz w:val="32"/>
          <w:szCs w:val="32"/>
          <w:highlight w:val="none"/>
          <w:shd w:val="clear" w:color="auto" w:fill="FFFFFF"/>
        </w:rPr>
        <w:t>。</w:t>
      </w:r>
    </w:p>
    <w:p w14:paraId="3940E1D9">
      <w:pPr>
        <w:pStyle w:val="10"/>
        <w:pageBreakBefore w:val="0"/>
        <w:widowControl/>
        <w:kinsoku/>
        <w:autoSpaceDE/>
        <w:autoSpaceDN/>
        <w:bidi w:val="0"/>
        <w:adjustRightInd w:val="0"/>
        <w:snapToGrid w:val="0"/>
        <w:spacing w:beforeAutospacing="0" w:afterAutospacing="0" w:line="240" w:lineRule="auto"/>
        <w:ind w:firstLine="672" w:firstLineChars="200"/>
        <w:jc w:val="both"/>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5.</w:t>
      </w:r>
      <w:r>
        <w:rPr>
          <w:rFonts w:hint="eastAsia" w:ascii="仿宋" w:hAnsi="仿宋" w:eastAsia="仿宋" w:cs="仿宋"/>
          <w:color w:val="auto"/>
          <w:sz w:val="32"/>
          <w:szCs w:val="32"/>
          <w:highlight w:val="none"/>
          <w:shd w:val="clear" w:color="auto" w:fill="FFFFFF"/>
        </w:rPr>
        <w:t>具有良好的商业信誉和健全的财务会计制度</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b/>
          <w:bCs/>
          <w:color w:val="auto"/>
          <w:sz w:val="32"/>
          <w:szCs w:val="32"/>
          <w:highlight w:val="none"/>
        </w:rPr>
        <w:t>提供承诺函</w:t>
      </w:r>
      <w:r>
        <w:rPr>
          <w:rFonts w:hint="eastAsia" w:ascii="仿宋" w:hAnsi="仿宋" w:eastAsia="仿宋" w:cs="仿宋"/>
          <w:b/>
          <w:bCs/>
          <w:color w:val="auto"/>
          <w:sz w:val="32"/>
          <w:szCs w:val="32"/>
          <w:highlight w:val="none"/>
          <w:lang w:eastAsia="zh-CN"/>
        </w:rPr>
        <w:t>。</w:t>
      </w:r>
      <w:r>
        <w:rPr>
          <w:rFonts w:hint="eastAsia" w:ascii="仿宋" w:hAnsi="仿宋" w:eastAsia="仿宋" w:cs="仿宋"/>
          <w:color w:val="auto"/>
          <w:spacing w:val="8"/>
          <w:kern w:val="0"/>
          <w:sz w:val="32"/>
          <w:szCs w:val="32"/>
          <w:highlight w:val="none"/>
          <w:shd w:val="clear" w:color="auto" w:fill="FFFFFF"/>
          <w:lang w:val="en-US" w:eastAsia="zh-CN"/>
        </w:rPr>
        <w:t>(格式自拟)</w:t>
      </w:r>
    </w:p>
    <w:p w14:paraId="7B1621CC">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6.具有履行合同所必须的设备和专业技术能力，</w:t>
      </w:r>
      <w:r>
        <w:rPr>
          <w:rFonts w:hint="eastAsia" w:ascii="仿宋" w:hAnsi="仿宋" w:eastAsia="仿宋" w:cs="仿宋"/>
          <w:b/>
          <w:bCs/>
          <w:color w:val="auto"/>
          <w:spacing w:val="8"/>
          <w:kern w:val="0"/>
          <w:sz w:val="32"/>
          <w:szCs w:val="32"/>
          <w:highlight w:val="none"/>
          <w:shd w:val="clear" w:color="auto" w:fill="FFFFFF"/>
          <w:lang w:val="en-US" w:eastAsia="zh-CN"/>
        </w:rPr>
        <w:t>提供承诺函</w:t>
      </w:r>
      <w:r>
        <w:rPr>
          <w:rFonts w:hint="eastAsia" w:ascii="仿宋" w:hAnsi="仿宋" w:eastAsia="仿宋" w:cs="仿宋"/>
          <w:color w:val="auto"/>
          <w:spacing w:val="8"/>
          <w:kern w:val="0"/>
          <w:sz w:val="32"/>
          <w:szCs w:val="32"/>
          <w:highlight w:val="none"/>
          <w:shd w:val="clear" w:color="auto" w:fill="FFFFFF"/>
          <w:lang w:val="en-US" w:eastAsia="zh-CN"/>
        </w:rPr>
        <w:t>。(格式自拟)</w:t>
      </w:r>
    </w:p>
    <w:p w14:paraId="1574812D">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7.具有依法缴纳税收和社会保障资金的良好记录，</w:t>
      </w:r>
      <w:r>
        <w:rPr>
          <w:rFonts w:hint="eastAsia" w:ascii="仿宋" w:hAnsi="仿宋" w:eastAsia="仿宋" w:cs="仿宋"/>
          <w:b/>
          <w:bCs/>
          <w:color w:val="auto"/>
          <w:spacing w:val="8"/>
          <w:kern w:val="0"/>
          <w:sz w:val="32"/>
          <w:szCs w:val="32"/>
          <w:highlight w:val="none"/>
          <w:shd w:val="clear" w:color="auto" w:fill="FFFFFF"/>
          <w:lang w:val="en-US" w:eastAsia="zh-CN"/>
        </w:rPr>
        <w:t>提供承诺函</w:t>
      </w:r>
      <w:r>
        <w:rPr>
          <w:rFonts w:hint="eastAsia" w:ascii="仿宋" w:hAnsi="仿宋" w:eastAsia="仿宋" w:cs="仿宋"/>
          <w:color w:val="auto"/>
          <w:spacing w:val="8"/>
          <w:kern w:val="0"/>
          <w:sz w:val="32"/>
          <w:szCs w:val="32"/>
          <w:highlight w:val="none"/>
          <w:shd w:val="clear" w:color="auto" w:fill="FFFFFF"/>
          <w:lang w:val="en-US" w:eastAsia="zh-CN"/>
        </w:rPr>
        <w:t>。(格式自拟)</w:t>
      </w:r>
    </w:p>
    <w:p w14:paraId="5C8228BF">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8.参加本次采购活动前三年内，在经营活动中没有重大违法记录；没有因安全事故、质量事故、违规等被政府有关部门记录，</w:t>
      </w:r>
      <w:r>
        <w:rPr>
          <w:rFonts w:hint="eastAsia" w:ascii="仿宋" w:hAnsi="仿宋" w:eastAsia="仿宋" w:cs="仿宋"/>
          <w:b/>
          <w:bCs/>
          <w:color w:val="auto"/>
          <w:spacing w:val="8"/>
          <w:kern w:val="0"/>
          <w:sz w:val="32"/>
          <w:szCs w:val="32"/>
          <w:highlight w:val="none"/>
          <w:shd w:val="clear" w:color="auto" w:fill="FFFFFF"/>
          <w:lang w:val="en-US" w:eastAsia="zh-CN"/>
        </w:rPr>
        <w:t>提供承诺函</w:t>
      </w:r>
      <w:r>
        <w:rPr>
          <w:rFonts w:hint="eastAsia" w:ascii="仿宋" w:hAnsi="仿宋" w:eastAsia="仿宋" w:cs="仿宋"/>
          <w:color w:val="auto"/>
          <w:spacing w:val="8"/>
          <w:kern w:val="0"/>
          <w:sz w:val="32"/>
          <w:szCs w:val="32"/>
          <w:highlight w:val="none"/>
          <w:shd w:val="clear" w:color="auto" w:fill="FFFFFF"/>
          <w:lang w:val="en-US" w:eastAsia="zh-CN"/>
        </w:rPr>
        <w:t>。(格式自拟)</w:t>
      </w:r>
    </w:p>
    <w:p w14:paraId="4BA48DC9">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9.供应商负责人为同一人或者存在控股、管理关系的不同单位，均视为同一参会供应商，不得重复参加采购，</w:t>
      </w:r>
      <w:r>
        <w:rPr>
          <w:rFonts w:hint="eastAsia" w:ascii="仿宋" w:hAnsi="仿宋" w:eastAsia="仿宋" w:cs="仿宋"/>
          <w:b/>
          <w:bCs/>
          <w:color w:val="auto"/>
          <w:spacing w:val="8"/>
          <w:kern w:val="0"/>
          <w:sz w:val="32"/>
          <w:szCs w:val="32"/>
          <w:highlight w:val="none"/>
          <w:shd w:val="clear" w:color="auto" w:fill="FFFFFF"/>
          <w:lang w:val="en-US" w:eastAsia="zh-CN"/>
        </w:rPr>
        <w:t>提供承诺函</w:t>
      </w:r>
      <w:r>
        <w:rPr>
          <w:rFonts w:hint="eastAsia" w:ascii="仿宋" w:hAnsi="仿宋" w:eastAsia="仿宋" w:cs="仿宋"/>
          <w:color w:val="auto"/>
          <w:spacing w:val="8"/>
          <w:kern w:val="0"/>
          <w:sz w:val="32"/>
          <w:szCs w:val="32"/>
          <w:highlight w:val="none"/>
          <w:shd w:val="clear" w:color="auto" w:fill="FFFFFF"/>
          <w:lang w:val="en-US" w:eastAsia="zh-CN"/>
        </w:rPr>
        <w:t>。(格式自拟)</w:t>
      </w:r>
    </w:p>
    <w:p w14:paraId="11FD03F3">
      <w:pPr>
        <w:keepNext w:val="0"/>
        <w:keepLines w:val="0"/>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bCs/>
          <w:color w:val="auto"/>
          <w:kern w:val="0"/>
          <w:sz w:val="32"/>
          <w:szCs w:val="32"/>
          <w:highlight w:val="none"/>
          <w:shd w:val="clear" w:color="auto" w:fill="FFFFFF"/>
        </w:rPr>
      </w:pPr>
      <w:r>
        <w:rPr>
          <w:rFonts w:hint="eastAsia" w:ascii="仿宋" w:hAnsi="仿宋" w:eastAsia="仿宋" w:cs="仿宋"/>
          <w:bCs/>
          <w:color w:val="auto"/>
          <w:kern w:val="0"/>
          <w:sz w:val="32"/>
          <w:szCs w:val="32"/>
          <w:highlight w:val="none"/>
          <w:shd w:val="clear" w:color="auto" w:fill="FFFFFF"/>
        </w:rPr>
        <w:br w:type="page"/>
      </w:r>
    </w:p>
    <w:p w14:paraId="2996052F">
      <w:pPr>
        <w:pageBreakBefore w:val="0"/>
        <w:widowControl/>
        <w:kinsoku/>
        <w:autoSpaceDE/>
        <w:autoSpaceDN/>
        <w:bidi w:val="0"/>
        <w:adjustRightInd w:val="0"/>
        <w:snapToGrid w:val="0"/>
        <w:spacing w:line="240" w:lineRule="auto"/>
        <w:jc w:val="left"/>
        <w:rPr>
          <w:rFonts w:hint="eastAsia" w:ascii="仿宋" w:hAnsi="仿宋" w:eastAsia="仿宋" w:cs="仿宋"/>
          <w:b/>
          <w:bCs/>
          <w:color w:val="auto"/>
          <w:kern w:val="0"/>
          <w:sz w:val="32"/>
          <w:szCs w:val="32"/>
          <w:highlight w:val="none"/>
          <w:shd w:val="clear" w:color="auto" w:fill="FFFFFF"/>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4：</w:t>
      </w:r>
    </w:p>
    <w:p w14:paraId="27B180F9">
      <w:pPr>
        <w:pageBreakBefore w:val="0"/>
        <w:widowControl/>
        <w:kinsoku/>
        <w:autoSpaceDE/>
        <w:autoSpaceDN/>
        <w:bidi w:val="0"/>
        <w:adjustRightInd w:val="0"/>
        <w:snapToGrid w:val="0"/>
        <w:spacing w:line="240" w:lineRule="auto"/>
        <w:jc w:val="center"/>
        <w:rPr>
          <w:rFonts w:hint="eastAsia" w:ascii="仿宋" w:hAnsi="仿宋" w:eastAsia="仿宋" w:cs="仿宋"/>
          <w:bCs/>
          <w:color w:val="auto"/>
          <w:kern w:val="0"/>
          <w:sz w:val="32"/>
          <w:szCs w:val="32"/>
          <w:highlight w:val="none"/>
          <w:shd w:val="clear" w:color="auto" w:fill="FFFFFF"/>
        </w:rPr>
      </w:pPr>
      <w:r>
        <w:rPr>
          <w:rFonts w:hint="eastAsia" w:ascii="仿宋" w:hAnsi="仿宋" w:eastAsia="仿宋" w:cs="仿宋"/>
          <w:bCs/>
          <w:color w:val="auto"/>
          <w:kern w:val="0"/>
          <w:sz w:val="32"/>
          <w:szCs w:val="32"/>
          <w:highlight w:val="none"/>
          <w:shd w:val="clear" w:color="auto" w:fill="FFFFFF"/>
        </w:rPr>
        <w:t>采购</w:t>
      </w:r>
      <w:r>
        <w:rPr>
          <w:rFonts w:hint="eastAsia" w:ascii="仿宋" w:hAnsi="仿宋" w:eastAsia="仿宋" w:cs="仿宋"/>
          <w:bCs/>
          <w:color w:val="auto"/>
          <w:kern w:val="0"/>
          <w:sz w:val="32"/>
          <w:szCs w:val="32"/>
          <w:highlight w:val="none"/>
          <w:shd w:val="clear" w:color="auto" w:fill="FFFFFF"/>
          <w:lang w:val="en-US" w:eastAsia="zh-CN"/>
        </w:rPr>
        <w:t>响应</w:t>
      </w:r>
      <w:r>
        <w:rPr>
          <w:rFonts w:hint="eastAsia" w:ascii="仿宋" w:hAnsi="仿宋" w:eastAsia="仿宋" w:cs="仿宋"/>
          <w:bCs/>
          <w:color w:val="auto"/>
          <w:kern w:val="0"/>
          <w:sz w:val="32"/>
          <w:szCs w:val="32"/>
          <w:highlight w:val="none"/>
          <w:shd w:val="clear" w:color="auto" w:fill="FFFFFF"/>
        </w:rPr>
        <w:t>文件装订顺序</w:t>
      </w:r>
    </w:p>
    <w:p w14:paraId="5A4EFB56">
      <w:pPr>
        <w:pStyle w:val="5"/>
        <w:pageBreakBefore w:val="0"/>
        <w:kinsoku/>
        <w:autoSpaceDE/>
        <w:autoSpaceDN/>
        <w:bidi w:val="0"/>
        <w:spacing w:line="240" w:lineRule="auto"/>
        <w:rPr>
          <w:rFonts w:hint="eastAsia" w:ascii="仿宋" w:hAnsi="仿宋" w:eastAsia="仿宋" w:cs="仿宋"/>
          <w:color w:val="auto"/>
          <w:sz w:val="32"/>
          <w:szCs w:val="32"/>
          <w:highlight w:val="none"/>
        </w:rPr>
      </w:pPr>
    </w:p>
    <w:p w14:paraId="23849530">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1.封面（注明包号、</w:t>
      </w:r>
      <w:r>
        <w:rPr>
          <w:rFonts w:hint="eastAsia" w:ascii="仿宋" w:hAnsi="仿宋" w:eastAsia="仿宋" w:cs="仿宋"/>
          <w:color w:val="auto"/>
          <w:spacing w:val="8"/>
          <w:kern w:val="0"/>
          <w:sz w:val="32"/>
          <w:szCs w:val="32"/>
          <w:highlight w:val="none"/>
          <w:shd w:val="clear" w:color="auto" w:fill="FFFFFF"/>
          <w:lang w:val="en-US" w:eastAsia="zh-CN"/>
        </w:rPr>
        <w:t>项目名称</w:t>
      </w:r>
      <w:r>
        <w:rPr>
          <w:rFonts w:hint="eastAsia" w:ascii="仿宋" w:hAnsi="仿宋" w:eastAsia="仿宋" w:cs="仿宋"/>
          <w:color w:val="auto"/>
          <w:spacing w:val="8"/>
          <w:kern w:val="0"/>
          <w:sz w:val="32"/>
          <w:szCs w:val="32"/>
          <w:highlight w:val="none"/>
          <w:shd w:val="clear" w:color="auto" w:fill="FFFFFF"/>
        </w:rPr>
        <w:t>、公司名称、联系人、联系电话、加盖公司印章）。</w:t>
      </w:r>
    </w:p>
    <w:p w14:paraId="4A00B9CC">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2.目录。</w:t>
      </w:r>
    </w:p>
    <w:p w14:paraId="3A85184D">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rPr>
        <w:t>3.报价一览表（格式见附件</w:t>
      </w:r>
      <w:r>
        <w:rPr>
          <w:rFonts w:hint="eastAsia" w:ascii="仿宋" w:hAnsi="仿宋" w:eastAsia="仿宋" w:cs="仿宋"/>
          <w:color w:val="auto"/>
          <w:spacing w:val="8"/>
          <w:kern w:val="0"/>
          <w:sz w:val="32"/>
          <w:szCs w:val="32"/>
          <w:highlight w:val="none"/>
          <w:shd w:val="clear" w:color="auto" w:fill="FFFFFF"/>
          <w:lang w:val="en-US" w:eastAsia="zh-CN"/>
        </w:rPr>
        <w:t>5-1</w:t>
      </w:r>
      <w:r>
        <w:rPr>
          <w:rFonts w:hint="eastAsia" w:ascii="仿宋" w:hAnsi="仿宋" w:eastAsia="仿宋" w:cs="仿宋"/>
          <w:color w:val="auto"/>
          <w:spacing w:val="8"/>
          <w:kern w:val="0"/>
          <w:sz w:val="32"/>
          <w:szCs w:val="32"/>
          <w:highlight w:val="none"/>
          <w:shd w:val="clear" w:color="auto" w:fill="FFFFFF"/>
        </w:rPr>
        <w:t>）。</w:t>
      </w:r>
    </w:p>
    <w:p w14:paraId="1781CE28">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eastAsia="zh-CN"/>
        </w:rPr>
      </w:pPr>
      <w:r>
        <w:rPr>
          <w:rFonts w:hint="eastAsia" w:ascii="仿宋" w:hAnsi="仿宋" w:eastAsia="仿宋" w:cs="仿宋"/>
          <w:color w:val="auto"/>
          <w:spacing w:val="8"/>
          <w:kern w:val="0"/>
          <w:sz w:val="32"/>
          <w:szCs w:val="32"/>
          <w:highlight w:val="none"/>
          <w:shd w:val="clear" w:color="auto" w:fill="FFFFFF"/>
        </w:rPr>
        <w:t>4.技术</w:t>
      </w:r>
      <w:r>
        <w:rPr>
          <w:rFonts w:hint="eastAsia" w:ascii="仿宋" w:hAnsi="仿宋" w:eastAsia="仿宋" w:cs="仿宋"/>
          <w:color w:val="auto"/>
          <w:spacing w:val="8"/>
          <w:kern w:val="0"/>
          <w:sz w:val="32"/>
          <w:szCs w:val="32"/>
          <w:highlight w:val="none"/>
          <w:shd w:val="clear" w:color="auto" w:fill="FFFFFF"/>
          <w:lang w:eastAsia="zh-CN"/>
        </w:rPr>
        <w:t>、</w:t>
      </w:r>
      <w:r>
        <w:rPr>
          <w:rFonts w:hint="eastAsia" w:ascii="仿宋" w:hAnsi="仿宋" w:eastAsia="仿宋" w:cs="仿宋"/>
          <w:color w:val="auto"/>
          <w:spacing w:val="8"/>
          <w:kern w:val="0"/>
          <w:sz w:val="32"/>
          <w:szCs w:val="32"/>
          <w:highlight w:val="none"/>
          <w:shd w:val="clear" w:color="auto" w:fill="FFFFFF"/>
        </w:rPr>
        <w:t>商务要求偏离表（格式见附件</w:t>
      </w:r>
      <w:r>
        <w:rPr>
          <w:rFonts w:hint="eastAsia" w:ascii="仿宋" w:hAnsi="仿宋" w:eastAsia="仿宋" w:cs="仿宋"/>
          <w:color w:val="auto"/>
          <w:spacing w:val="8"/>
          <w:kern w:val="0"/>
          <w:sz w:val="32"/>
          <w:szCs w:val="32"/>
          <w:highlight w:val="none"/>
          <w:shd w:val="clear" w:color="auto" w:fill="FFFFFF"/>
          <w:lang w:val="en-US" w:eastAsia="zh-CN"/>
        </w:rPr>
        <w:t>5</w:t>
      </w:r>
      <w:r>
        <w:rPr>
          <w:rFonts w:hint="eastAsia" w:ascii="仿宋" w:hAnsi="仿宋" w:eastAsia="仿宋" w:cs="仿宋"/>
          <w:color w:val="auto"/>
          <w:spacing w:val="8"/>
          <w:kern w:val="0"/>
          <w:sz w:val="32"/>
          <w:szCs w:val="32"/>
          <w:highlight w:val="none"/>
          <w:shd w:val="clear" w:color="auto" w:fill="FFFFFF"/>
        </w:rPr>
        <w:t>-</w:t>
      </w:r>
      <w:r>
        <w:rPr>
          <w:rFonts w:hint="eastAsia" w:ascii="仿宋" w:hAnsi="仿宋" w:eastAsia="仿宋" w:cs="仿宋"/>
          <w:color w:val="auto"/>
          <w:spacing w:val="8"/>
          <w:kern w:val="0"/>
          <w:sz w:val="32"/>
          <w:szCs w:val="32"/>
          <w:highlight w:val="none"/>
          <w:shd w:val="clear" w:color="auto" w:fill="FFFFFF"/>
          <w:lang w:val="en-US" w:eastAsia="zh-CN"/>
        </w:rPr>
        <w:t>3</w:t>
      </w:r>
      <w:r>
        <w:rPr>
          <w:rFonts w:hint="eastAsia" w:ascii="仿宋" w:hAnsi="仿宋" w:eastAsia="仿宋" w:cs="仿宋"/>
          <w:color w:val="auto"/>
          <w:spacing w:val="8"/>
          <w:kern w:val="0"/>
          <w:sz w:val="32"/>
          <w:szCs w:val="32"/>
          <w:highlight w:val="none"/>
          <w:shd w:val="clear" w:color="auto" w:fill="FFFFFF"/>
        </w:rPr>
        <w:t>）</w:t>
      </w:r>
      <w:r>
        <w:rPr>
          <w:rFonts w:hint="eastAsia" w:ascii="仿宋" w:hAnsi="仿宋" w:eastAsia="仿宋" w:cs="仿宋"/>
          <w:color w:val="auto"/>
          <w:spacing w:val="8"/>
          <w:kern w:val="0"/>
          <w:sz w:val="32"/>
          <w:szCs w:val="32"/>
          <w:highlight w:val="none"/>
          <w:shd w:val="clear" w:color="auto" w:fill="FFFFFF"/>
          <w:lang w:eastAsia="zh-CN"/>
        </w:rPr>
        <w:t>。</w:t>
      </w:r>
    </w:p>
    <w:p w14:paraId="04B8DB98">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rPr>
      </w:pPr>
      <w:r>
        <w:rPr>
          <w:rFonts w:hint="eastAsia" w:ascii="仿宋" w:hAnsi="仿宋" w:eastAsia="仿宋" w:cs="仿宋"/>
          <w:color w:val="auto"/>
          <w:spacing w:val="8"/>
          <w:kern w:val="0"/>
          <w:sz w:val="32"/>
          <w:szCs w:val="32"/>
          <w:highlight w:val="none"/>
          <w:shd w:val="clear" w:color="auto" w:fill="FFFFFF"/>
          <w:lang w:val="en-US" w:eastAsia="zh-CN"/>
        </w:rPr>
        <w:t>5.</w:t>
      </w:r>
      <w:r>
        <w:rPr>
          <w:rFonts w:hint="eastAsia" w:ascii="仿宋" w:hAnsi="仿宋" w:eastAsia="仿宋" w:cs="仿宋"/>
          <w:color w:val="auto"/>
          <w:spacing w:val="8"/>
          <w:kern w:val="0"/>
          <w:sz w:val="32"/>
          <w:szCs w:val="32"/>
          <w:highlight w:val="none"/>
          <w:shd w:val="clear" w:color="auto" w:fill="FFFFFF"/>
        </w:rPr>
        <w:t>售后服务承诺</w:t>
      </w:r>
      <w:r>
        <w:rPr>
          <w:rFonts w:hint="eastAsia" w:ascii="仿宋" w:hAnsi="仿宋" w:eastAsia="仿宋" w:cs="仿宋"/>
          <w:color w:val="auto"/>
          <w:spacing w:val="8"/>
          <w:kern w:val="0"/>
          <w:sz w:val="32"/>
          <w:szCs w:val="32"/>
          <w:highlight w:val="none"/>
          <w:shd w:val="clear" w:color="auto" w:fill="FFFFFF"/>
          <w:lang w:val="en-US" w:eastAsia="zh-CN"/>
        </w:rPr>
        <w:t>。</w:t>
      </w:r>
    </w:p>
    <w:p w14:paraId="5D9ED5B9">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eastAsia="zh-CN"/>
        </w:rPr>
      </w:pPr>
      <w:r>
        <w:rPr>
          <w:rFonts w:hint="eastAsia" w:ascii="仿宋" w:hAnsi="仿宋" w:eastAsia="仿宋" w:cs="仿宋"/>
          <w:color w:val="auto"/>
          <w:spacing w:val="8"/>
          <w:kern w:val="0"/>
          <w:sz w:val="32"/>
          <w:szCs w:val="32"/>
          <w:highlight w:val="none"/>
          <w:shd w:val="clear" w:color="auto" w:fill="FFFFFF"/>
          <w:lang w:val="en-US" w:eastAsia="zh-CN"/>
        </w:rPr>
        <w:t>6.反商业贿赂承诺书（</w:t>
      </w:r>
      <w:r>
        <w:rPr>
          <w:rFonts w:hint="eastAsia" w:ascii="仿宋" w:hAnsi="仿宋" w:eastAsia="仿宋" w:cs="仿宋"/>
          <w:color w:val="auto"/>
          <w:spacing w:val="8"/>
          <w:kern w:val="0"/>
          <w:sz w:val="32"/>
          <w:szCs w:val="32"/>
          <w:highlight w:val="none"/>
          <w:shd w:val="clear" w:color="auto" w:fill="FFFFFF"/>
        </w:rPr>
        <w:t>格式见附件</w:t>
      </w:r>
      <w:r>
        <w:rPr>
          <w:rFonts w:hint="eastAsia" w:ascii="仿宋" w:hAnsi="仿宋" w:eastAsia="仿宋" w:cs="仿宋"/>
          <w:color w:val="auto"/>
          <w:spacing w:val="8"/>
          <w:kern w:val="0"/>
          <w:sz w:val="32"/>
          <w:szCs w:val="32"/>
          <w:highlight w:val="none"/>
          <w:shd w:val="clear" w:color="auto" w:fill="FFFFFF"/>
          <w:lang w:val="en-US" w:eastAsia="zh-CN"/>
        </w:rPr>
        <w:t>6）</w:t>
      </w:r>
      <w:r>
        <w:rPr>
          <w:rFonts w:hint="eastAsia" w:ascii="仿宋" w:hAnsi="仿宋" w:eastAsia="仿宋" w:cs="仿宋"/>
          <w:color w:val="auto"/>
          <w:spacing w:val="8"/>
          <w:kern w:val="0"/>
          <w:sz w:val="32"/>
          <w:szCs w:val="32"/>
          <w:highlight w:val="none"/>
          <w:shd w:val="clear" w:color="auto" w:fill="FFFFFF"/>
          <w:lang w:eastAsia="zh-CN"/>
        </w:rPr>
        <w:t>。</w:t>
      </w:r>
    </w:p>
    <w:p w14:paraId="789B5C7D">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7.禁止围标、串标情况承诺函（</w:t>
      </w:r>
      <w:r>
        <w:rPr>
          <w:rFonts w:hint="eastAsia" w:ascii="仿宋" w:hAnsi="仿宋" w:eastAsia="仿宋" w:cs="仿宋"/>
          <w:color w:val="auto"/>
          <w:spacing w:val="8"/>
          <w:kern w:val="0"/>
          <w:sz w:val="32"/>
          <w:szCs w:val="32"/>
          <w:highlight w:val="none"/>
          <w:shd w:val="clear" w:color="auto" w:fill="FFFFFF"/>
        </w:rPr>
        <w:t>格式见附件</w:t>
      </w:r>
      <w:r>
        <w:rPr>
          <w:rFonts w:hint="eastAsia" w:ascii="仿宋" w:hAnsi="仿宋" w:eastAsia="仿宋" w:cs="仿宋"/>
          <w:color w:val="auto"/>
          <w:spacing w:val="8"/>
          <w:kern w:val="0"/>
          <w:sz w:val="32"/>
          <w:szCs w:val="32"/>
          <w:highlight w:val="none"/>
          <w:shd w:val="clear" w:color="auto" w:fill="FFFFFF"/>
          <w:lang w:val="en-US" w:eastAsia="zh-CN"/>
        </w:rPr>
        <w:t>7）。</w:t>
      </w:r>
    </w:p>
    <w:p w14:paraId="0F18997C">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8.供应商遵守招标采购纪律承诺书（</w:t>
      </w:r>
      <w:r>
        <w:rPr>
          <w:rFonts w:hint="eastAsia" w:ascii="仿宋" w:hAnsi="仿宋" w:eastAsia="仿宋" w:cs="仿宋"/>
          <w:color w:val="auto"/>
          <w:spacing w:val="8"/>
          <w:kern w:val="0"/>
          <w:sz w:val="32"/>
          <w:szCs w:val="32"/>
          <w:highlight w:val="none"/>
          <w:shd w:val="clear" w:color="auto" w:fill="FFFFFF"/>
        </w:rPr>
        <w:t>格式见附件</w:t>
      </w:r>
      <w:r>
        <w:rPr>
          <w:rFonts w:hint="eastAsia" w:ascii="仿宋" w:hAnsi="仿宋" w:eastAsia="仿宋" w:cs="仿宋"/>
          <w:color w:val="auto"/>
          <w:spacing w:val="8"/>
          <w:kern w:val="0"/>
          <w:sz w:val="32"/>
          <w:szCs w:val="32"/>
          <w:highlight w:val="none"/>
          <w:shd w:val="clear" w:color="auto" w:fill="FFFFFF"/>
          <w:lang w:val="en-US" w:eastAsia="zh-CN"/>
        </w:rPr>
        <w:t>8）。</w:t>
      </w:r>
    </w:p>
    <w:p w14:paraId="2F8E679D">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eastAsia="zh-CN"/>
        </w:rPr>
      </w:pPr>
      <w:r>
        <w:rPr>
          <w:rFonts w:hint="eastAsia" w:ascii="仿宋" w:hAnsi="仿宋" w:eastAsia="仿宋" w:cs="仿宋"/>
          <w:color w:val="auto"/>
          <w:spacing w:val="8"/>
          <w:kern w:val="0"/>
          <w:sz w:val="32"/>
          <w:szCs w:val="32"/>
          <w:highlight w:val="none"/>
          <w:shd w:val="clear" w:color="auto" w:fill="FFFFFF"/>
          <w:lang w:val="en-US" w:eastAsia="zh-CN"/>
        </w:rPr>
        <w:t>9.行业相关</w:t>
      </w:r>
      <w:r>
        <w:rPr>
          <w:rFonts w:hint="eastAsia" w:ascii="仿宋" w:hAnsi="仿宋" w:eastAsia="仿宋" w:cs="仿宋"/>
          <w:color w:val="auto"/>
          <w:spacing w:val="8"/>
          <w:kern w:val="0"/>
          <w:sz w:val="32"/>
          <w:szCs w:val="32"/>
          <w:highlight w:val="none"/>
          <w:shd w:val="clear" w:color="auto" w:fill="FFFFFF"/>
        </w:rPr>
        <w:t>规范或标准</w:t>
      </w:r>
      <w:r>
        <w:rPr>
          <w:rFonts w:hint="eastAsia" w:ascii="仿宋" w:hAnsi="仿宋" w:eastAsia="仿宋" w:cs="仿宋"/>
          <w:color w:val="auto"/>
          <w:spacing w:val="8"/>
          <w:kern w:val="0"/>
          <w:sz w:val="32"/>
          <w:szCs w:val="32"/>
          <w:highlight w:val="none"/>
          <w:shd w:val="clear" w:color="auto" w:fill="FFFFFF"/>
          <w:lang w:eastAsia="zh-CN"/>
        </w:rPr>
        <w:t>（</w:t>
      </w:r>
      <w:r>
        <w:rPr>
          <w:rFonts w:hint="eastAsia" w:ascii="仿宋" w:hAnsi="仿宋" w:eastAsia="仿宋" w:cs="仿宋"/>
          <w:color w:val="auto"/>
          <w:spacing w:val="8"/>
          <w:kern w:val="0"/>
          <w:sz w:val="32"/>
          <w:szCs w:val="32"/>
          <w:highlight w:val="none"/>
          <w:shd w:val="clear" w:color="auto" w:fill="FFFFFF"/>
          <w:lang w:val="en-US" w:eastAsia="zh-CN"/>
        </w:rPr>
        <w:t>如有</w:t>
      </w:r>
      <w:r>
        <w:rPr>
          <w:rFonts w:hint="eastAsia" w:ascii="仿宋" w:hAnsi="仿宋" w:eastAsia="仿宋" w:cs="仿宋"/>
          <w:color w:val="auto"/>
          <w:spacing w:val="8"/>
          <w:kern w:val="0"/>
          <w:sz w:val="32"/>
          <w:szCs w:val="32"/>
          <w:highlight w:val="none"/>
          <w:shd w:val="clear" w:color="auto" w:fill="FFFFFF"/>
          <w:lang w:eastAsia="zh-CN"/>
        </w:rPr>
        <w:t>）。</w:t>
      </w:r>
    </w:p>
    <w:p w14:paraId="2E5660D9">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val="en-US" w:eastAsia="zh-CN"/>
        </w:rPr>
      </w:pPr>
      <w:r>
        <w:rPr>
          <w:rFonts w:hint="eastAsia" w:ascii="仿宋" w:hAnsi="仿宋" w:eastAsia="仿宋" w:cs="仿宋"/>
          <w:color w:val="auto"/>
          <w:spacing w:val="8"/>
          <w:kern w:val="0"/>
          <w:sz w:val="32"/>
          <w:szCs w:val="32"/>
          <w:highlight w:val="none"/>
          <w:shd w:val="clear" w:color="auto" w:fill="FFFFFF"/>
          <w:lang w:val="en-US" w:eastAsia="zh-CN"/>
        </w:rPr>
        <w:t>10.供应商认为需要提供的其它资料</w:t>
      </w:r>
      <w:r>
        <w:rPr>
          <w:rFonts w:hint="eastAsia" w:ascii="仿宋" w:hAnsi="仿宋" w:eastAsia="仿宋" w:cs="仿宋"/>
          <w:color w:val="auto"/>
          <w:spacing w:val="8"/>
          <w:kern w:val="0"/>
          <w:sz w:val="32"/>
          <w:szCs w:val="32"/>
          <w:highlight w:val="none"/>
          <w:shd w:val="clear" w:color="auto" w:fill="FFFFFF"/>
          <w:lang w:eastAsia="zh-CN"/>
        </w:rPr>
        <w:t>。</w:t>
      </w:r>
    </w:p>
    <w:p w14:paraId="6EDAB91A">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color w:val="auto"/>
          <w:spacing w:val="8"/>
          <w:kern w:val="0"/>
          <w:sz w:val="32"/>
          <w:szCs w:val="32"/>
          <w:highlight w:val="none"/>
          <w:shd w:val="clear" w:color="auto" w:fill="FFFFFF"/>
          <w:lang w:eastAsia="zh-CN"/>
        </w:rPr>
      </w:pPr>
      <w:r>
        <w:rPr>
          <w:rFonts w:hint="eastAsia" w:ascii="仿宋" w:hAnsi="仿宋" w:eastAsia="仿宋" w:cs="仿宋"/>
          <w:color w:val="auto"/>
          <w:spacing w:val="8"/>
          <w:kern w:val="0"/>
          <w:sz w:val="32"/>
          <w:szCs w:val="32"/>
          <w:highlight w:val="none"/>
          <w:shd w:val="clear" w:color="auto" w:fill="FFFFFF"/>
          <w:lang w:val="en-US" w:eastAsia="zh-CN"/>
        </w:rPr>
        <w:t>11.</w:t>
      </w:r>
      <w:r>
        <w:rPr>
          <w:rFonts w:hint="eastAsia" w:ascii="仿宋" w:hAnsi="仿宋" w:eastAsia="仿宋" w:cs="仿宋"/>
          <w:color w:val="auto"/>
          <w:spacing w:val="8"/>
          <w:kern w:val="0"/>
          <w:sz w:val="32"/>
          <w:szCs w:val="32"/>
          <w:highlight w:val="none"/>
          <w:shd w:val="clear" w:color="auto" w:fill="FFFFFF"/>
        </w:rPr>
        <w:t>封底</w:t>
      </w:r>
      <w:r>
        <w:rPr>
          <w:rFonts w:hint="eastAsia" w:ascii="仿宋" w:hAnsi="仿宋" w:eastAsia="仿宋" w:cs="仿宋"/>
          <w:color w:val="auto"/>
          <w:spacing w:val="8"/>
          <w:kern w:val="0"/>
          <w:sz w:val="32"/>
          <w:szCs w:val="32"/>
          <w:highlight w:val="none"/>
          <w:shd w:val="clear" w:color="auto" w:fill="FFFFFF"/>
          <w:lang w:eastAsia="zh-CN"/>
        </w:rPr>
        <w:t>。</w:t>
      </w:r>
    </w:p>
    <w:p w14:paraId="5C8D2F49">
      <w:pPr>
        <w:keepNext w:val="0"/>
        <w:keepLines w:val="0"/>
        <w:pageBreakBefore w:val="0"/>
        <w:kinsoku/>
        <w:wordWrap/>
        <w:overflowPunct/>
        <w:topLinePunct w:val="0"/>
        <w:autoSpaceDE/>
        <w:autoSpaceDN/>
        <w:bidi w:val="0"/>
        <w:adjustRightInd w:val="0"/>
        <w:snapToGrid w:val="0"/>
        <w:spacing w:line="240" w:lineRule="auto"/>
        <w:ind w:firstLine="643" w:firstLineChars="200"/>
        <w:textAlignment w:val="auto"/>
        <w:rPr>
          <w:rFonts w:hint="eastAsia" w:ascii="仿宋" w:hAnsi="仿宋" w:eastAsia="仿宋" w:cs="仿宋"/>
          <w:b/>
          <w:bCs/>
          <w:color w:val="auto"/>
          <w:kern w:val="0"/>
          <w:sz w:val="32"/>
          <w:szCs w:val="32"/>
          <w:highlight w:val="none"/>
          <w:shd w:val="clear" w:color="auto" w:fill="FFFFFF"/>
        </w:rPr>
      </w:pPr>
      <w:r>
        <w:rPr>
          <w:rFonts w:hint="eastAsia" w:ascii="仿宋" w:hAnsi="仿宋" w:eastAsia="仿宋" w:cs="仿宋"/>
          <w:b/>
          <w:bCs/>
          <w:color w:val="auto"/>
          <w:kern w:val="0"/>
          <w:sz w:val="32"/>
          <w:szCs w:val="32"/>
          <w:highlight w:val="none"/>
          <w:shd w:val="clear" w:color="auto" w:fill="FFFFFF"/>
        </w:rPr>
        <w:t>注：请务必按以上顺序装订资料，如有非中文资料，请同时提供中文翻译件。</w:t>
      </w:r>
    </w:p>
    <w:p w14:paraId="25C23A55">
      <w:pPr>
        <w:pStyle w:val="5"/>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kern w:val="0"/>
          <w:sz w:val="32"/>
          <w:szCs w:val="32"/>
          <w:highlight w:val="none"/>
          <w:shd w:val="clear" w:color="auto" w:fill="FFFFFF"/>
        </w:rPr>
      </w:pPr>
    </w:p>
    <w:p w14:paraId="0AFA168D">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32"/>
          <w:szCs w:val="32"/>
          <w:highlight w:val="none"/>
        </w:rPr>
      </w:pPr>
    </w:p>
    <w:p w14:paraId="1108DD2E">
      <w:pPr>
        <w:pageBreakBefore w:val="0"/>
        <w:kinsoku/>
        <w:autoSpaceDE/>
        <w:autoSpaceDN/>
        <w:bidi w:val="0"/>
        <w:adjustRightInd w:val="0"/>
        <w:snapToGrid w:val="0"/>
        <w:spacing w:line="240" w:lineRule="auto"/>
        <w:rPr>
          <w:rFonts w:hint="eastAsia" w:ascii="仿宋" w:hAnsi="仿宋" w:eastAsia="仿宋" w:cs="仿宋"/>
          <w:color w:val="auto"/>
          <w:sz w:val="32"/>
          <w:szCs w:val="32"/>
          <w:highlight w:val="none"/>
        </w:rPr>
      </w:pPr>
    </w:p>
    <w:p w14:paraId="243FE7D6">
      <w:pPr>
        <w:pageBreakBefore w:val="0"/>
        <w:kinsoku/>
        <w:autoSpaceDE/>
        <w:autoSpaceDN/>
        <w:bidi w:val="0"/>
        <w:spacing w:line="24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3E4C1CE">
      <w:pPr>
        <w:pageBreakBefore w:val="0"/>
        <w:kinsoku/>
        <w:autoSpaceDE/>
        <w:autoSpaceDN/>
        <w:bidi w:val="0"/>
        <w:adjustRightInd w:val="0"/>
        <w:snapToGrid w:val="0"/>
        <w:spacing w:line="240" w:lineRule="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：主要表格</w:t>
      </w:r>
      <w:r>
        <w:rPr>
          <w:rFonts w:hint="eastAsia" w:ascii="仿宋" w:hAnsi="仿宋" w:eastAsia="仿宋" w:cs="仿宋"/>
          <w:b/>
          <w:bCs/>
          <w:color w:val="auto"/>
          <w:sz w:val="32"/>
          <w:szCs w:val="32"/>
          <w:highlight w:val="none"/>
          <w:lang w:val="en-US" w:eastAsia="zh-CN"/>
        </w:rPr>
        <w:t>格式</w:t>
      </w:r>
    </w:p>
    <w:p w14:paraId="50DC021F">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u w:val="single"/>
          <w:lang w:val="en-US" w:eastAsia="zh-CN"/>
        </w:rPr>
      </w:pP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-1：</w:t>
      </w:r>
    </w:p>
    <w:p w14:paraId="472BD5A2">
      <w:pPr>
        <w:keepNext w:val="0"/>
        <w:keepLines w:val="0"/>
        <w:pageBreakBefore w:val="0"/>
        <w:widowControl/>
        <w:kinsoku/>
        <w:wordWrap/>
        <w:overflowPunct/>
        <w:topLinePunct w:val="0"/>
        <w:autoSpaceDE/>
        <w:autoSpaceDN/>
        <w:bidi w:val="0"/>
        <w:snapToGrid/>
        <w:spacing w:beforeAutospacing="0" w:afterAutospacing="0" w:line="24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u w:val="single"/>
          <w:lang w:val="en-US" w:eastAsia="zh-CN"/>
        </w:rPr>
        <w:t>XXX</w:t>
      </w:r>
      <w:r>
        <w:rPr>
          <w:rFonts w:hint="eastAsia" w:ascii="仿宋" w:hAnsi="仿宋" w:eastAsia="仿宋" w:cs="仿宋"/>
          <w:color w:val="auto"/>
          <w:kern w:val="0"/>
          <w:sz w:val="32"/>
          <w:szCs w:val="32"/>
          <w:highlight w:val="none"/>
          <w:lang w:val="en-US" w:eastAsia="zh-CN"/>
        </w:rPr>
        <w:t>采购项目报价一览表</w:t>
      </w:r>
    </w:p>
    <w:tbl>
      <w:tblPr>
        <w:tblStyle w:val="13"/>
        <w:tblW w:w="9855" w:type="dxa"/>
        <w:jc w:val="center"/>
        <w:tblLayout w:type="fixed"/>
        <w:tblCellMar>
          <w:top w:w="0" w:type="dxa"/>
          <w:left w:w="0" w:type="dxa"/>
          <w:bottom w:w="0" w:type="dxa"/>
          <w:right w:w="0" w:type="dxa"/>
        </w:tblCellMar>
      </w:tblPr>
      <w:tblGrid>
        <w:gridCol w:w="423"/>
        <w:gridCol w:w="2455"/>
        <w:gridCol w:w="1741"/>
        <w:gridCol w:w="1741"/>
        <w:gridCol w:w="1508"/>
        <w:gridCol w:w="1987"/>
      </w:tblGrid>
      <w:tr w14:paraId="07598ADC">
        <w:tblPrEx>
          <w:tblCellMar>
            <w:top w:w="0" w:type="dxa"/>
            <w:left w:w="0" w:type="dxa"/>
            <w:bottom w:w="0" w:type="dxa"/>
            <w:right w:w="0" w:type="dxa"/>
          </w:tblCellMar>
        </w:tblPrEx>
        <w:trPr>
          <w:trHeight w:val="77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E26C">
            <w:pPr>
              <w:pageBreakBefore w:val="0"/>
              <w:widowControl/>
              <w:kinsoku/>
              <w:autoSpaceDE/>
              <w:autoSpaceDN/>
              <w:bidi w:val="0"/>
              <w:spacing w:line="240" w:lineRule="auto"/>
              <w:jc w:val="center"/>
              <w:textAlignment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lang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6F82">
            <w:pPr>
              <w:pageBreakBefore w:val="0"/>
              <w:widowControl/>
              <w:kinsoku/>
              <w:autoSpaceDE/>
              <w:autoSpaceDN/>
              <w:bidi w:val="0"/>
              <w:spacing w:line="240" w:lineRule="auto"/>
              <w:jc w:val="center"/>
              <w:textAlignment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0"/>
                <w:sz w:val="32"/>
                <w:szCs w:val="32"/>
                <w:highlight w:val="none"/>
                <w:lang w:val="en-US" w:eastAsia="zh-CN" w:bidi="ar"/>
              </w:rPr>
              <w:t>标的名称</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8CA8AFF">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数量</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6BD3D3B">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最高限价</w:t>
            </w:r>
          </w:p>
          <w:p w14:paraId="72C19BE6">
            <w:pPr>
              <w:pageBreakBefore w:val="0"/>
              <w:widowControl/>
              <w:kinsoku/>
              <w:autoSpaceDE/>
              <w:autoSpaceDN/>
              <w:bidi w:val="0"/>
              <w:adjustRightInd w:val="0"/>
              <w:snapToGrid w:val="0"/>
              <w:spacing w:after="0" w:line="240" w:lineRule="auto"/>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万</w:t>
            </w:r>
            <w:r>
              <w:rPr>
                <w:rFonts w:hint="eastAsia" w:ascii="仿宋" w:hAnsi="仿宋" w:eastAsia="仿宋" w:cs="仿宋"/>
                <w:b/>
                <w:color w:val="auto"/>
                <w:sz w:val="32"/>
                <w:szCs w:val="32"/>
                <w:highlight w:val="none"/>
              </w:rPr>
              <w:t>元）</w:t>
            </w:r>
          </w:p>
        </w:tc>
        <w:tc>
          <w:tcPr>
            <w:tcW w:w="150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8CD11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color w:val="auto"/>
                <w:sz w:val="32"/>
                <w:szCs w:val="32"/>
                <w:highlight w:val="none"/>
                <w:vertAlign w:val="baseline"/>
                <w:lang w:val="en-US" w:eastAsia="zh-CN"/>
              </w:rPr>
              <w:t>计量单位</w:t>
            </w:r>
          </w:p>
        </w:tc>
        <w:tc>
          <w:tcPr>
            <w:tcW w:w="19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EF74974">
            <w:pPr>
              <w:pageBreakBefore w:val="0"/>
              <w:widowControl/>
              <w:kinsoku/>
              <w:autoSpaceDE/>
              <w:autoSpaceDN/>
              <w:bidi w:val="0"/>
              <w:spacing w:line="240" w:lineRule="auto"/>
              <w:jc w:val="center"/>
              <w:textAlignment w:val="center"/>
              <w:rPr>
                <w:rFonts w:hint="eastAsia" w:ascii="仿宋" w:hAnsi="仿宋" w:eastAsia="仿宋" w:cs="仿宋"/>
                <w:b/>
                <w:bCs/>
                <w:color w:val="auto"/>
                <w:kern w:val="0"/>
                <w:sz w:val="32"/>
                <w:szCs w:val="32"/>
                <w:highlight w:val="none"/>
                <w:lang w:bidi="ar"/>
              </w:rPr>
            </w:pPr>
            <w:r>
              <w:rPr>
                <w:rFonts w:hint="eastAsia" w:ascii="仿宋" w:hAnsi="仿宋" w:eastAsia="仿宋" w:cs="仿宋"/>
                <w:b/>
                <w:bCs/>
                <w:color w:val="auto"/>
                <w:kern w:val="0"/>
                <w:sz w:val="32"/>
                <w:szCs w:val="32"/>
                <w:highlight w:val="none"/>
                <w:lang w:val="en-US" w:eastAsia="zh-CN" w:bidi="ar"/>
              </w:rPr>
              <w:t>报价</w:t>
            </w:r>
            <w:r>
              <w:rPr>
                <w:rFonts w:hint="eastAsia" w:ascii="仿宋" w:hAnsi="仿宋" w:eastAsia="仿宋" w:cs="仿宋"/>
                <w:b/>
                <w:bCs/>
                <w:color w:val="auto"/>
                <w:kern w:val="0"/>
                <w:sz w:val="32"/>
                <w:szCs w:val="32"/>
                <w:highlight w:val="none"/>
                <w:lang w:bidi="ar"/>
              </w:rPr>
              <w:t>（元）</w:t>
            </w:r>
          </w:p>
        </w:tc>
      </w:tr>
      <w:tr w14:paraId="4DA208EA">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C0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32"/>
                <w:szCs w:val="32"/>
                <w:highlight w:val="none"/>
                <w:lang w:bidi="ar"/>
              </w:rPr>
            </w:pPr>
            <w:r>
              <w:rPr>
                <w:rFonts w:hint="eastAsia" w:ascii="仿宋" w:hAnsi="仿宋" w:eastAsia="仿宋" w:cs="仿宋"/>
                <w:color w:val="auto"/>
                <w:sz w:val="32"/>
                <w:szCs w:val="32"/>
                <w:highlight w:val="none"/>
                <w:vertAlign w:val="baseline"/>
                <w:lang w:val="en-US" w:eastAsia="zh-CN"/>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EE65">
            <w:pPr>
              <w:pageBreakBefore w:val="0"/>
              <w:widowControl/>
              <w:kinsoku/>
              <w:autoSpaceDE/>
              <w:autoSpaceDN/>
              <w:bidi w:val="0"/>
              <w:adjustRightInd w:val="0"/>
              <w:snapToGrid w:val="0"/>
              <w:spacing w:line="240" w:lineRule="auto"/>
              <w:contextualSpacing/>
              <w:jc w:val="center"/>
              <w:rPr>
                <w:rFonts w:hint="eastAsia" w:ascii="仿宋" w:hAnsi="仿宋" w:eastAsia="仿宋" w:cs="仿宋"/>
                <w:b/>
                <w:bCs/>
                <w:color w:val="auto"/>
                <w:kern w:val="0"/>
                <w:sz w:val="32"/>
                <w:szCs w:val="32"/>
                <w:highlight w:val="none"/>
                <w:lang w:eastAsia="zh-CN" w:bidi="ar"/>
              </w:rPr>
            </w:pPr>
            <w:r>
              <w:rPr>
                <w:rFonts w:hint="eastAsia" w:ascii="仿宋" w:hAnsi="仿宋" w:eastAsia="仿宋" w:cs="仿宋"/>
                <w:color w:val="auto"/>
                <w:sz w:val="32"/>
                <w:szCs w:val="32"/>
                <w:lang w:eastAsia="zh-CN"/>
              </w:rPr>
              <w:t>新生儿出生一件事系统运维服务</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90664BE">
            <w:pPr>
              <w:pageBreakBefore w:val="0"/>
              <w:widowControl/>
              <w:kinsoku/>
              <w:autoSpaceDE/>
              <w:autoSpaceDN/>
              <w:bidi w:val="0"/>
              <w:adjustRightInd w:val="0"/>
              <w:snapToGrid w:val="0"/>
              <w:spacing w:after="0"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903D2D3">
            <w:pPr>
              <w:pageBreakBefore w:val="0"/>
              <w:widowControl/>
              <w:kinsoku/>
              <w:autoSpaceDE/>
              <w:autoSpaceDN/>
              <w:bidi w:val="0"/>
              <w:adjustRightInd w:val="0"/>
              <w:snapToGrid w:val="0"/>
              <w:spacing w:after="0" w:line="240" w:lineRule="auto"/>
              <w:jc w:val="center"/>
              <w:rPr>
                <w:rFonts w:hint="default" w:ascii="仿宋" w:hAnsi="仿宋" w:eastAsia="仿宋" w:cs="仿宋"/>
                <w:b/>
                <w:bCs/>
                <w:color w:val="auto"/>
                <w:kern w:val="0"/>
                <w:sz w:val="32"/>
                <w:szCs w:val="32"/>
                <w:highlight w:val="none"/>
                <w:lang w:val="en-US" w:eastAsia="zh-CN" w:bidi="ar"/>
              </w:rPr>
            </w:pPr>
            <w:r>
              <w:rPr>
                <w:rFonts w:hint="eastAsia" w:ascii="仿宋" w:hAnsi="仿宋" w:eastAsia="仿宋" w:cs="仿宋"/>
                <w:color w:val="auto"/>
                <w:sz w:val="32"/>
                <w:szCs w:val="32"/>
                <w:lang w:val="en-US" w:eastAsia="zh-CN"/>
              </w:rPr>
              <w:t>9.8</w:t>
            </w:r>
          </w:p>
        </w:tc>
        <w:tc>
          <w:tcPr>
            <w:tcW w:w="150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6F01FED">
            <w:pPr>
              <w:pageBreakBefore w:val="0"/>
              <w:widowControl/>
              <w:kinsoku/>
              <w:autoSpaceDE/>
              <w:autoSpaceDN/>
              <w:bidi w:val="0"/>
              <w:adjustRightInd w:val="0"/>
              <w:snapToGrid w:val="0"/>
              <w:spacing w:line="240" w:lineRule="auto"/>
              <w:contextualSpacing/>
              <w:jc w:val="center"/>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lang w:val="en-US" w:eastAsia="zh-CN"/>
              </w:rPr>
              <w:t>项</w:t>
            </w:r>
          </w:p>
        </w:tc>
        <w:tc>
          <w:tcPr>
            <w:tcW w:w="19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B32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32"/>
                <w:szCs w:val="32"/>
                <w:highlight w:val="none"/>
                <w:lang w:bidi="ar"/>
              </w:rPr>
            </w:pPr>
          </w:p>
        </w:tc>
      </w:tr>
    </w:tbl>
    <w:p w14:paraId="21A81EA1">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注：</w:t>
      </w:r>
    </w:p>
    <w:p w14:paraId="651FDFAD">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1.报价应是最终用户验收合格后的总价，包括设备运输、保险、代理、安装调试、培训、税费、系统集成费用和采购文件规定的其它费用。</w:t>
      </w:r>
    </w:p>
    <w:p w14:paraId="19EF0150">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2.“报价表”为多页的，每页均需由法定代表人或授权代表签字并盖</w:t>
      </w:r>
      <w:r>
        <w:rPr>
          <w:rFonts w:hint="eastAsia" w:ascii="仿宋" w:hAnsi="仿宋" w:eastAsia="仿宋" w:cs="仿宋"/>
          <w:color w:val="auto"/>
          <w:kern w:val="0"/>
          <w:sz w:val="32"/>
          <w:szCs w:val="32"/>
          <w:highlight w:val="none"/>
          <w:lang w:eastAsia="zh-CN"/>
        </w:rPr>
        <w:t>供应商</w:t>
      </w:r>
      <w:r>
        <w:rPr>
          <w:rFonts w:hint="eastAsia" w:ascii="仿宋" w:hAnsi="仿宋" w:eastAsia="仿宋" w:cs="仿宋"/>
          <w:color w:val="auto"/>
          <w:kern w:val="0"/>
          <w:sz w:val="32"/>
          <w:szCs w:val="32"/>
          <w:highlight w:val="none"/>
        </w:rPr>
        <w:t>印章。</w:t>
      </w:r>
    </w:p>
    <w:p w14:paraId="68EFFF9B">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3.单价报价超过单价最高限价的为无效报价，供应商响应文件将作无效响应处理。</w:t>
      </w:r>
    </w:p>
    <w:p w14:paraId="091500B5">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供应商名称：（盖章）</w:t>
      </w:r>
    </w:p>
    <w:p w14:paraId="6A53BCA4">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法定代表人或授权代表（签字）：</w:t>
      </w:r>
    </w:p>
    <w:p w14:paraId="22361920">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日期：</w:t>
      </w:r>
    </w:p>
    <w:p w14:paraId="31E20DAA">
      <w:pPr>
        <w:pageBreakBefore w:val="0"/>
        <w:kinsoku/>
        <w:autoSpaceDE/>
        <w:autoSpaceDN/>
        <w:bidi w:val="0"/>
        <w:spacing w:line="240" w:lineRule="auto"/>
        <w:rPr>
          <w:rFonts w:hint="eastAsia" w:ascii="仿宋" w:hAnsi="仿宋" w:eastAsia="仿宋" w:cs="仿宋"/>
          <w:b/>
          <w:bCs/>
          <w:color w:val="auto"/>
          <w:kern w:val="0"/>
          <w:sz w:val="32"/>
          <w:szCs w:val="32"/>
          <w:highlight w:val="none"/>
          <w:shd w:val="clear" w:color="auto" w:fill="FFFFFF"/>
        </w:rPr>
      </w:pPr>
      <w:r>
        <w:rPr>
          <w:rFonts w:hint="eastAsia" w:ascii="仿宋" w:hAnsi="仿宋" w:eastAsia="仿宋" w:cs="仿宋"/>
          <w:b/>
          <w:bCs/>
          <w:color w:val="auto"/>
          <w:kern w:val="0"/>
          <w:sz w:val="32"/>
          <w:szCs w:val="32"/>
          <w:highlight w:val="none"/>
          <w:shd w:val="clear" w:color="auto" w:fill="FFFFFF"/>
        </w:rPr>
        <w:br w:type="page"/>
      </w:r>
    </w:p>
    <w:p w14:paraId="0E806CAA">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u w:val="single"/>
          <w:lang w:val="en-US" w:eastAsia="zh-CN"/>
        </w:rPr>
      </w:pP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2</w:t>
      </w:r>
      <w:r>
        <w:rPr>
          <w:rFonts w:hint="eastAsia" w:ascii="仿宋" w:hAnsi="仿宋" w:eastAsia="仿宋" w:cs="仿宋"/>
          <w:b/>
          <w:bCs/>
          <w:color w:val="auto"/>
          <w:kern w:val="0"/>
          <w:sz w:val="32"/>
          <w:szCs w:val="32"/>
          <w:highlight w:val="none"/>
        </w:rPr>
        <w:t>：</w:t>
      </w:r>
    </w:p>
    <w:p w14:paraId="4046726D">
      <w:pPr>
        <w:keepNext w:val="0"/>
        <w:keepLines w:val="0"/>
        <w:pageBreakBefore w:val="0"/>
        <w:widowControl/>
        <w:kinsoku/>
        <w:wordWrap/>
        <w:overflowPunct/>
        <w:topLinePunct w:val="0"/>
        <w:autoSpaceDE/>
        <w:autoSpaceDN/>
        <w:bidi w:val="0"/>
        <w:snapToGrid/>
        <w:spacing w:beforeAutospacing="0" w:afterAutospacing="0" w:line="240" w:lineRule="auto"/>
        <w:jc w:val="left"/>
        <w:textAlignment w:val="auto"/>
        <w:rPr>
          <w:rFonts w:hint="eastAsia" w:ascii="仿宋" w:hAnsi="仿宋" w:eastAsia="仿宋" w:cs="仿宋"/>
          <w:color w:val="auto"/>
          <w:kern w:val="0"/>
          <w:sz w:val="32"/>
          <w:szCs w:val="32"/>
          <w:highlight w:val="none"/>
          <w:u w:val="single"/>
          <w:lang w:val="en-US" w:eastAsia="zh-CN"/>
        </w:rPr>
      </w:pPr>
    </w:p>
    <w:p w14:paraId="1BDA6FB5">
      <w:pPr>
        <w:keepNext w:val="0"/>
        <w:keepLines w:val="0"/>
        <w:pageBreakBefore w:val="0"/>
        <w:widowControl/>
        <w:kinsoku/>
        <w:wordWrap/>
        <w:overflowPunct/>
        <w:topLinePunct w:val="0"/>
        <w:autoSpaceDE/>
        <w:autoSpaceDN/>
        <w:bidi w:val="0"/>
        <w:snapToGrid/>
        <w:spacing w:beforeAutospacing="0" w:afterAutospacing="0" w:line="24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u w:val="single"/>
          <w:lang w:val="en-US" w:eastAsia="zh-CN"/>
        </w:rPr>
        <w:t>XXX</w:t>
      </w:r>
      <w:r>
        <w:rPr>
          <w:rFonts w:hint="eastAsia" w:ascii="仿宋" w:hAnsi="仿宋" w:eastAsia="仿宋" w:cs="仿宋"/>
          <w:color w:val="auto"/>
          <w:kern w:val="0"/>
          <w:sz w:val="32"/>
          <w:szCs w:val="32"/>
          <w:highlight w:val="none"/>
          <w:lang w:val="en-US" w:eastAsia="zh-CN"/>
        </w:rPr>
        <w:t>采购项目最后报价表</w:t>
      </w:r>
    </w:p>
    <w:tbl>
      <w:tblPr>
        <w:tblStyle w:val="13"/>
        <w:tblW w:w="9855" w:type="dxa"/>
        <w:jc w:val="center"/>
        <w:tblLayout w:type="fixed"/>
        <w:tblCellMar>
          <w:top w:w="0" w:type="dxa"/>
          <w:left w:w="0" w:type="dxa"/>
          <w:bottom w:w="0" w:type="dxa"/>
          <w:right w:w="0" w:type="dxa"/>
        </w:tblCellMar>
      </w:tblPr>
      <w:tblGrid>
        <w:gridCol w:w="779"/>
        <w:gridCol w:w="2437"/>
        <w:gridCol w:w="1403"/>
        <w:gridCol w:w="1741"/>
        <w:gridCol w:w="1508"/>
        <w:gridCol w:w="1987"/>
      </w:tblGrid>
      <w:tr w14:paraId="70FE3559">
        <w:tblPrEx>
          <w:tblCellMar>
            <w:top w:w="0" w:type="dxa"/>
            <w:left w:w="0" w:type="dxa"/>
            <w:bottom w:w="0" w:type="dxa"/>
            <w:right w:w="0" w:type="dxa"/>
          </w:tblCellMar>
        </w:tblPrEx>
        <w:trPr>
          <w:trHeight w:val="77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C7CF">
            <w:pPr>
              <w:pageBreakBefore w:val="0"/>
              <w:widowControl/>
              <w:kinsoku/>
              <w:autoSpaceDE/>
              <w:autoSpaceDN/>
              <w:bidi w:val="0"/>
              <w:spacing w:line="240" w:lineRule="auto"/>
              <w:jc w:val="center"/>
              <w:textAlignment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lang w:bidi="ar"/>
              </w:rPr>
              <w:t>序号</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17C5">
            <w:pPr>
              <w:pageBreakBefore w:val="0"/>
              <w:widowControl/>
              <w:kinsoku/>
              <w:autoSpaceDE/>
              <w:autoSpaceDN/>
              <w:bidi w:val="0"/>
              <w:spacing w:line="240" w:lineRule="auto"/>
              <w:jc w:val="center"/>
              <w:textAlignment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0"/>
                <w:sz w:val="32"/>
                <w:szCs w:val="32"/>
                <w:highlight w:val="none"/>
                <w:lang w:val="en-US" w:eastAsia="zh-CN" w:bidi="ar"/>
              </w:rPr>
              <w:t>标的名称</w:t>
            </w:r>
          </w:p>
        </w:tc>
        <w:tc>
          <w:tcPr>
            <w:tcW w:w="1403"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0F13B0EE">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数量</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012CD2C8">
            <w:pPr>
              <w:pageBreakBefore w:val="0"/>
              <w:widowControl/>
              <w:kinsoku/>
              <w:autoSpaceDE/>
              <w:autoSpaceDN/>
              <w:bidi w:val="0"/>
              <w:adjustRightInd w:val="0"/>
              <w:snapToGrid w:val="0"/>
              <w:spacing w:after="0"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最高限价</w:t>
            </w:r>
          </w:p>
          <w:p w14:paraId="5EFB4919">
            <w:pPr>
              <w:pageBreakBefore w:val="0"/>
              <w:widowControl/>
              <w:kinsoku/>
              <w:autoSpaceDE/>
              <w:autoSpaceDN/>
              <w:bidi w:val="0"/>
              <w:adjustRightInd w:val="0"/>
              <w:snapToGrid w:val="0"/>
              <w:spacing w:after="0" w:line="240" w:lineRule="auto"/>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万</w:t>
            </w:r>
            <w:r>
              <w:rPr>
                <w:rFonts w:hint="eastAsia" w:ascii="仿宋" w:hAnsi="仿宋" w:eastAsia="仿宋" w:cs="仿宋"/>
                <w:b/>
                <w:color w:val="auto"/>
                <w:sz w:val="32"/>
                <w:szCs w:val="32"/>
                <w:highlight w:val="none"/>
              </w:rPr>
              <w:t>元）</w:t>
            </w:r>
          </w:p>
        </w:tc>
        <w:tc>
          <w:tcPr>
            <w:tcW w:w="150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18964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color w:val="auto"/>
                <w:sz w:val="32"/>
                <w:szCs w:val="32"/>
                <w:highlight w:val="none"/>
                <w:vertAlign w:val="baseline"/>
                <w:lang w:val="en-US" w:eastAsia="zh-CN"/>
              </w:rPr>
              <w:t>计量单位</w:t>
            </w:r>
          </w:p>
        </w:tc>
        <w:tc>
          <w:tcPr>
            <w:tcW w:w="19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1D431A7">
            <w:pPr>
              <w:pageBreakBefore w:val="0"/>
              <w:widowControl/>
              <w:kinsoku/>
              <w:autoSpaceDE/>
              <w:autoSpaceDN/>
              <w:bidi w:val="0"/>
              <w:spacing w:line="240" w:lineRule="auto"/>
              <w:jc w:val="center"/>
              <w:textAlignment w:val="center"/>
              <w:rPr>
                <w:rFonts w:hint="eastAsia" w:ascii="仿宋" w:hAnsi="仿宋" w:eastAsia="仿宋" w:cs="仿宋"/>
                <w:b/>
                <w:bCs/>
                <w:color w:val="auto"/>
                <w:kern w:val="0"/>
                <w:sz w:val="32"/>
                <w:szCs w:val="32"/>
                <w:highlight w:val="none"/>
                <w:lang w:bidi="ar"/>
              </w:rPr>
            </w:pPr>
            <w:r>
              <w:rPr>
                <w:rFonts w:hint="eastAsia" w:ascii="仿宋" w:hAnsi="仿宋" w:eastAsia="仿宋" w:cs="仿宋"/>
                <w:b/>
                <w:bCs/>
                <w:color w:val="auto"/>
                <w:kern w:val="0"/>
                <w:sz w:val="32"/>
                <w:szCs w:val="32"/>
                <w:highlight w:val="none"/>
                <w:lang w:val="en-US" w:eastAsia="zh-CN" w:bidi="ar"/>
              </w:rPr>
              <w:t>报价</w:t>
            </w:r>
            <w:r>
              <w:rPr>
                <w:rFonts w:hint="eastAsia" w:ascii="仿宋" w:hAnsi="仿宋" w:eastAsia="仿宋" w:cs="仿宋"/>
                <w:b/>
                <w:bCs/>
                <w:color w:val="auto"/>
                <w:kern w:val="0"/>
                <w:sz w:val="32"/>
                <w:szCs w:val="32"/>
                <w:highlight w:val="none"/>
                <w:lang w:bidi="ar"/>
              </w:rPr>
              <w:t>（元）</w:t>
            </w:r>
          </w:p>
        </w:tc>
      </w:tr>
      <w:tr w14:paraId="4EA224DA">
        <w:tblPrEx>
          <w:tblCellMar>
            <w:top w:w="0" w:type="dxa"/>
            <w:left w:w="0" w:type="dxa"/>
            <w:bottom w:w="0" w:type="dxa"/>
            <w:right w:w="0" w:type="dxa"/>
          </w:tblCellMar>
        </w:tblPrEx>
        <w:trPr>
          <w:trHeight w:val="55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8D6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32"/>
                <w:szCs w:val="32"/>
                <w:highlight w:val="none"/>
                <w:lang w:bidi="ar"/>
              </w:rPr>
            </w:pPr>
            <w:r>
              <w:rPr>
                <w:rFonts w:hint="eastAsia" w:ascii="仿宋" w:hAnsi="仿宋" w:eastAsia="仿宋" w:cs="仿宋"/>
                <w:color w:val="auto"/>
                <w:sz w:val="32"/>
                <w:szCs w:val="32"/>
                <w:highlight w:val="none"/>
                <w:vertAlign w:val="baseline"/>
                <w:lang w:val="en-US" w:eastAsia="zh-CN"/>
              </w:rPr>
              <w:t>1</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BE22">
            <w:pPr>
              <w:pageBreakBefore w:val="0"/>
              <w:widowControl/>
              <w:kinsoku/>
              <w:autoSpaceDE/>
              <w:autoSpaceDN/>
              <w:bidi w:val="0"/>
              <w:adjustRightInd w:val="0"/>
              <w:snapToGrid w:val="0"/>
              <w:spacing w:line="240" w:lineRule="auto"/>
              <w:contextualSpacing/>
              <w:jc w:val="center"/>
              <w:rPr>
                <w:rFonts w:hint="eastAsia" w:ascii="仿宋" w:hAnsi="仿宋" w:eastAsia="仿宋" w:cs="仿宋"/>
                <w:b/>
                <w:bCs/>
                <w:color w:val="auto"/>
                <w:kern w:val="0"/>
                <w:sz w:val="32"/>
                <w:szCs w:val="32"/>
                <w:highlight w:val="none"/>
                <w:lang w:eastAsia="zh-CN" w:bidi="ar"/>
              </w:rPr>
            </w:pPr>
            <w:r>
              <w:rPr>
                <w:rFonts w:hint="eastAsia" w:ascii="仿宋" w:hAnsi="仿宋" w:eastAsia="仿宋" w:cs="仿宋"/>
                <w:color w:val="auto"/>
                <w:sz w:val="32"/>
                <w:szCs w:val="32"/>
                <w:lang w:eastAsia="zh-CN"/>
              </w:rPr>
              <w:t>新生儿出生一件事系统运维服务</w:t>
            </w:r>
          </w:p>
        </w:tc>
        <w:tc>
          <w:tcPr>
            <w:tcW w:w="1403"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8C67A4A">
            <w:pPr>
              <w:pageBreakBefore w:val="0"/>
              <w:widowControl/>
              <w:kinsoku/>
              <w:autoSpaceDE/>
              <w:autoSpaceDN/>
              <w:bidi w:val="0"/>
              <w:adjustRightInd w:val="0"/>
              <w:snapToGrid w:val="0"/>
              <w:spacing w:after="0"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1939AE9">
            <w:pPr>
              <w:pageBreakBefore w:val="0"/>
              <w:widowControl/>
              <w:kinsoku/>
              <w:autoSpaceDE/>
              <w:autoSpaceDN/>
              <w:bidi w:val="0"/>
              <w:adjustRightInd w:val="0"/>
              <w:snapToGrid w:val="0"/>
              <w:spacing w:after="0" w:line="240" w:lineRule="auto"/>
              <w:jc w:val="center"/>
              <w:rPr>
                <w:rFonts w:hint="default" w:ascii="仿宋" w:hAnsi="仿宋" w:eastAsia="仿宋" w:cs="仿宋"/>
                <w:b/>
                <w:bCs/>
                <w:color w:val="auto"/>
                <w:kern w:val="0"/>
                <w:sz w:val="32"/>
                <w:szCs w:val="32"/>
                <w:highlight w:val="none"/>
                <w:lang w:val="en-US" w:eastAsia="zh-CN" w:bidi="ar"/>
              </w:rPr>
            </w:pPr>
            <w:r>
              <w:rPr>
                <w:rFonts w:hint="eastAsia" w:ascii="仿宋" w:hAnsi="仿宋" w:eastAsia="仿宋" w:cs="仿宋"/>
                <w:color w:val="auto"/>
                <w:sz w:val="32"/>
                <w:szCs w:val="32"/>
                <w:lang w:val="en-US" w:eastAsia="zh-CN"/>
              </w:rPr>
              <w:t>9.8</w:t>
            </w:r>
          </w:p>
        </w:tc>
        <w:tc>
          <w:tcPr>
            <w:tcW w:w="150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579694AB">
            <w:pPr>
              <w:pageBreakBefore w:val="0"/>
              <w:widowControl/>
              <w:kinsoku/>
              <w:autoSpaceDE/>
              <w:autoSpaceDN/>
              <w:bidi w:val="0"/>
              <w:adjustRightInd w:val="0"/>
              <w:snapToGrid w:val="0"/>
              <w:spacing w:line="240" w:lineRule="auto"/>
              <w:contextualSpacing/>
              <w:jc w:val="center"/>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lang w:val="en-US" w:eastAsia="zh-CN"/>
              </w:rPr>
              <w:t>项</w:t>
            </w:r>
          </w:p>
        </w:tc>
        <w:tc>
          <w:tcPr>
            <w:tcW w:w="19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02676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32"/>
                <w:szCs w:val="32"/>
                <w:highlight w:val="none"/>
                <w:lang w:bidi="ar"/>
              </w:rPr>
            </w:pPr>
          </w:p>
        </w:tc>
      </w:tr>
    </w:tbl>
    <w:p w14:paraId="108890E2">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注：</w:t>
      </w:r>
    </w:p>
    <w:p w14:paraId="57840E0E">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1.报价应是最终用户验收合格后的总价，包括设备运输、保险、代理、安装调试、培训、税费、系统集成费用和采购文件规定的其它费用。</w:t>
      </w:r>
    </w:p>
    <w:p w14:paraId="05D73709">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2.“报价表”为多页的，每页均需由法定代表人或授权代表签字并盖</w:t>
      </w:r>
      <w:r>
        <w:rPr>
          <w:rFonts w:hint="eastAsia" w:ascii="仿宋" w:hAnsi="仿宋" w:eastAsia="仿宋" w:cs="仿宋"/>
          <w:color w:val="auto"/>
          <w:kern w:val="0"/>
          <w:sz w:val="32"/>
          <w:szCs w:val="32"/>
          <w:highlight w:val="none"/>
          <w:lang w:eastAsia="zh-CN"/>
        </w:rPr>
        <w:t>供应商</w:t>
      </w:r>
      <w:r>
        <w:rPr>
          <w:rFonts w:hint="eastAsia" w:ascii="仿宋" w:hAnsi="仿宋" w:eastAsia="仿宋" w:cs="仿宋"/>
          <w:color w:val="auto"/>
          <w:kern w:val="0"/>
          <w:sz w:val="32"/>
          <w:szCs w:val="32"/>
          <w:highlight w:val="none"/>
        </w:rPr>
        <w:t>印章。</w:t>
      </w:r>
    </w:p>
    <w:p w14:paraId="513D2E9A">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3.单价报价超过单价最高限价的为无效报价，供应商响应文件将作无效响应处理。</w:t>
      </w:r>
    </w:p>
    <w:p w14:paraId="7D3D52F8">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4.两轮（若有）以上报价的，供应商在未提高响应文件中承诺的产品及其服务质量的情况下，其最后报价不得高于对该项目之前的报价</w:t>
      </w:r>
      <w:r>
        <w:rPr>
          <w:rFonts w:hint="eastAsia" w:ascii="仿宋" w:hAnsi="仿宋" w:eastAsia="仿宋" w:cs="仿宋"/>
          <w:color w:val="auto"/>
          <w:kern w:val="0"/>
          <w:sz w:val="32"/>
          <w:szCs w:val="32"/>
          <w:highlight w:val="none"/>
          <w:lang w:eastAsia="zh-CN"/>
        </w:rPr>
        <w:t>。</w:t>
      </w:r>
    </w:p>
    <w:p w14:paraId="0DD09D31">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最后</w:t>
      </w:r>
      <w:r>
        <w:rPr>
          <w:rFonts w:hint="eastAsia" w:ascii="仿宋" w:hAnsi="仿宋" w:eastAsia="仿宋" w:cs="仿宋"/>
          <w:color w:val="auto"/>
          <w:kern w:val="0"/>
          <w:sz w:val="32"/>
          <w:szCs w:val="32"/>
          <w:highlight w:val="none"/>
        </w:rPr>
        <w:t>报价表”需单独密封。</w:t>
      </w:r>
    </w:p>
    <w:p w14:paraId="28299FB6">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供应商名称：（盖章）</w:t>
      </w:r>
    </w:p>
    <w:p w14:paraId="3A408E3F">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法定代表人或授权代表（签字）：</w:t>
      </w:r>
    </w:p>
    <w:p w14:paraId="6999238D">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日期：</w:t>
      </w:r>
    </w:p>
    <w:p w14:paraId="729C8BCA">
      <w:pPr>
        <w:pageBreakBefore w:val="0"/>
        <w:kinsoku/>
        <w:autoSpaceDE/>
        <w:autoSpaceDN/>
        <w:bidi w:val="0"/>
        <w:spacing w:line="240" w:lineRule="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br w:type="page"/>
      </w:r>
    </w:p>
    <w:p w14:paraId="1B94AD0E">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3</w:t>
      </w:r>
      <w:r>
        <w:rPr>
          <w:rFonts w:hint="eastAsia" w:ascii="仿宋" w:hAnsi="仿宋" w:eastAsia="仿宋" w:cs="仿宋"/>
          <w:b/>
          <w:bCs/>
          <w:color w:val="auto"/>
          <w:kern w:val="0"/>
          <w:sz w:val="32"/>
          <w:szCs w:val="32"/>
          <w:highlight w:val="none"/>
        </w:rPr>
        <w:t>：</w:t>
      </w:r>
    </w:p>
    <w:p w14:paraId="24EEED2A">
      <w:pPr>
        <w:pageBreakBefore w:val="0"/>
        <w:widowControl/>
        <w:shd w:val="clear" w:color="auto" w:fill="FFFFFF"/>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技术、商务要求偏离表</w:t>
      </w:r>
    </w:p>
    <w:tbl>
      <w:tblPr>
        <w:tblStyle w:val="13"/>
        <w:tblW w:w="0" w:type="auto"/>
        <w:jc w:val="center"/>
        <w:tblLayout w:type="autofit"/>
        <w:tblCellMar>
          <w:top w:w="0" w:type="dxa"/>
          <w:left w:w="0" w:type="dxa"/>
          <w:bottom w:w="0" w:type="dxa"/>
          <w:right w:w="0" w:type="dxa"/>
        </w:tblCellMar>
      </w:tblPr>
      <w:tblGrid>
        <w:gridCol w:w="1066"/>
        <w:gridCol w:w="2298"/>
        <w:gridCol w:w="2298"/>
        <w:gridCol w:w="2860"/>
      </w:tblGrid>
      <w:tr w14:paraId="24F3A2F8">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67E2F5">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23DABF">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采购文件</w:t>
            </w:r>
            <w:r>
              <w:rPr>
                <w:rFonts w:hint="eastAsia" w:ascii="仿宋" w:hAnsi="仿宋" w:eastAsia="仿宋" w:cs="仿宋"/>
                <w:color w:val="auto"/>
                <w:kern w:val="0"/>
                <w:sz w:val="32"/>
                <w:szCs w:val="32"/>
                <w:highlight w:val="none"/>
              </w:rPr>
              <w:t>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3AB45A">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供应商</w:t>
            </w:r>
            <w:r>
              <w:rPr>
                <w:rFonts w:hint="eastAsia" w:ascii="仿宋" w:hAnsi="仿宋" w:eastAsia="仿宋" w:cs="仿宋"/>
                <w:color w:val="auto"/>
                <w:kern w:val="0"/>
                <w:sz w:val="32"/>
                <w:szCs w:val="32"/>
                <w:highlight w:val="none"/>
              </w:rPr>
              <w:t>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90B26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偏离及其影响</w:t>
            </w:r>
          </w:p>
        </w:tc>
      </w:tr>
      <w:tr w14:paraId="23E91A58">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7363C6A">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1EF2F6C9">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5E9B6D1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14:paraId="2A676130">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48B520C3">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AF2C874">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4507B165">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3210DF5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14:paraId="2DFF8758">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bl>
    <w:p w14:paraId="45EA9447">
      <w:pPr>
        <w:pageBreakBefore w:val="0"/>
        <w:widowControl/>
        <w:shd w:val="clear" w:color="auto" w:fill="FFFFFF"/>
        <w:kinsoku/>
        <w:wordWrap w:val="0"/>
        <w:autoSpaceDE/>
        <w:autoSpaceDN/>
        <w:bidi w:val="0"/>
        <w:spacing w:line="240" w:lineRule="auto"/>
        <w:ind w:firstLine="48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注：</w:t>
      </w:r>
    </w:p>
    <w:p w14:paraId="5BD17191">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1.供应商根据</w:t>
      </w:r>
      <w:r>
        <w:rPr>
          <w:rFonts w:hint="eastAsia" w:ascii="仿宋" w:hAnsi="仿宋" w:eastAsia="仿宋" w:cs="仿宋"/>
          <w:color w:val="auto"/>
          <w:kern w:val="0"/>
          <w:sz w:val="32"/>
          <w:szCs w:val="32"/>
          <w:highlight w:val="none"/>
          <w:lang w:val="en-US" w:eastAsia="zh-CN"/>
        </w:rPr>
        <w:t>附件1“采购需求”中的</w:t>
      </w:r>
      <w:r>
        <w:rPr>
          <w:rFonts w:hint="eastAsia" w:ascii="仿宋" w:hAnsi="仿宋" w:eastAsia="仿宋" w:cs="仿宋"/>
          <w:color w:val="auto"/>
          <w:kern w:val="0"/>
          <w:sz w:val="32"/>
          <w:szCs w:val="32"/>
          <w:highlight w:val="none"/>
        </w:rPr>
        <w:t>“技术要求”</w:t>
      </w:r>
      <w:r>
        <w:rPr>
          <w:rFonts w:hint="eastAsia" w:ascii="仿宋" w:hAnsi="仿宋" w:eastAsia="仿宋" w:cs="仿宋"/>
          <w:color w:val="auto"/>
          <w:kern w:val="0"/>
          <w:sz w:val="32"/>
          <w:szCs w:val="32"/>
          <w:highlight w:val="none"/>
          <w:lang w:val="en-US" w:eastAsia="zh-CN"/>
        </w:rPr>
        <w:t>、“商务要求”</w:t>
      </w:r>
      <w:r>
        <w:rPr>
          <w:rFonts w:hint="eastAsia" w:ascii="仿宋" w:hAnsi="仿宋" w:eastAsia="仿宋" w:cs="仿宋"/>
          <w:color w:val="auto"/>
          <w:kern w:val="0"/>
          <w:sz w:val="32"/>
          <w:szCs w:val="32"/>
          <w:highlight w:val="none"/>
        </w:rPr>
        <w:t>，对应进行填写。未单独填写的条款，视为默认响应。</w:t>
      </w:r>
    </w:p>
    <w:p w14:paraId="19E9E000">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2.若无偏离，可在偏离情况中填“/”；若有偏离，需在偏离情况中进行说明；</w:t>
      </w:r>
    </w:p>
    <w:p w14:paraId="01C400D5">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3.若“技术要求”</w:t>
      </w:r>
      <w:r>
        <w:rPr>
          <w:rFonts w:hint="eastAsia" w:ascii="仿宋" w:hAnsi="仿宋" w:eastAsia="仿宋" w:cs="仿宋"/>
          <w:color w:val="auto"/>
          <w:kern w:val="0"/>
          <w:sz w:val="32"/>
          <w:szCs w:val="32"/>
          <w:highlight w:val="none"/>
          <w:lang w:val="en-US" w:eastAsia="zh-CN"/>
        </w:rPr>
        <w:t>、“商务要求”</w:t>
      </w:r>
      <w:r>
        <w:rPr>
          <w:rFonts w:hint="eastAsia" w:ascii="仿宋" w:hAnsi="仿宋" w:eastAsia="仿宋" w:cs="仿宋"/>
          <w:color w:val="auto"/>
          <w:kern w:val="0"/>
          <w:sz w:val="32"/>
          <w:szCs w:val="32"/>
          <w:highlight w:val="none"/>
        </w:rPr>
        <w:t>要求提供证明材料，需按要求提供证明材料。</w:t>
      </w:r>
    </w:p>
    <w:p w14:paraId="4E4F1063">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p>
    <w:p w14:paraId="0CA70975">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p>
    <w:p w14:paraId="1C58E36F">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供应商名称：XXXX（盖单位公章）</w:t>
      </w:r>
    </w:p>
    <w:p w14:paraId="64E8669D">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法定代表人或授权代表签字：</w:t>
      </w:r>
    </w:p>
    <w:p w14:paraId="36C46159">
      <w:pPr>
        <w:pageBreakBefore w:val="0"/>
        <w:widowControl/>
        <w:shd w:val="clear" w:color="auto" w:fill="FFFFFF"/>
        <w:kinsoku/>
        <w:wordWrap w:val="0"/>
        <w:autoSpaceDE/>
        <w:autoSpaceDN/>
        <w:bidi w:val="0"/>
        <w:spacing w:line="240" w:lineRule="auto"/>
        <w:ind w:firstLine="36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日期:</w:t>
      </w:r>
    </w:p>
    <w:p w14:paraId="663B0E71">
      <w:pPr>
        <w:pageBreakBefore w:val="0"/>
        <w:kinsoku/>
        <w:autoSpaceDE/>
        <w:autoSpaceDN/>
        <w:bidi w:val="0"/>
        <w:spacing w:line="240" w:lineRule="auto"/>
        <w:rPr>
          <w:rFonts w:hint="eastAsia" w:ascii="仿宋" w:hAnsi="仿宋" w:eastAsia="仿宋" w:cs="仿宋"/>
          <w:b/>
          <w:bCs/>
          <w:color w:val="auto"/>
          <w:kern w:val="0"/>
          <w:sz w:val="32"/>
          <w:szCs w:val="32"/>
          <w:highlight w:val="none"/>
          <w:shd w:val="clear" w:color="auto" w:fill="FFFFFF"/>
        </w:rPr>
      </w:pPr>
      <w:r>
        <w:rPr>
          <w:rFonts w:hint="eastAsia" w:ascii="仿宋" w:hAnsi="仿宋" w:eastAsia="仿宋" w:cs="仿宋"/>
          <w:b/>
          <w:bCs/>
          <w:color w:val="auto"/>
          <w:kern w:val="0"/>
          <w:sz w:val="32"/>
          <w:szCs w:val="32"/>
          <w:highlight w:val="none"/>
          <w:shd w:val="clear" w:color="auto" w:fill="FFFFFF"/>
        </w:rPr>
        <w:br w:type="page"/>
      </w:r>
    </w:p>
    <w:p w14:paraId="5C657BE9">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4</w:t>
      </w:r>
      <w:r>
        <w:rPr>
          <w:rFonts w:hint="eastAsia" w:ascii="仿宋" w:hAnsi="仿宋" w:eastAsia="仿宋" w:cs="仿宋"/>
          <w:b/>
          <w:bCs/>
          <w:color w:val="auto"/>
          <w:kern w:val="0"/>
          <w:sz w:val="32"/>
          <w:szCs w:val="32"/>
          <w:highlight w:val="none"/>
        </w:rPr>
        <w:t>：</w:t>
      </w:r>
    </w:p>
    <w:p w14:paraId="0426E475">
      <w:pPr>
        <w:pageBreakBefore w:val="0"/>
        <w:widowControl/>
        <w:shd w:val="clear" w:color="auto" w:fill="FFFFFF"/>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用户情况表</w:t>
      </w:r>
    </w:p>
    <w:tbl>
      <w:tblPr>
        <w:tblStyle w:val="13"/>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14:paraId="5A1EAEA9">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0824E89">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14:paraId="0DDF4DDA">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39827B8">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9A110A">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72403A0">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500A07">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备注</w:t>
            </w:r>
          </w:p>
        </w:tc>
      </w:tr>
      <w:tr w14:paraId="47112711">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32885BE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1F6A991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6B74FE99">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19D7420">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2A79B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AB2541">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35AE7A73">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7CFD61DD">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483CDE0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0E61E597">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54834B">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3F038B5">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5FE67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3BD74482">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50F77E53">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7C4FC2EA">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08C14AEB">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76CE78">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35B4A4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A0D6B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42D3928E">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5C34872E">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33A5469D">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A8834D8">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78D9F3">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1D2203">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EB31B3">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6FF3DE5C">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7ACB8D78">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4486A7C7">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B101B40">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507159">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33DF1B">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DBD089F">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30416886">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32CDFAE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66CC1BDF">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7176D090">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CD155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55EAB0">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CD8BE3D">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189E7826">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078EED6">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15353D4D">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541779D5">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F1E74E">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B2D6A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3A444A">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r w14:paraId="20533BEB">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98075AE">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020FED4F">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11F626C4">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BCB206B">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4EF2532">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F3D2BD">
            <w:pPr>
              <w:pageBreakBefore w:val="0"/>
              <w:widowControl/>
              <w:kinsoku/>
              <w:wordWrap w:val="0"/>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tc>
      </w:tr>
    </w:tbl>
    <w:p w14:paraId="74523EFF">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p w14:paraId="00345F7F">
      <w:pPr>
        <w:pageBreakBefore w:val="0"/>
        <w:widowControl/>
        <w:shd w:val="clear" w:color="auto" w:fill="FFFFFF"/>
        <w:kinsoku/>
        <w:wordWrap w:val="0"/>
        <w:autoSpaceDE/>
        <w:autoSpaceDN/>
        <w:bidi w:val="0"/>
        <w:spacing w:line="240" w:lineRule="auto"/>
        <w:ind w:firstLine="48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w:t>
      </w:r>
    </w:p>
    <w:p w14:paraId="272575B8">
      <w:pPr>
        <w:pageBreakBefore w:val="0"/>
        <w:widowControl/>
        <w:shd w:val="clear" w:color="auto" w:fill="FFFFFF"/>
        <w:kinsoku/>
        <w:wordWrap w:val="0"/>
        <w:autoSpaceDE/>
        <w:autoSpaceDN/>
        <w:bidi w:val="0"/>
        <w:spacing w:line="240" w:lineRule="auto"/>
        <w:ind w:firstLine="48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法定代表人或授权代表签字：</w:t>
      </w:r>
    </w:p>
    <w:p w14:paraId="1956AACE">
      <w:pPr>
        <w:pageBreakBefore w:val="0"/>
        <w:widowControl/>
        <w:shd w:val="clear" w:color="auto" w:fill="FFFFFF"/>
        <w:kinsoku/>
        <w:wordWrap w:val="0"/>
        <w:autoSpaceDE/>
        <w:autoSpaceDN/>
        <w:bidi w:val="0"/>
        <w:spacing w:line="240" w:lineRule="auto"/>
        <w:ind w:firstLine="449"/>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日期</w:t>
      </w:r>
      <w:r>
        <w:rPr>
          <w:rFonts w:hint="eastAsia" w:ascii="仿宋" w:hAnsi="仿宋" w:eastAsia="仿宋" w:cs="仿宋"/>
          <w:b/>
          <w:bCs/>
          <w:color w:val="auto"/>
          <w:kern w:val="0"/>
          <w:sz w:val="32"/>
          <w:szCs w:val="32"/>
          <w:highlight w:val="none"/>
        </w:rPr>
        <w:t>:</w:t>
      </w:r>
    </w:p>
    <w:p w14:paraId="21464119">
      <w:pPr>
        <w:pageBreakBefore w:val="0"/>
        <w:kinsoku/>
        <w:autoSpaceDE/>
        <w:autoSpaceDN/>
        <w:bidi w:val="0"/>
        <w:spacing w:line="240" w:lineRule="auto"/>
        <w:rPr>
          <w:rFonts w:hint="eastAsia" w:ascii="仿宋" w:hAnsi="仿宋" w:eastAsia="仿宋" w:cs="仿宋"/>
          <w:b/>
          <w:bCs/>
          <w:color w:val="auto"/>
          <w:kern w:val="0"/>
          <w:sz w:val="32"/>
          <w:szCs w:val="32"/>
          <w:highlight w:val="none"/>
          <w:shd w:val="clear" w:color="auto" w:fill="FFFFFF"/>
        </w:rPr>
      </w:pPr>
      <w:r>
        <w:rPr>
          <w:rFonts w:hint="eastAsia" w:ascii="仿宋" w:hAnsi="仿宋" w:eastAsia="仿宋" w:cs="仿宋"/>
          <w:b/>
          <w:bCs/>
          <w:color w:val="auto"/>
          <w:kern w:val="0"/>
          <w:sz w:val="32"/>
          <w:szCs w:val="32"/>
          <w:highlight w:val="none"/>
          <w:shd w:val="clear" w:color="auto" w:fill="FFFFFF"/>
        </w:rPr>
        <w:br w:type="page"/>
      </w:r>
    </w:p>
    <w:p w14:paraId="7B98BA84">
      <w:pPr>
        <w:pStyle w:val="20"/>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p>
    <w:p w14:paraId="181181CC">
      <w:pPr>
        <w:pStyle w:val="20"/>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outlineLvl w:val="9"/>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授权委托书</w:t>
      </w:r>
    </w:p>
    <w:p w14:paraId="289EDAB1">
      <w:pPr>
        <w:pStyle w:val="20"/>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（若供应商代表为“授权代表”时，提供此委托书）</w:t>
      </w:r>
    </w:p>
    <w:p w14:paraId="29F44525">
      <w:pPr>
        <w:keepNext w:val="0"/>
        <w:keepLines w:val="0"/>
        <w:pageBreakBefore w:val="0"/>
        <w:widowControl/>
        <w:kinsoku/>
        <w:wordWrap/>
        <w:overflowPunct/>
        <w:topLinePunct w:val="0"/>
        <w:autoSpaceDE/>
        <w:autoSpaceDN/>
        <w:bidi w:val="0"/>
        <w:adjustRightInd/>
        <w:snapToGrid/>
        <w:spacing w:line="0" w:lineRule="atLeast"/>
        <w:jc w:val="lef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四川省妇幼保健院</w:t>
      </w:r>
      <w:r>
        <w:rPr>
          <w:rFonts w:hint="eastAsia" w:ascii="仿宋" w:hAnsi="仿宋" w:eastAsia="仿宋" w:cs="仿宋"/>
          <w:color w:val="auto"/>
          <w:sz w:val="28"/>
          <w:szCs w:val="28"/>
          <w:highlight w:val="none"/>
        </w:rPr>
        <w:t>：</w:t>
      </w:r>
    </w:p>
    <w:p w14:paraId="6F015978">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（姓名）系</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（供应商名称）的法定代表人（单位负责人），现委托</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（姓名）为我方代理人。代理人在本次采购中所签署的一切文件和处理的一切有关事宜，我公司（单位）均予承认，所产生的法律后果均由我公司（单位）承担。</w:t>
      </w:r>
    </w:p>
    <w:p w14:paraId="4AD54DDB">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委托期限：自本授权委托书签署之日起至响应文件有效期届满之日止。代理人无转委托权。</w:t>
      </w:r>
    </w:p>
    <w:p w14:paraId="3E9DE2AB">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供应商名称：XXXX（盖单位公章）</w:t>
      </w:r>
    </w:p>
    <w:p w14:paraId="7C60128E">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法定代表人（单位负责人）（签字或加盖个人名章）：XXXX。</w:t>
      </w:r>
    </w:p>
    <w:p w14:paraId="278F4885">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授权代表（代理人）签字：XXXX。</w:t>
      </w:r>
    </w:p>
    <w:p w14:paraId="1ADCCEDB">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日    期：XXXX。</w:t>
      </w:r>
    </w:p>
    <w:p w14:paraId="53445D48">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法定代表人（单位负责人）有效期内的居民身份证正反面</w:t>
      </w:r>
    </w:p>
    <w:tbl>
      <w:tblPr>
        <w:tblStyle w:val="13"/>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23FDF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3C3613F5">
            <w:pPr>
              <w:keepNext w:val="0"/>
              <w:keepLines w:val="0"/>
              <w:pageBreakBefore w:val="0"/>
              <w:tabs>
                <w:tab w:val="left" w:pos="5580"/>
              </w:tabs>
              <w:kinsoku/>
              <w:overflowPunct/>
              <w:topLinePunct w:val="0"/>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p>
        </w:tc>
        <w:tc>
          <w:tcPr>
            <w:tcW w:w="2875" w:type="dxa"/>
            <w:noWrap w:val="0"/>
            <w:vAlign w:val="top"/>
          </w:tcPr>
          <w:p w14:paraId="7EB7B759">
            <w:pPr>
              <w:keepNext w:val="0"/>
              <w:keepLines w:val="0"/>
              <w:pageBreakBefore w:val="0"/>
              <w:tabs>
                <w:tab w:val="left" w:pos="5580"/>
              </w:tabs>
              <w:kinsoku/>
              <w:overflowPunct/>
              <w:topLinePunct w:val="0"/>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p>
        </w:tc>
      </w:tr>
    </w:tbl>
    <w:p w14:paraId="30E79715">
      <w:pPr>
        <w:pStyle w:val="7"/>
        <w:keepNext w:val="0"/>
        <w:keepLines w:val="0"/>
        <w:pageBreakBefore w:val="0"/>
        <w:kinsoku/>
        <w:wordWrap/>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授权代表（代理人）</w:t>
      </w:r>
      <w:r>
        <w:rPr>
          <w:rFonts w:hint="eastAsia" w:ascii="仿宋" w:hAnsi="仿宋" w:eastAsia="仿宋" w:cs="仿宋"/>
          <w:color w:val="auto"/>
          <w:sz w:val="28"/>
          <w:szCs w:val="28"/>
          <w:highlight w:val="none"/>
          <w:lang w:val="en-US" w:eastAsia="zh-CN"/>
        </w:rPr>
        <w:t>有效期内的居民身份证正反面</w:t>
      </w:r>
    </w:p>
    <w:tbl>
      <w:tblPr>
        <w:tblStyle w:val="13"/>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7C804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70AA5374">
            <w:pPr>
              <w:keepNext w:val="0"/>
              <w:keepLines w:val="0"/>
              <w:pageBreakBefore w:val="0"/>
              <w:tabs>
                <w:tab w:val="left" w:pos="5580"/>
              </w:tabs>
              <w:kinsoku/>
              <w:overflowPunct/>
              <w:topLinePunct w:val="0"/>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p>
        </w:tc>
        <w:tc>
          <w:tcPr>
            <w:tcW w:w="2875" w:type="dxa"/>
            <w:noWrap w:val="0"/>
            <w:vAlign w:val="top"/>
          </w:tcPr>
          <w:p w14:paraId="721457A6">
            <w:pPr>
              <w:keepNext w:val="0"/>
              <w:keepLines w:val="0"/>
              <w:pageBreakBefore w:val="0"/>
              <w:tabs>
                <w:tab w:val="left" w:pos="5580"/>
              </w:tabs>
              <w:kinsoku/>
              <w:overflowPunct/>
              <w:topLinePunct w:val="0"/>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p>
        </w:tc>
      </w:tr>
    </w:tbl>
    <w:p w14:paraId="101DE431">
      <w:pPr>
        <w:keepNext w:val="0"/>
        <w:keepLines w:val="0"/>
        <w:pageBreakBefore w:val="0"/>
        <w:kinsoku/>
        <w:overflowPunct/>
        <w:topLinePunct w:val="0"/>
        <w:autoSpaceDE/>
        <w:autoSpaceDN/>
        <w:bidi w:val="0"/>
        <w:adjustRightInd/>
        <w:snapToGrid/>
        <w:spacing w:line="0" w:lineRule="atLeast"/>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注：</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提供有效期内的身份证明材料，例如居民身份证或户口本或军官证或护照等；</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若提供居民身份证，须为正、反面复印件。</w:t>
      </w:r>
    </w:p>
    <w:p w14:paraId="4ADD68B7">
      <w:pPr>
        <w:keepNext w:val="0"/>
        <w:keepLines w:val="0"/>
        <w:pageBreakBefore w:val="0"/>
        <w:widowControl/>
        <w:shd w:val="clear" w:color="auto" w:fill="FFFFFF"/>
        <w:kinsoku/>
        <w:wordWrap w:val="0"/>
        <w:overflowPunct/>
        <w:topLinePunct w:val="0"/>
        <w:autoSpaceDE/>
        <w:autoSpaceDN/>
        <w:bidi w:val="0"/>
        <w:adjustRightInd/>
        <w:snapToGrid/>
        <w:spacing w:line="0" w:lineRule="atLeast"/>
        <w:ind w:left="480" w:hanging="36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28"/>
          <w:szCs w:val="28"/>
          <w:highlight w:val="none"/>
        </w:rPr>
        <w:t>★说明：上述证明文件附有法定代表人、被授权代表身份证复印件（</w:t>
      </w:r>
      <w:r>
        <w:rPr>
          <w:rFonts w:hint="eastAsia" w:ascii="仿宋" w:hAnsi="仿宋" w:eastAsia="仿宋" w:cs="仿宋"/>
          <w:color w:val="auto"/>
          <w:kern w:val="0"/>
          <w:sz w:val="28"/>
          <w:szCs w:val="28"/>
          <w:highlight w:val="none"/>
          <w:lang w:val="en-US" w:eastAsia="zh-CN"/>
        </w:rPr>
        <w:t>双方签字并</w:t>
      </w:r>
      <w:r>
        <w:rPr>
          <w:rFonts w:hint="eastAsia" w:ascii="仿宋" w:hAnsi="仿宋" w:eastAsia="仿宋" w:cs="仿宋"/>
          <w:color w:val="auto"/>
          <w:kern w:val="0"/>
          <w:sz w:val="28"/>
          <w:szCs w:val="28"/>
          <w:highlight w:val="none"/>
        </w:rPr>
        <w:t>加盖公章）时才能生效。</w:t>
      </w:r>
    </w:p>
    <w:p w14:paraId="6FBEFDCD">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br w:type="page"/>
      </w: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6</w:t>
      </w:r>
      <w:r>
        <w:rPr>
          <w:rFonts w:hint="eastAsia" w:ascii="仿宋" w:hAnsi="仿宋" w:eastAsia="仿宋" w:cs="仿宋"/>
          <w:b/>
          <w:bCs/>
          <w:color w:val="auto"/>
          <w:kern w:val="0"/>
          <w:sz w:val="32"/>
          <w:szCs w:val="32"/>
          <w:highlight w:val="none"/>
        </w:rPr>
        <w:t>：</w:t>
      </w:r>
    </w:p>
    <w:p w14:paraId="51161277">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center"/>
        <w:textAlignment w:val="auto"/>
        <w:outlineLvl w:val="9"/>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法定代表人（单位负责人）身份证明</w:t>
      </w:r>
    </w:p>
    <w:p w14:paraId="08FC5DD7">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center"/>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（若供应商代表为“法定代表人（单位负责人）”时，提供此证明）</w:t>
      </w:r>
    </w:p>
    <w:p w14:paraId="2D954688">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color w:val="auto"/>
          <w:sz w:val="28"/>
          <w:szCs w:val="28"/>
          <w:highlight w:val="none"/>
          <w:lang w:eastAsia="zh-CN"/>
        </w:rPr>
        <w:t>四川省妇幼保健院</w:t>
      </w:r>
      <w:r>
        <w:rPr>
          <w:rFonts w:hint="eastAsia" w:ascii="仿宋" w:hAnsi="仿宋" w:eastAsia="仿宋" w:cs="仿宋"/>
          <w:color w:val="auto"/>
          <w:sz w:val="28"/>
          <w:szCs w:val="28"/>
          <w:highlight w:val="none"/>
        </w:rPr>
        <w:t>：</w:t>
      </w:r>
    </w:p>
    <w:p w14:paraId="06D8ED91">
      <w:pPr>
        <w:pStyle w:val="7"/>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（姓名）系</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（供应商名称）的法定代表人（单位负责人）（职务</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076B4527">
      <w:pPr>
        <w:pStyle w:val="7"/>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特此证明。</w:t>
      </w:r>
    </w:p>
    <w:p w14:paraId="7A0620FE">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jc w:val="left"/>
        <w:textAlignment w:val="auto"/>
        <w:outlineLvl w:val="9"/>
        <w:rPr>
          <w:rFonts w:hint="eastAsia" w:ascii="仿宋" w:hAnsi="仿宋" w:eastAsia="仿宋" w:cs="仿宋"/>
          <w:color w:val="auto"/>
          <w:sz w:val="28"/>
          <w:szCs w:val="28"/>
          <w:highlight w:val="none"/>
          <w:lang w:val="en-US" w:eastAsia="zh-CN"/>
        </w:rPr>
      </w:pPr>
    </w:p>
    <w:p w14:paraId="13F680C9">
      <w:pPr>
        <w:pStyle w:val="7"/>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供应商名称：XXXX（盖单位公章）</w:t>
      </w:r>
    </w:p>
    <w:p w14:paraId="109A3BCA">
      <w:pPr>
        <w:pStyle w:val="7"/>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法定代表人（单位负责人）（签字或加盖个人名章）：XXXX。</w:t>
      </w:r>
    </w:p>
    <w:p w14:paraId="6171CA26">
      <w:pPr>
        <w:pStyle w:val="7"/>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日    期：XXXX。</w:t>
      </w:r>
    </w:p>
    <w:p w14:paraId="02D75EAE">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仿宋" w:hAnsi="仿宋" w:eastAsia="仿宋" w:cs="仿宋"/>
          <w:b w:val="0"/>
          <w:bCs w:val="0"/>
          <w:color w:val="auto"/>
          <w:sz w:val="28"/>
          <w:szCs w:val="28"/>
          <w:highlight w:val="none"/>
          <w:u w:val="none"/>
          <w:lang w:val="en-US" w:eastAsia="zh-CN"/>
        </w:rPr>
      </w:pPr>
    </w:p>
    <w:p w14:paraId="1EDEC1A0">
      <w:pPr>
        <w:pStyle w:val="7"/>
        <w:keepNext w:val="0"/>
        <w:keepLines w:val="0"/>
        <w:pageBreakBefore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法定代表人（单位负责人）有效期内的居民身份证正反面</w:t>
      </w:r>
    </w:p>
    <w:tbl>
      <w:tblPr>
        <w:tblStyle w:val="13"/>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14:paraId="4D1A3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14:paraId="5162D34F">
            <w:pPr>
              <w:pageBreakBefore w:val="0"/>
              <w:tabs>
                <w:tab w:val="left" w:pos="5580"/>
              </w:tabs>
              <w:kinsoku/>
              <w:autoSpaceDE/>
              <w:autoSpaceDN/>
              <w:bidi w:val="0"/>
              <w:spacing w:line="240" w:lineRule="auto"/>
              <w:jc w:val="left"/>
              <w:rPr>
                <w:rFonts w:hint="eastAsia" w:ascii="仿宋" w:hAnsi="仿宋" w:eastAsia="仿宋" w:cs="仿宋"/>
                <w:color w:val="auto"/>
                <w:sz w:val="28"/>
                <w:szCs w:val="28"/>
                <w:highlight w:val="none"/>
              </w:rPr>
            </w:pPr>
          </w:p>
        </w:tc>
        <w:tc>
          <w:tcPr>
            <w:tcW w:w="3398" w:type="dxa"/>
            <w:noWrap w:val="0"/>
            <w:vAlign w:val="top"/>
          </w:tcPr>
          <w:p w14:paraId="779D8C33">
            <w:pPr>
              <w:pageBreakBefore w:val="0"/>
              <w:tabs>
                <w:tab w:val="left" w:pos="5580"/>
              </w:tabs>
              <w:kinsoku/>
              <w:autoSpaceDE/>
              <w:autoSpaceDN/>
              <w:bidi w:val="0"/>
              <w:spacing w:line="240" w:lineRule="auto"/>
              <w:jc w:val="left"/>
              <w:rPr>
                <w:rFonts w:hint="eastAsia" w:ascii="仿宋" w:hAnsi="仿宋" w:eastAsia="仿宋" w:cs="仿宋"/>
                <w:color w:val="auto"/>
                <w:sz w:val="28"/>
                <w:szCs w:val="28"/>
                <w:highlight w:val="none"/>
              </w:rPr>
            </w:pPr>
          </w:p>
        </w:tc>
      </w:tr>
    </w:tbl>
    <w:p w14:paraId="191CA1D2">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2" w:firstLineChars="200"/>
        <w:jc w:val="left"/>
        <w:textAlignment w:val="auto"/>
        <w:outlineLvl w:val="9"/>
        <w:rPr>
          <w:rFonts w:hint="eastAsia" w:ascii="仿宋" w:hAnsi="仿宋" w:eastAsia="仿宋" w:cs="仿宋"/>
          <w:b/>
          <w:bCs/>
          <w:i w:val="0"/>
          <w:iCs w:val="0"/>
          <w:color w:val="auto"/>
          <w:sz w:val="28"/>
          <w:szCs w:val="28"/>
          <w:highlight w:val="none"/>
          <w:u w:val="none"/>
          <w:lang w:val="en-US" w:eastAsia="zh-CN"/>
        </w:rPr>
      </w:pPr>
    </w:p>
    <w:p w14:paraId="0D9346EF">
      <w:pPr>
        <w:pageBreakBefore w:val="0"/>
        <w:kinsoku/>
        <w:autoSpaceDE/>
        <w:autoSpaceDN/>
        <w:bidi w:val="0"/>
        <w:spacing w:line="240" w:lineRule="auto"/>
        <w:rPr>
          <w:rFonts w:hint="eastAsia" w:ascii="仿宋" w:hAnsi="仿宋" w:eastAsia="仿宋" w:cs="仿宋"/>
          <w:b/>
          <w:bCs/>
          <w:color w:val="auto"/>
          <w:kern w:val="0"/>
          <w:sz w:val="32"/>
          <w:szCs w:val="32"/>
          <w:highlight w:val="none"/>
        </w:rPr>
      </w:pPr>
      <w:r>
        <w:rPr>
          <w:rFonts w:hint="eastAsia" w:ascii="仿宋" w:hAnsi="仿宋" w:eastAsia="仿宋" w:cs="仿宋"/>
          <w:color w:val="auto"/>
          <w:sz w:val="28"/>
          <w:szCs w:val="28"/>
          <w:highlight w:val="none"/>
          <w:lang w:eastAsia="zh-CN"/>
        </w:rPr>
        <w:t>注：</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提供有效期内的身份证明材料，例如居民身份证或户口本或军官证或护照等；</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若提供居民身份证，须为正、反面复印件。</w:t>
      </w:r>
    </w:p>
    <w:p w14:paraId="535D29AB">
      <w:pPr>
        <w:pStyle w:val="21"/>
        <w:pageBreakBefore w:val="0"/>
        <w:kinsoku/>
        <w:overflowPunct/>
        <w:topLinePunct w:val="0"/>
        <w:autoSpaceDE/>
        <w:autoSpaceDN/>
        <w:bidi w:val="0"/>
        <w:snapToGrid w:val="0"/>
        <w:spacing w:before="156" w:beforeLines="50" w:after="312" w:afterLines="100" w:line="240" w:lineRule="auto"/>
        <w:ind w:firstLine="0" w:firstLineChars="0"/>
        <w:jc w:val="left"/>
        <w:textAlignment w:val="auto"/>
        <w:rPr>
          <w:rFonts w:hint="eastAsia" w:ascii="仿宋" w:hAnsi="仿宋" w:eastAsia="仿宋" w:cs="仿宋"/>
          <w:b/>
          <w:bCs/>
          <w:color w:val="auto"/>
          <w:kern w:val="0"/>
          <w:sz w:val="32"/>
          <w:szCs w:val="32"/>
          <w:highlight w:val="none"/>
        </w:rPr>
      </w:pPr>
    </w:p>
    <w:p w14:paraId="61034C06">
      <w:pPr>
        <w:pStyle w:val="21"/>
        <w:pageBreakBefore w:val="0"/>
        <w:kinsoku/>
        <w:overflowPunct/>
        <w:topLinePunct w:val="0"/>
        <w:autoSpaceDE/>
        <w:autoSpaceDN/>
        <w:bidi w:val="0"/>
        <w:snapToGrid w:val="0"/>
        <w:spacing w:before="156" w:beforeLines="50" w:after="312" w:afterLines="100" w:line="240" w:lineRule="auto"/>
        <w:ind w:firstLine="0" w:firstLineChars="0"/>
        <w:jc w:val="left"/>
        <w:textAlignment w:val="auto"/>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rPr>
        <w:t>附件</w:t>
      </w:r>
      <w:r>
        <w:rPr>
          <w:rFonts w:hint="eastAsia" w:ascii="仿宋" w:hAnsi="仿宋" w:eastAsia="仿宋" w:cs="仿宋"/>
          <w:b/>
          <w:bCs/>
          <w:color w:val="auto"/>
          <w:kern w:val="0"/>
          <w:sz w:val="32"/>
          <w:szCs w:val="32"/>
          <w:highlight w:val="none"/>
          <w:lang w:val="en-US" w:eastAsia="zh-CN"/>
        </w:rPr>
        <w:t>5</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7</w:t>
      </w:r>
      <w:r>
        <w:rPr>
          <w:rFonts w:hint="eastAsia" w:ascii="仿宋" w:hAnsi="仿宋" w:eastAsia="仿宋" w:cs="仿宋"/>
          <w:b/>
          <w:bCs/>
          <w:color w:val="auto"/>
          <w:kern w:val="0"/>
          <w:sz w:val="32"/>
          <w:szCs w:val="32"/>
          <w:highlight w:val="none"/>
        </w:rPr>
        <w:t>：</w:t>
      </w:r>
      <w:r>
        <w:rPr>
          <w:rFonts w:hint="eastAsia" w:ascii="仿宋" w:hAnsi="仿宋" w:eastAsia="仿宋" w:cs="仿宋"/>
          <w:b/>
          <w:bCs/>
          <w:color w:val="auto"/>
          <w:kern w:val="0"/>
          <w:sz w:val="32"/>
          <w:szCs w:val="32"/>
          <w:highlight w:val="none"/>
          <w:lang w:val="en-US" w:eastAsia="zh-CN"/>
        </w:rPr>
        <w:t>承诺函</w:t>
      </w:r>
    </w:p>
    <w:p w14:paraId="3CFA3E7B">
      <w:pPr>
        <w:pStyle w:val="21"/>
        <w:keepNext w:val="0"/>
        <w:keepLines w:val="0"/>
        <w:pageBreakBefore w:val="0"/>
        <w:kinsoku/>
        <w:overflowPunct/>
        <w:topLinePunct w:val="0"/>
        <w:autoSpaceDE/>
        <w:autoSpaceDN/>
        <w:bidi w:val="0"/>
        <w:snapToGrid w:val="0"/>
        <w:spacing w:before="156" w:beforeLines="50" w:after="312" w:afterLines="100" w:line="240" w:lineRule="auto"/>
        <w:ind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承诺函</w:t>
      </w:r>
    </w:p>
    <w:p w14:paraId="08602E76">
      <w:pPr>
        <w:keepNext w:val="0"/>
        <w:keepLines w:val="0"/>
        <w:pageBreakBefore w:val="0"/>
        <w:kinsoku/>
        <w:overflowPunct/>
        <w:topLinePunct w:val="0"/>
        <w:autoSpaceDE/>
        <w:autoSpaceDN/>
        <w:bidi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四川省妇幼保健院：</w:t>
      </w:r>
    </w:p>
    <w:p w14:paraId="6E783DA4">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本供应商</w:t>
      </w:r>
      <w:r>
        <w:rPr>
          <w:rFonts w:hint="eastAsia" w:ascii="仿宋" w:hAnsi="仿宋" w:eastAsia="仿宋" w:cs="仿宋"/>
          <w:color w:val="auto"/>
          <w:sz w:val="28"/>
          <w:szCs w:val="28"/>
          <w:highlight w:val="none"/>
          <w:u w:val="single"/>
        </w:rPr>
        <w:t xml:space="preserve">      （供应商全称）        </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）的磋商活动，现郑重承诺：</w:t>
      </w:r>
    </w:p>
    <w:p w14:paraId="0235A9CC">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一、具备本项目规定的条件：</w:t>
      </w:r>
    </w:p>
    <w:p w14:paraId="30457D2A">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（一）具有独立承担民事责任的能力； </w:t>
      </w:r>
    </w:p>
    <w:p w14:paraId="094045F9">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（二）具有良好的商业信誉和健全的财务会计制度； </w:t>
      </w:r>
    </w:p>
    <w:p w14:paraId="249CAE20">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（三）具有履行合同所必需的设备和专业技术能力； </w:t>
      </w:r>
    </w:p>
    <w:p w14:paraId="261D9DB1">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（四）有依法缴纳税收和社会保障资金的良好记录； </w:t>
      </w:r>
    </w:p>
    <w:p w14:paraId="7C5C6EB4">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（五）参加采购活动前三年内，在经营活动中没有重大违法记录；</w:t>
      </w:r>
    </w:p>
    <w:p w14:paraId="1B656F33">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（六）法律、行政法规规定的其他条件；</w:t>
      </w:r>
    </w:p>
    <w:p w14:paraId="6AD04769">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509F025C">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50B79980">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四、参加本次磋商采购活动，不存在和其他供应商在同一合同项下的采购项目中，同时委托同一个自然人、同一家庭的人员、同一单位的人员作为代理人的行为。</w:t>
      </w:r>
    </w:p>
    <w:p w14:paraId="401F30C1">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29E68268">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六、国家或行业主管部门对采购产品的技术标准、质量标准和资格资质条件等有强制性规定的，我方承诺符合其要求。</w:t>
      </w:r>
    </w:p>
    <w:p w14:paraId="2B67FD33">
      <w:pPr>
        <w:keepNext w:val="0"/>
        <w:keepLines w:val="0"/>
        <w:pageBreakBefore w:val="0"/>
        <w:kinsoku/>
        <w:overflowPunct/>
        <w:topLinePunct w:val="0"/>
        <w:autoSpaceDE/>
        <w:autoSpaceDN/>
        <w:bidi w:val="0"/>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本公司对上述承诺的内容事项真实性负责。如经查实上述承诺的内容事项存在虚假，本单位愿意接受以提供虚假材料谋取成交追究法律责任。</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p>
    <w:p w14:paraId="5B277EEB">
      <w:pPr>
        <w:keepNext w:val="0"/>
        <w:keepLines w:val="0"/>
        <w:pageBreakBefore w:val="0"/>
        <w:kinsoku/>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rPr>
      </w:pPr>
    </w:p>
    <w:p w14:paraId="457FC089">
      <w:pPr>
        <w:keepNext w:val="0"/>
        <w:keepLines w:val="0"/>
        <w:pageBreakBefore w:val="0"/>
        <w:kinsoku/>
        <w:overflowPunct/>
        <w:topLinePunct w:val="0"/>
        <w:autoSpaceDE/>
        <w:autoSpaceDN/>
        <w:bidi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        （盖章）</w:t>
      </w:r>
    </w:p>
    <w:p w14:paraId="3313ABB2">
      <w:pPr>
        <w:keepNext w:val="0"/>
        <w:keepLines w:val="0"/>
        <w:pageBreakBefore w:val="0"/>
        <w:kinsoku/>
        <w:overflowPunct/>
        <w:topLinePunct w:val="0"/>
        <w:autoSpaceDE/>
        <w:autoSpaceDN/>
        <w:bidi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w:t>
      </w:r>
      <w:r>
        <w:rPr>
          <w:rFonts w:hint="eastAsia" w:ascii="仿宋" w:hAnsi="仿宋" w:eastAsia="仿宋" w:cs="仿宋"/>
          <w:color w:val="auto"/>
          <w:sz w:val="28"/>
          <w:szCs w:val="28"/>
          <w:highlight w:val="none"/>
          <w:u w:val="single"/>
        </w:rPr>
        <w:t>签字或盖章</w:t>
      </w:r>
      <w:r>
        <w:rPr>
          <w:rFonts w:hint="eastAsia" w:ascii="仿宋" w:hAnsi="仿宋" w:eastAsia="仿宋" w:cs="仿宋"/>
          <w:color w:val="auto"/>
          <w:sz w:val="28"/>
          <w:szCs w:val="28"/>
          <w:highlight w:val="none"/>
        </w:rPr>
        <w:t>）：</w:t>
      </w:r>
    </w:p>
    <w:p w14:paraId="2DB3CAE5">
      <w:pPr>
        <w:keepNext w:val="0"/>
        <w:keepLines w:val="0"/>
        <w:pageBreakBefore w:val="0"/>
        <w:kinsoku/>
        <w:overflowPunct/>
        <w:topLinePunct w:val="0"/>
        <w:autoSpaceDE/>
        <w:autoSpaceDN/>
        <w:bidi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335C3190">
      <w:pPr>
        <w:pStyle w:val="9"/>
        <w:keepNext w:val="0"/>
        <w:keepLines w:val="0"/>
        <w:pageBreakBefore w:val="0"/>
        <w:kinsoku/>
        <w:overflowPunct/>
        <w:topLinePunct w:val="0"/>
        <w:autoSpaceDE/>
        <w:autoSpaceDN/>
        <w:bidi w:val="0"/>
        <w:spacing w:line="240" w:lineRule="auto"/>
        <w:textAlignment w:val="auto"/>
        <w:rPr>
          <w:rFonts w:hint="eastAsia" w:ascii="仿宋" w:hAnsi="仿宋" w:eastAsia="仿宋" w:cs="仿宋"/>
          <w:color w:val="auto"/>
          <w:sz w:val="28"/>
          <w:szCs w:val="28"/>
          <w:highlight w:val="none"/>
        </w:rPr>
        <w:sectPr>
          <w:pgSz w:w="11906" w:h="16838"/>
          <w:pgMar w:top="1440" w:right="1800" w:bottom="1440" w:left="1800" w:header="851" w:footer="992" w:gutter="0"/>
          <w:cols w:space="425" w:num="1"/>
          <w:docGrid w:type="lines" w:linePitch="312" w:charSpace="0"/>
        </w:sectPr>
      </w:pPr>
    </w:p>
    <w:p w14:paraId="66855273">
      <w:pPr>
        <w:keepNext w:val="0"/>
        <w:keepLines w:val="0"/>
        <w:pageBreakBefore w:val="0"/>
        <w:widowControl/>
        <w:shd w:val="clear" w:color="auto" w:fill="FFFFFF"/>
        <w:kinsoku/>
        <w:wordWrap w:val="0"/>
        <w:overflowPunct/>
        <w:topLinePunct w:val="0"/>
        <w:autoSpaceDE/>
        <w:autoSpaceDN/>
        <w:bidi w:val="0"/>
        <w:spacing w:line="24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p>
    <w:p w14:paraId="54111E96">
      <w:pPr>
        <w:keepNext w:val="0"/>
        <w:keepLines w:val="0"/>
        <w:pageBreakBefore w:val="0"/>
        <w:widowControl/>
        <w:shd w:val="clear" w:color="auto" w:fill="FFFFFF"/>
        <w:kinsoku/>
        <w:wordWrap w:val="0"/>
        <w:overflowPunct/>
        <w:topLinePunct w:val="0"/>
        <w:autoSpaceDE/>
        <w:autoSpaceDN/>
        <w:bidi w:val="0"/>
        <w:spacing w:line="240" w:lineRule="auto"/>
        <w:jc w:val="center"/>
        <w:textAlignment w:val="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反商业贿赂承诺书</w:t>
      </w:r>
    </w:p>
    <w:p w14:paraId="481A6110">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7AA975F">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4EA33C01">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二、本厂家、商家、公司保证在药品、医疗器械、设备、物资、基建工程竞标工作及药品、试剂销售等工作中承诺做到：</w:t>
      </w:r>
    </w:p>
    <w:p w14:paraId="375403E1">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1、不与其他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相互串通投标报价，损害贵院的合法权益；</w:t>
      </w:r>
    </w:p>
    <w:p w14:paraId="5D4EED94">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2、不与招标人串通投标，损害国家利益、社会公共利益或他人的合法权益；</w:t>
      </w:r>
    </w:p>
    <w:p w14:paraId="290BCD1B">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3、不以向招标人或者评标委员会成员行贿的手段谋取中标；</w:t>
      </w:r>
    </w:p>
    <w:p w14:paraId="5377753B">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4、竞标报价不违反相关法律的规定，也不以他人名义投标或者以其他方式弄虚作假，骗取中标；</w:t>
      </w:r>
    </w:p>
    <w:p w14:paraId="6F7D108B">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5、保证不以其他任何方式扰乱贵院的招标工作；</w:t>
      </w:r>
    </w:p>
    <w:p w14:paraId="74DFBCB1">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6、保证不在药品销售、医疗器械、设备、物资、基建工程竞标中采取账外暗中给予回扣的手段腐蚀、贿赂医护、药剂人员、干部等其他相关人员；</w:t>
      </w:r>
    </w:p>
    <w:p w14:paraId="5FAA218A">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7、保证不以任何名义包括以宣传费、临床促销费、开单费、处方费、广告费、免费度假、考察旅游、房屋装修等任何名义给予贵院采购人员、药剂人员、医护人员、干部等有关人员以财物或者其他利益；</w:t>
      </w:r>
    </w:p>
    <w:p w14:paraId="1A0A3D74">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8、保证不让贵院临床科室、药剂部门以及有关人员登记、统计医生处方或为此提供方便，干扰贵院的正常工作秩序；</w:t>
      </w:r>
    </w:p>
    <w:p w14:paraId="77D75F5B">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9、保证不以其他任何不正当竞争手段推销药品、医疗器械、设备、物资。</w:t>
      </w:r>
    </w:p>
    <w:p w14:paraId="4A28E1D8">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三、本厂家、商家、公司保证竭力维护贵院的声誉，不做任何有损贵院形象的事情。</w:t>
      </w:r>
    </w:p>
    <w:p w14:paraId="03536645">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68B9140">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五、对本厂家、商家、公司及本厂家、商家、公司工作人员采取以上手段竞标、促销等，干扰贵院正常工作秩序，损害贵院形象的，本厂家、商家、公司保证：</w:t>
      </w:r>
    </w:p>
    <w:p w14:paraId="5A9CEA6B">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1、对尚处在竞标阶段的，贵院有权取消本厂家、商家、公司的竞标资格；已经中标的，贵院有权取消中标；对已经获得准入资格的，贵院有权随时取消本厂家、商家、公司的准入资格；</w:t>
      </w:r>
    </w:p>
    <w:p w14:paraId="40E80EC7">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2、对本厂家、商家、公司相关工作人员作出严肃处理；</w:t>
      </w:r>
    </w:p>
    <w:p w14:paraId="4B670E0F">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3、对由于本厂家、商家、公司或本厂家、商家、公司工作人员的上述行为给贵院造成经济或名誉损失的，由本厂家、商家、公司负责，并愿意承担全部民事赔偿责任。</w:t>
      </w:r>
    </w:p>
    <w:p w14:paraId="5102F20E">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六、采购物资名称：</w:t>
      </w:r>
    </w:p>
    <w:p w14:paraId="40FFBC9A">
      <w:pPr>
        <w:keepNext w:val="0"/>
        <w:keepLines w:val="0"/>
        <w:pageBreakBefore w:val="0"/>
        <w:widowControl/>
        <w:shd w:val="clear" w:color="auto" w:fill="FFFFFF"/>
        <w:kinsoku/>
        <w:wordWrap w:val="0"/>
        <w:overflowPunct/>
        <w:topLinePunct w:val="0"/>
        <w:autoSpaceDE/>
        <w:autoSpaceDN/>
        <w:bidi w:val="0"/>
        <w:adjustRightInd/>
        <w:snapToGrid/>
        <w:spacing w:line="3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本《承诺书》一式二份（一份由承诺人自存；一份随投标文件装订）</w:t>
      </w:r>
    </w:p>
    <w:p w14:paraId="3B18BA97">
      <w:pPr>
        <w:keepNext w:val="0"/>
        <w:keepLines w:val="0"/>
        <w:pageBreakBefore w:val="0"/>
        <w:widowControl/>
        <w:shd w:val="clear" w:color="auto" w:fill="FFFFFF"/>
        <w:kinsoku/>
        <w:wordWrap w:val="0"/>
        <w:overflowPunct/>
        <w:topLinePunct w:val="0"/>
        <w:autoSpaceDE/>
        <w:autoSpaceDN/>
        <w:bidi w:val="0"/>
        <w:adjustRightInd/>
        <w:snapToGrid/>
        <w:spacing w:line="300" w:lineRule="exact"/>
        <w:ind w:firstLine="240" w:firstLineChars="100"/>
        <w:jc w:val="left"/>
        <w:textAlignment w:val="auto"/>
        <w:rPr>
          <w:rFonts w:hint="eastAsia" w:ascii="仿宋" w:hAnsi="仿宋" w:eastAsia="仿宋" w:cs="仿宋"/>
          <w:b/>
          <w:bCs/>
          <w:color w:val="auto"/>
          <w:kern w:val="0"/>
          <w:sz w:val="28"/>
          <w:szCs w:val="28"/>
          <w:highlight w:val="none"/>
          <w:shd w:val="clear" w:color="auto" w:fill="FFFFFF"/>
        </w:rPr>
        <w:sectPr>
          <w:pgSz w:w="11906" w:h="16838"/>
          <w:pgMar w:top="1020" w:right="1800" w:bottom="1440" w:left="1800" w:header="851" w:footer="992" w:gutter="0"/>
          <w:cols w:space="425" w:num="1"/>
          <w:docGrid w:type="lines" w:linePitch="312" w:charSpace="0"/>
        </w:sectPr>
      </w:pPr>
      <w:r>
        <w:rPr>
          <w:rFonts w:hint="eastAsia" w:ascii="仿宋" w:hAnsi="仿宋" w:eastAsia="仿宋" w:cs="仿宋"/>
          <w:color w:val="auto"/>
          <w:kern w:val="0"/>
          <w:sz w:val="24"/>
          <w:szCs w:val="24"/>
          <w:highlight w:val="none"/>
        </w:rPr>
        <w:t>承诺企业名称（公章）法人代表或委托代理人（承诺人）</w:t>
      </w:r>
    </w:p>
    <w:p w14:paraId="2C241D85">
      <w:pPr>
        <w:keepNext w:val="0"/>
        <w:keepLines w:val="0"/>
        <w:pageBreakBefore w:val="0"/>
        <w:widowControl/>
        <w:shd w:val="clear" w:color="auto" w:fill="FFFFFF"/>
        <w:kinsoku/>
        <w:wordWrap w:val="0"/>
        <w:overflowPunct/>
        <w:topLinePunct w:val="0"/>
        <w:autoSpaceDE/>
        <w:autoSpaceDN/>
        <w:bidi w:val="0"/>
        <w:spacing w:line="240" w:lineRule="auto"/>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附件</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w:t>
      </w:r>
    </w:p>
    <w:p w14:paraId="0D74FA44">
      <w:pPr>
        <w:pStyle w:val="7"/>
        <w:keepNext w:val="0"/>
        <w:keepLines w:val="0"/>
        <w:pageBreakBefore w:val="0"/>
        <w:kinsoku/>
        <w:overflowPunct/>
        <w:topLinePunct w:val="0"/>
        <w:autoSpaceDE/>
        <w:autoSpaceDN/>
        <w:bidi w:val="0"/>
        <w:spacing w:line="240" w:lineRule="auto"/>
        <w:ind w:firstLine="2108" w:firstLineChars="750"/>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 无围标、串标行为承诺书</w:t>
      </w:r>
    </w:p>
    <w:p w14:paraId="59861703">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本公司郑重承诺：我公司自觉遵守《中华人民共和国政府采购法》和《中华人民共和国政府采购法实施条例》的有关规定，我公司在参加本次项目（项目名称：XXXXXXX）采购活动中，无以下围标、串标行为：</w:t>
      </w:r>
    </w:p>
    <w:p w14:paraId="30E30DBB">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1.不同供应商的投标文件由同一单位或者个人编制；</w:t>
      </w:r>
    </w:p>
    <w:p w14:paraId="50813657">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2.不同供应商委托同一单位或者个人办理投标事宜；</w:t>
      </w:r>
    </w:p>
    <w:p w14:paraId="0C561FC0">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3.不同供应商的投标文件载明的项目管理成员或者联系人员为同一人；</w:t>
      </w:r>
    </w:p>
    <w:p w14:paraId="3D6C0F1F">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4.不同供应商的投标文件异常一致或者投标报价呈规律性差异；</w:t>
      </w:r>
    </w:p>
    <w:p w14:paraId="288F757F">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5.不同供应商的投标文件相互混装；</w:t>
      </w:r>
    </w:p>
    <w:p w14:paraId="791C722C">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6.不同供应商的投标保证金从同一单位或者个人的账户转出；</w:t>
      </w:r>
    </w:p>
    <w:p w14:paraId="60AA8AB7">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7.不同供应商的董事、监事、高管、单位负责人为同一人或者存在控股、管理关系的不同单位参加同一采购项目；</w:t>
      </w:r>
    </w:p>
    <w:p w14:paraId="5E9D263E">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8.供应商之间事先约定由某一特定供应商中标、成交；</w:t>
      </w:r>
    </w:p>
    <w:p w14:paraId="6AE0FB1D">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9.供应商之间商定部分供应商放弃参加采购活动或者放弃中标、成交；</w:t>
      </w:r>
    </w:p>
    <w:p w14:paraId="2109ABDD">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10.法律法规界定的其他围标串标行为。</w:t>
      </w:r>
    </w:p>
    <w:p w14:paraId="5B6108AD">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14:paraId="1FF9D324">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p>
    <w:p w14:paraId="2D6A2E68">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法人代表或委托代理人（承诺人） ：</w:t>
      </w:r>
    </w:p>
    <w:p w14:paraId="457AB976">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 xml:space="preserve">：（公章）  </w:t>
      </w:r>
    </w:p>
    <w:p w14:paraId="38717583">
      <w:pPr>
        <w:keepNext w:val="0"/>
        <w:keepLines w:val="0"/>
        <w:pageBreakBefore w:val="0"/>
        <w:widowControl/>
        <w:shd w:val="clear" w:color="auto" w:fill="FFFFFF"/>
        <w:kinsoku/>
        <w:wordWrap w:val="0"/>
        <w:overflowPunct/>
        <w:topLinePunct w:val="0"/>
        <w:autoSpaceDE/>
        <w:autoSpaceDN/>
        <w:bidi w:val="0"/>
        <w:spacing w:line="24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2DCFCE8">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p>
    <w:p w14:paraId="16CD7E2F">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32"/>
          <w:szCs w:val="32"/>
          <w:highlight w:val="none"/>
        </w:rPr>
      </w:pPr>
    </w:p>
    <w:p w14:paraId="18E8C88B">
      <w:pPr>
        <w:pageBreakBefore w:val="0"/>
        <w:kinsoku/>
        <w:autoSpaceDE/>
        <w:autoSpaceDN/>
        <w:bidi w:val="0"/>
        <w:spacing w:line="240" w:lineRule="auto"/>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br w:type="page"/>
      </w:r>
    </w:p>
    <w:p w14:paraId="6A3E55A3">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32"/>
          <w:szCs w:val="32"/>
          <w:highlight w:val="none"/>
        </w:rPr>
      </w:pPr>
      <w:r>
        <w:rPr>
          <w:rFonts w:hint="eastAsia" w:ascii="仿宋" w:hAnsi="仿宋" w:eastAsia="仿宋" w:cs="仿宋"/>
          <w:bCs/>
          <w:color w:val="auto"/>
          <w:kern w:val="0"/>
          <w:sz w:val="32"/>
          <w:szCs w:val="32"/>
          <w:highlight w:val="none"/>
        </w:rPr>
        <w:t>附件</w:t>
      </w:r>
      <w:r>
        <w:rPr>
          <w:rFonts w:hint="eastAsia" w:ascii="仿宋" w:hAnsi="仿宋" w:eastAsia="仿宋" w:cs="仿宋"/>
          <w:bCs/>
          <w:color w:val="auto"/>
          <w:kern w:val="0"/>
          <w:sz w:val="32"/>
          <w:szCs w:val="32"/>
          <w:highlight w:val="none"/>
          <w:lang w:val="en-US" w:eastAsia="zh-CN"/>
        </w:rPr>
        <w:t>8</w:t>
      </w:r>
      <w:r>
        <w:rPr>
          <w:rFonts w:hint="eastAsia" w:ascii="仿宋" w:hAnsi="仿宋" w:eastAsia="仿宋" w:cs="仿宋"/>
          <w:bCs/>
          <w:color w:val="auto"/>
          <w:kern w:val="0"/>
          <w:sz w:val="32"/>
          <w:szCs w:val="32"/>
          <w:highlight w:val="none"/>
        </w:rPr>
        <w:t>：</w:t>
      </w:r>
    </w:p>
    <w:p w14:paraId="6D4E82FF">
      <w:pPr>
        <w:pageBreakBefore w:val="0"/>
        <w:widowControl/>
        <w:kinsoku/>
        <w:autoSpaceDE/>
        <w:autoSpaceDN/>
        <w:bidi w:val="0"/>
        <w:spacing w:line="240" w:lineRule="auto"/>
        <w:jc w:val="center"/>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供应商遵守招标采购纪律承诺书</w:t>
      </w:r>
    </w:p>
    <w:p w14:paraId="3284F25E">
      <w:pPr>
        <w:pageBreakBefore w:val="0"/>
        <w:widowControl/>
        <w:shd w:val="clear" w:color="auto" w:fill="FFFFFF"/>
        <w:kinsoku/>
        <w:wordWrap w:val="0"/>
        <w:autoSpaceDE/>
        <w:autoSpaceDN/>
        <w:bidi w:val="0"/>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致四川省妇幼保健院：</w:t>
      </w:r>
    </w:p>
    <w:p w14:paraId="1B17DE2E">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我单位作为本次采购项目的供应商，根据</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文件要求，现郑重承诺如下：</w:t>
      </w:r>
    </w:p>
    <w:p w14:paraId="54145633">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一、参加本次采购活动，我单位不存在与单位负责人为同一人或者存在直接控股、管理关系的其他供应商参与同一合同项下的采购活动的行为。</w:t>
      </w:r>
    </w:p>
    <w:p w14:paraId="36F54DF5">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二、参加本次采购活动，不得直接或者间接从采购人或者采购代理机构处获得其他供应商的相关情况并修改其投标文件或者响应文件。</w:t>
      </w:r>
    </w:p>
    <w:p w14:paraId="01FCD289">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三、参加本次采购活动，不得按照采购人的授意撤换、修改投标文件或者响应文件。</w:t>
      </w:r>
    </w:p>
    <w:p w14:paraId="6C09259F">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四、参加本次采购活动，不得和本次采购供应商之间协商报价、技术方案等投标文件或者响应文件的实质性内容。</w:t>
      </w:r>
    </w:p>
    <w:p w14:paraId="71C8A92C">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五、本次采购活动中，不存在属于同一集团、协会、商会等组织成员的供应商按照该组织要求协同参加本次采购活动。</w:t>
      </w:r>
    </w:p>
    <w:p w14:paraId="3664CF03">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六、参加本次采购活动，不存在与其他供应商之间事先约定由某一特定供应商中标、成交。</w:t>
      </w:r>
    </w:p>
    <w:p w14:paraId="0C0E9E8B">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七、参加本次采购活动，不存在与其他供应商商定部分供应商放弃参加采购活动或者放弃中标、成交。</w:t>
      </w:r>
    </w:p>
    <w:p w14:paraId="497750E0">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八、参加本次采购活动，不存在我单位的投标文件或者响应文件由其他参与本项目的单位或个人编制或委托办理投标事宜。</w:t>
      </w:r>
    </w:p>
    <w:p w14:paraId="2F349C42">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九、参加本次采购活动，不存在我单位与采购人之间、供应商相互之间，为谋求特定供应商中标、成交或者排斥其他供应商的其他串通行为。</w:t>
      </w:r>
    </w:p>
    <w:p w14:paraId="16BC6F46">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十、与我方存在直接控股关系的单位为：_______________；</w:t>
      </w:r>
    </w:p>
    <w:p w14:paraId="74D07D2B">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存在管理关系单位为：____________________________。</w:t>
      </w:r>
    </w:p>
    <w:p w14:paraId="4937C089">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p>
    <w:p w14:paraId="59EAD151">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5C3E458F">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p>
    <w:p w14:paraId="607F5286">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供应商名称（单位公章）：            年    月   日      </w:t>
      </w:r>
    </w:p>
    <w:p w14:paraId="4D8BFE0E">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法定代表人/单位负责人或授权代表</w:t>
      </w:r>
    </w:p>
    <w:p w14:paraId="0BBCC2C4">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（签字或加盖个人名章）：        </w:t>
      </w:r>
    </w:p>
    <w:p w14:paraId="14C8A6A0">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216048BB">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3AAF1D1B">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1.“负责人”是指单位法定代表人或者法律、行政法规规定代表单位行使职权的主要负责人。</w:t>
      </w:r>
    </w:p>
    <w:p w14:paraId="1E89A38E">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14:paraId="4C532E36">
      <w:pPr>
        <w:pageBreakBefore w:val="0"/>
        <w:widowControl/>
        <w:shd w:val="clear" w:color="auto" w:fill="FFFFFF"/>
        <w:kinsoku/>
        <w:wordWrap w:val="0"/>
        <w:autoSpaceDE/>
        <w:autoSpaceDN/>
        <w:bidi w:val="0"/>
        <w:spacing w:line="240" w:lineRule="auto"/>
        <w:ind w:firstLine="42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24"/>
          <w:szCs w:val="24"/>
          <w:highlight w:val="none"/>
        </w:rPr>
        <w:t>3.“管理关系”是指与不具有出资持股关系的单位之间存在的其他管理与被管理关系。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CEA30E2-7314-4D57-A2A8-8014635FD5ED}"/>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A2965AF8-46AE-4D11-8B0F-F7A91AB2457C}"/>
  </w:font>
  <w:font w:name="仿宋">
    <w:panose1 w:val="02010609060101010101"/>
    <w:charset w:val="86"/>
    <w:family w:val="modern"/>
    <w:pitch w:val="default"/>
    <w:sig w:usb0="800002BF" w:usb1="38CF7CFA" w:usb2="00000016" w:usb3="00000000" w:csb0="00040001" w:csb1="00000000"/>
    <w:embedRegular r:id="rId3" w:fontKey="{119B47A0-2D76-49FE-8D2D-3D068CCD0757}"/>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modern"/>
    <w:pitch w:val="default"/>
    <w:sig w:usb0="800002BF" w:usb1="38CF7CFA" w:usb2="00000016" w:usb3="00000000" w:csb0="00040001" w:csb1="00000000"/>
    <w:embedRegular r:id="rId4" w:fontKey="{EC79F8EE-CE59-4586-8C55-CA45513B0BF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EB10C">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FE33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D1FE33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BD7E5"/>
    <w:multiLevelType w:val="singleLevel"/>
    <w:tmpl w:val="BA0BD7E5"/>
    <w:lvl w:ilvl="0" w:tentative="0">
      <w:start w:val="4"/>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19"/>
      <w:lvlText w:val="-"/>
      <w:lvlJc w:val="left"/>
      <w:pPr>
        <w:tabs>
          <w:tab w:val="left" w:pos="927"/>
        </w:tabs>
        <w:ind w:left="562" w:firstLine="5"/>
      </w:pPr>
      <w:rPr>
        <w:rFonts w:hint="eastAsia" w:ascii="宋体" w:hAnsi="Wingdings" w:eastAsia="宋体"/>
        <w:lang w:eastAsia="zh-CN"/>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D4DAE"/>
    <w:rsid w:val="0F8825C6"/>
    <w:rsid w:val="131A7498"/>
    <w:rsid w:val="14FC0436"/>
    <w:rsid w:val="175A543F"/>
    <w:rsid w:val="21BC51D5"/>
    <w:rsid w:val="22EC15D0"/>
    <w:rsid w:val="27941805"/>
    <w:rsid w:val="2B261911"/>
    <w:rsid w:val="2B34402E"/>
    <w:rsid w:val="2F3E204B"/>
    <w:rsid w:val="353A66E5"/>
    <w:rsid w:val="460343E2"/>
    <w:rsid w:val="488C0808"/>
    <w:rsid w:val="48C24FF6"/>
    <w:rsid w:val="49B04D70"/>
    <w:rsid w:val="4DB6131A"/>
    <w:rsid w:val="51475FBA"/>
    <w:rsid w:val="56867584"/>
    <w:rsid w:val="5C1C79E2"/>
    <w:rsid w:val="5D873F71"/>
    <w:rsid w:val="5F4A19DE"/>
    <w:rsid w:val="5FED4DAE"/>
    <w:rsid w:val="62060167"/>
    <w:rsid w:val="691A71F4"/>
    <w:rsid w:val="6D6B47C4"/>
    <w:rsid w:val="73345415"/>
    <w:rsid w:val="734D097C"/>
    <w:rsid w:val="742345E8"/>
    <w:rsid w:val="7F296FC8"/>
    <w:rsid w:val="7F2D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14:ligatures w14:val="standardContextual"/>
    </w:rPr>
  </w:style>
  <w:style w:type="paragraph" w:styleId="4">
    <w:name w:val="heading 3"/>
    <w:basedOn w:val="1"/>
    <w:next w:val="1"/>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14:ligatures w14:val="standardContextual"/>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rPr>
      <w:rFonts w:ascii="Times New Roman"/>
    </w:rPr>
  </w:style>
  <w:style w:type="paragraph" w:styleId="6">
    <w:name w:val="annotation text"/>
    <w:basedOn w:val="1"/>
    <w:semiHidden/>
    <w:unhideWhenUsed/>
    <w:qFormat/>
    <w:uiPriority w:val="0"/>
    <w:pPr>
      <w:jc w:val="left"/>
    </w:pPr>
  </w:style>
  <w:style w:type="paragraph" w:styleId="7">
    <w:name w:val="Body Text"/>
    <w:basedOn w:val="1"/>
    <w:next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Body Text Indent 2"/>
    <w:basedOn w:val="1"/>
    <w:qFormat/>
    <w:uiPriority w:val="0"/>
    <w:pPr>
      <w:spacing w:after="120" w:afterLines="0" w:line="480" w:lineRule="auto"/>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7"/>
    <w:semiHidden/>
    <w:unhideWhenUsed/>
    <w:qFormat/>
    <w:uiPriority w:val="99"/>
    <w:pPr>
      <w:ind w:firstLine="420" w:firstLineChars="100"/>
    </w:pPr>
  </w:style>
  <w:style w:type="paragraph" w:styleId="12">
    <w:name w:val="Body Text First Indent 2"/>
    <w:basedOn w:val="8"/>
    <w:unhideWhenUsed/>
    <w:qFormat/>
    <w:uiPriority w:val="99"/>
    <w:pPr>
      <w:ind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styleId="17">
    <w:name w:val="List Paragraph"/>
    <w:basedOn w:val="1"/>
    <w:qFormat/>
    <w:uiPriority w:val="99"/>
    <w:pPr>
      <w:ind w:firstLine="420" w:firstLineChars="200"/>
    </w:pPr>
  </w:style>
  <w:style w:type="paragraph" w:customStyle="1" w:styleId="18">
    <w:name w:val="U_正文2"/>
    <w:basedOn w:val="1"/>
    <w:qFormat/>
    <w:uiPriority w:val="0"/>
    <w:pPr>
      <w:spacing w:beforeLines="10" w:line="300" w:lineRule="auto"/>
    </w:pPr>
    <w:rPr>
      <w:rFonts w:asciiTheme="minorHAnsi" w:hAnsiTheme="minorHAnsi" w:eastAsiaTheme="minorEastAsia" w:cstheme="minorBidi"/>
      <w:sz w:val="24"/>
      <w:szCs w:val="22"/>
    </w:rPr>
  </w:style>
  <w:style w:type="paragraph" w:customStyle="1" w:styleId="19">
    <w:name w:val="U_编号2"/>
    <w:basedOn w:val="1"/>
    <w:qFormat/>
    <w:uiPriority w:val="0"/>
    <w:pPr>
      <w:numPr>
        <w:ilvl w:val="0"/>
        <w:numId w:val="1"/>
      </w:numPr>
      <w:spacing w:beforeLines="10" w:line="300" w:lineRule="auto"/>
      <w:ind w:left="1124"/>
    </w:pPr>
    <w:rPr>
      <w:sz w:val="24"/>
      <w:szCs w:val="20"/>
    </w:rPr>
  </w:style>
  <w:style w:type="paragraph" w:customStyle="1" w:styleId="20">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21">
    <w:name w:val="GW-正文"/>
    <w:basedOn w:val="1"/>
    <w:qFormat/>
    <w:uiPriority w:val="0"/>
    <w:pPr>
      <w:spacing w:line="360" w:lineRule="auto"/>
      <w:ind w:firstLine="200" w:firstLineChars="200"/>
    </w:pPr>
    <w:rPr>
      <w:rFonts w:eastAsia="仿宋_GB2312"/>
      <w:sz w:val="24"/>
      <w:szCs w:val="24"/>
    </w:rPr>
  </w:style>
  <w:style w:type="paragraph" w:customStyle="1" w:styleId="22">
    <w:name w:val="正文 A"/>
    <w:qFormat/>
    <w:uiPriority w:val="0"/>
    <w:pPr>
      <w:framePr w:wrap="around" w:vAnchor="margin" w:hAnchor="text" w:yAlign="top"/>
      <w:spacing w:after="160" w:line="278" w:lineRule="auto"/>
    </w:pPr>
    <w:rPr>
      <w:rFonts w:ascii="Arial Unicode MS" w:hAnsi="Arial Unicode MS" w:eastAsia="Arial Unicode MS" w:cs="Arial Unicode MS"/>
      <w:color w:val="000000"/>
      <w:sz w:val="22"/>
      <w:szCs w:val="22"/>
      <w:u w:color="000000"/>
      <w:lang w:val="zh-TW" w:eastAsia="zh-TW" w:bidi="ar-SA"/>
    </w:rPr>
  </w:style>
  <w:style w:type="paragraph" w:customStyle="1" w:styleId="23">
    <w:name w:val="列表段落1"/>
    <w:basedOn w:val="1"/>
    <w:qFormat/>
    <w:uiPriority w:val="34"/>
    <w:pPr>
      <w:widowControl/>
      <w:ind w:firstLine="420" w:firstLineChars="200"/>
      <w:jc w:val="left"/>
    </w:pPr>
    <w:rPr>
      <w:rFonts w:ascii="宋体" w:hAnsi="宋体" w:cs="宋体"/>
      <w:kern w:val="0"/>
      <w:sz w:val="24"/>
      <w:szCs w:val="24"/>
    </w:rPr>
  </w:style>
  <w:style w:type="paragraph" w:customStyle="1" w:styleId="24">
    <w:name w:val="Table Paragraph"/>
    <w:basedOn w:val="1"/>
    <w:qFormat/>
    <w:uiPriority w:val="1"/>
    <w:rPr>
      <w:rFonts w:ascii="宋体" w:hAnsi="宋体" w:cs="宋体"/>
      <w:sz w:val="34"/>
      <w:szCs w:val="20"/>
      <w:lang w:val="nl-NL" w:eastAsia="nl-NL" w:bidi="nl-N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5459</Words>
  <Characters>5565</Characters>
  <Lines>0</Lines>
  <Paragraphs>0</Paragraphs>
  <TotalTime>1</TotalTime>
  <ScaleCrop>false</ScaleCrop>
  <LinksUpToDate>false</LinksUpToDate>
  <CharactersWithSpaces>5584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2025-07-17T02:04:00Z</dcterms:created>
  <dc:creator>嫣然一竹</dc:creator>
  <cp:lastModifiedBy>陌若安生</cp:lastModifiedBy>
  <dcterms:modified xsi:type="dcterms:W3CDTF">2025-08-19T02:49:46Z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eyJoZGlkIjoiNTNlYzU2NDZlZWRhZGY1YzdjNGExMDUwNGJjODllMjkiLCJ1c2VySWQiOiI0NTkxNjIxODIifQ==</vt:lpwstr>
  </property>
  <property fmtid="{D5CDD505-2E9C-101B-9397-08002B2CF9AE}" pid="4" name="ICV">
    <vt:lpwstr>0F689460FE524FD0A6244E5983913148_13</vt:lpwstr>
  </property>
</Properties>
</file>