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附件1：</w:t>
      </w:r>
      <w:r>
        <w:rPr>
          <w:rFonts w:hint="eastAsia" w:ascii="仿宋" w:hAnsi="仿宋" w:eastAsia="仿宋" w:cs="仿宋"/>
          <w:b/>
          <w:bCs/>
          <w:sz w:val="28"/>
          <w:szCs w:val="28"/>
          <w:highlight w:val="none"/>
          <w:lang w:val="en-US" w:eastAsia="zh-CN"/>
        </w:rPr>
        <w:t>采购需求</w:t>
      </w:r>
    </w:p>
    <w:p>
      <w:pPr>
        <w:widowControl/>
        <w:tabs>
          <w:tab w:val="left" w:pos="3573"/>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本章中标注“★”号的条款为本项目的实质性要求，供应商应全部满足，否则其投标文件作无效处理。“▲”符号的条款为本项目的重要参数条款，未标识符号的条款为一般参数条款。</w:t>
      </w:r>
    </w:p>
    <w:p>
      <w:pPr>
        <w:pStyle w:val="7"/>
        <w:spacing w:line="360" w:lineRule="auto"/>
        <w:ind w:firstLine="422"/>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sz w:val="32"/>
          <w:szCs w:val="32"/>
        </w:rPr>
        <w:t>一、</w:t>
      </w:r>
      <w:r>
        <w:rPr>
          <w:rFonts w:hint="eastAsia" w:ascii="仿宋" w:hAnsi="仿宋" w:eastAsia="仿宋" w:cs="仿宋"/>
          <w:b/>
          <w:bCs w:val="0"/>
          <w:color w:val="000000" w:themeColor="text1"/>
          <w:sz w:val="32"/>
          <w:szCs w:val="32"/>
          <w14:textFill>
            <w14:solidFill>
              <w14:schemeClr w14:val="tx1"/>
            </w14:solidFill>
          </w14:textFill>
        </w:rPr>
        <w:t>采购清单</w:t>
      </w:r>
    </w:p>
    <w:p>
      <w:pPr>
        <w:pStyle w:val="17"/>
        <w:numPr>
          <w:ilvl w:val="0"/>
          <w:numId w:val="2"/>
        </w:numPr>
        <w:adjustRightInd w:val="0"/>
        <w:spacing w:before="156" w:beforeLines="50" w:after="156" w:afterLines="50" w:line="240" w:lineRule="auto"/>
        <w:ind w:left="0"/>
        <w:contextualSpacing/>
        <w:jc w:val="left"/>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预算：</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万元</w:t>
      </w:r>
    </w:p>
    <w:p>
      <w:pPr>
        <w:pStyle w:val="17"/>
        <w:numPr>
          <w:ilvl w:val="0"/>
          <w:numId w:val="2"/>
        </w:numPr>
        <w:adjustRightInd w:val="0"/>
        <w:spacing w:before="156" w:beforeLines="50" w:after="156" w:afterLines="50" w:line="240" w:lineRule="auto"/>
        <w:ind w:left="0"/>
        <w:contextualSpacing/>
        <w:jc w:val="left"/>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采购</w:t>
      </w:r>
      <w:r>
        <w:rPr>
          <w:rFonts w:hint="eastAsia" w:ascii="仿宋" w:hAnsi="仿宋" w:eastAsia="仿宋" w:cs="仿宋"/>
          <w:bCs/>
          <w:color w:val="000000"/>
          <w:sz w:val="32"/>
          <w:szCs w:val="32"/>
        </w:rPr>
        <w:t>清单</w:t>
      </w:r>
    </w:p>
    <w:tbl>
      <w:tblPr>
        <w:tblStyle w:val="14"/>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4"/>
        <w:gridCol w:w="1701"/>
        <w:gridCol w:w="1701"/>
        <w:gridCol w:w="2151"/>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序号</w:t>
            </w:r>
          </w:p>
        </w:tc>
        <w:tc>
          <w:tcPr>
            <w:tcW w:w="2254"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标的名称</w:t>
            </w:r>
          </w:p>
        </w:tc>
        <w:tc>
          <w:tcPr>
            <w:tcW w:w="1701"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数量</w:t>
            </w:r>
          </w:p>
        </w:tc>
        <w:tc>
          <w:tcPr>
            <w:tcW w:w="1701"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单位</w:t>
            </w:r>
          </w:p>
        </w:tc>
        <w:tc>
          <w:tcPr>
            <w:tcW w:w="2151"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单价</w:t>
            </w:r>
            <w:r>
              <w:rPr>
                <w:rFonts w:hint="eastAsia" w:ascii="仿宋" w:hAnsi="仿宋" w:eastAsia="仿宋" w:cs="仿宋"/>
                <w:b/>
                <w:color w:val="000000" w:themeColor="text1"/>
                <w:sz w:val="32"/>
                <w:szCs w:val="32"/>
                <w14:textFill>
                  <w14:solidFill>
                    <w14:schemeClr w14:val="tx1"/>
                  </w14:solidFill>
                </w14:textFill>
              </w:rPr>
              <w:t>最高限价</w:t>
            </w:r>
          </w:p>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（元）</w:t>
            </w:r>
          </w:p>
        </w:tc>
        <w:tc>
          <w:tcPr>
            <w:tcW w:w="1818" w:type="dxa"/>
            <w:vAlign w:val="center"/>
          </w:tcPr>
          <w:p>
            <w:pPr>
              <w:widowControl/>
              <w:adjustRightInd w:val="0"/>
              <w:snapToGrid w:val="0"/>
              <w:spacing w:after="0"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pPr>
              <w:pStyle w:val="17"/>
              <w:widowControl/>
              <w:adjustRightInd w:val="0"/>
              <w:snapToGrid w:val="0"/>
              <w:spacing w:after="0" w:line="360" w:lineRule="auto"/>
              <w:ind w:left="420" w:firstLine="0" w:firstLineChars="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2254" w:type="dxa"/>
            <w:vAlign w:val="center"/>
          </w:tcPr>
          <w:p>
            <w:pPr>
              <w:widowControl/>
              <w:adjustRightInd w:val="0"/>
              <w:snapToGrid w:val="0"/>
              <w:spacing w:line="300" w:lineRule="exact"/>
              <w:contextualSpacing/>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病案托管服务</w:t>
            </w:r>
          </w:p>
        </w:tc>
        <w:tc>
          <w:tcPr>
            <w:tcW w:w="1701" w:type="dxa"/>
            <w:vAlign w:val="center"/>
          </w:tcPr>
          <w:p>
            <w:pPr>
              <w:widowControl/>
              <w:adjustRightInd w:val="0"/>
              <w:snapToGrid w:val="0"/>
              <w:spacing w:line="300" w:lineRule="exact"/>
              <w:contextualSpacing/>
              <w:jc w:val="center"/>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w:t>
            </w:r>
          </w:p>
        </w:tc>
        <w:tc>
          <w:tcPr>
            <w:tcW w:w="1701" w:type="dxa"/>
            <w:vAlign w:val="center"/>
          </w:tcPr>
          <w:p>
            <w:pPr>
              <w:widowControl/>
              <w:adjustRightInd w:val="0"/>
              <w:snapToGrid w:val="0"/>
              <w:spacing w:line="300" w:lineRule="exact"/>
              <w:contextualSpacing/>
              <w:jc w:val="center"/>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kern w:val="0"/>
                <w:sz w:val="32"/>
                <w:szCs w:val="32"/>
                <w:lang w:val="en-US" w:eastAsia="zh-CN"/>
              </w:rPr>
              <w:t>项</w:t>
            </w:r>
          </w:p>
        </w:tc>
        <w:tc>
          <w:tcPr>
            <w:tcW w:w="2151" w:type="dxa"/>
            <w:vAlign w:val="bottom"/>
          </w:tcPr>
          <w:p>
            <w:pPr>
              <w:widowControl/>
              <w:adjustRightInd w:val="0"/>
              <w:snapToGrid w:val="0"/>
              <w:spacing w:after="0" w:line="360" w:lineRule="auto"/>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sz w:val="32"/>
                <w:szCs w:val="32"/>
              </w:rPr>
              <w:t>1.5元/箱/月</w:t>
            </w:r>
          </w:p>
        </w:tc>
        <w:tc>
          <w:tcPr>
            <w:tcW w:w="1818" w:type="dxa"/>
            <w:vAlign w:val="center"/>
          </w:tcPr>
          <w:p>
            <w:pPr>
              <w:widowControl/>
              <w:adjustRightInd w:val="0"/>
              <w:snapToGrid w:val="0"/>
              <w:spacing w:after="0" w:line="360" w:lineRule="auto"/>
              <w:jc w:val="center"/>
              <w:rPr>
                <w:rFonts w:hint="eastAsia" w:ascii="仿宋" w:hAnsi="仿宋" w:eastAsia="仿宋" w:cs="仿宋"/>
                <w:color w:val="000000" w:themeColor="text1"/>
                <w:sz w:val="32"/>
                <w:szCs w:val="32"/>
                <w14:textFill>
                  <w14:solidFill>
                    <w14:schemeClr w14:val="tx1"/>
                  </w14:solidFill>
                </w14:textFill>
              </w:rPr>
            </w:pPr>
          </w:p>
        </w:tc>
      </w:tr>
    </w:tbl>
    <w:p>
      <w:pPr>
        <w:adjustRightInd w:val="0"/>
        <w:spacing w:line="360" w:lineRule="auto"/>
        <w:rPr>
          <w:rFonts w:hint="eastAsia" w:ascii="仿宋" w:hAnsi="仿宋" w:eastAsia="仿宋" w:cs="仿宋"/>
          <w:b/>
          <w:sz w:val="24"/>
        </w:rPr>
      </w:pPr>
      <w:r>
        <w:rPr>
          <w:rFonts w:hint="eastAsia" w:ascii="仿宋" w:hAnsi="仿宋" w:eastAsia="仿宋" w:cs="仿宋"/>
          <w:b/>
          <w:sz w:val="24"/>
        </w:rPr>
        <w:t xml:space="preserve">    </w:t>
      </w:r>
    </w:p>
    <w:p>
      <w:pPr>
        <w:adjustRightInd w:val="0"/>
        <w:spacing w:line="360" w:lineRule="auto"/>
        <w:ind w:firstLine="281" w:firstLineChars="100"/>
        <w:rPr>
          <w:rFonts w:hint="eastAsia" w:ascii="仿宋" w:hAnsi="仿宋" w:eastAsia="仿宋" w:cs="仿宋"/>
          <w:b/>
          <w:bCs w:val="0"/>
          <w:sz w:val="28"/>
          <w:szCs w:val="28"/>
        </w:rPr>
      </w:pPr>
      <w:r>
        <w:rPr>
          <w:rFonts w:hint="eastAsia" w:ascii="仿宋" w:hAnsi="仿宋" w:eastAsia="仿宋" w:cs="仿宋"/>
          <w:b/>
          <w:bCs w:val="0"/>
          <w:sz w:val="28"/>
          <w:szCs w:val="28"/>
        </w:rPr>
        <w:t>二、技术要求</w:t>
      </w:r>
      <w:r>
        <w:rPr>
          <w:rFonts w:hint="eastAsia" w:ascii="仿宋" w:hAnsi="仿宋" w:eastAsia="仿宋" w:cs="仿宋"/>
          <w:b/>
          <w:bCs w:val="0"/>
          <w:color w:val="000000"/>
          <w:sz w:val="28"/>
          <w:szCs w:val="28"/>
        </w:rPr>
        <w:t>（功能和质量要求）</w:t>
      </w:r>
    </w:p>
    <w:p>
      <w:pPr>
        <w:pStyle w:val="2"/>
        <w:rPr>
          <w:rFonts w:hint="eastAsia" w:ascii="仿宋" w:hAnsi="仿宋" w:eastAsia="仿宋" w:cs="仿宋"/>
          <w:lang w:val="en-US" w:eastAsia="zh-CN"/>
        </w:rPr>
      </w:pPr>
    </w:p>
    <w:p>
      <w:pPr>
        <w:pStyle w:val="10"/>
        <w:widowControl/>
        <w:shd w:val="clear" w:color="auto" w:fill="FFFFFF"/>
        <w:spacing w:beforeAutospacing="0" w:after="240" w:afterAutospacing="0" w:line="351" w:lineRule="atLeast"/>
        <w:ind w:firstLine="480"/>
        <w:rPr>
          <w:rFonts w:hint="eastAsia" w:ascii="仿宋" w:hAnsi="仿宋" w:eastAsia="仿宋" w:cs="仿宋"/>
          <w:sz w:val="32"/>
          <w:szCs w:val="32"/>
        </w:rPr>
      </w:pPr>
      <w:r>
        <w:rPr>
          <w:rFonts w:hint="eastAsia" w:ascii="宋体" w:hAnsi="宋体" w:cs="宋体"/>
          <w:szCs w:val="21"/>
        </w:rPr>
        <w:t>★</w:t>
      </w:r>
      <w:r>
        <w:rPr>
          <w:rFonts w:hint="eastAsia" w:ascii="仿宋" w:hAnsi="仿宋" w:eastAsia="仿宋" w:cs="仿宋"/>
          <w:color w:val="333333"/>
          <w:sz w:val="32"/>
          <w:szCs w:val="32"/>
          <w:shd w:val="clear" w:color="auto" w:fill="FFFFFF"/>
        </w:rPr>
        <w:t>1.存</w:t>
      </w:r>
      <w:r>
        <w:rPr>
          <w:rFonts w:hint="eastAsia" w:ascii="仿宋" w:hAnsi="仿宋" w:eastAsia="仿宋" w:cs="仿宋"/>
          <w:sz w:val="32"/>
          <w:szCs w:val="32"/>
          <w:shd w:val="clear" w:color="auto" w:fill="FFFFFF"/>
        </w:rPr>
        <w:t>储条件满足中华人民共和国档案行业标准《档案保管外包服务管理规范DA/T67-2017》（见附件1）、《档案馆建筑设计规范JGJ 25-2010》（见附件2）相关要求。（提供承诺函并加盖公章）</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2.库房建筑为钢混或框架结构，场地权属清晰，保证在托管期间无法律纠纷。如为租赁库房，租赁期不得低于本项目服务期。</w:t>
      </w:r>
      <w:r>
        <w:rPr>
          <w:rFonts w:hint="eastAsia" w:ascii="仿宋" w:hAnsi="仿宋" w:eastAsia="仿宋" w:cs="仿宋"/>
          <w:sz w:val="32"/>
          <w:szCs w:val="32"/>
          <w:shd w:val="clear" w:color="auto" w:fill="FFFFFF"/>
        </w:rPr>
        <w:t>（提供证明材料或承诺函并加盖公章）</w:t>
      </w:r>
    </w:p>
    <w:p>
      <w:pPr>
        <w:pStyle w:val="10"/>
        <w:widowControl/>
        <w:shd w:val="clear" w:color="auto" w:fill="FFFFFF"/>
        <w:spacing w:beforeAutospacing="0" w:after="240" w:afterAutospacing="0" w:line="351" w:lineRule="atLeast"/>
        <w:ind w:firstLine="480" w:firstLineChars="20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3.提供存储</w:t>
      </w:r>
      <w:r>
        <w:rPr>
          <w:rFonts w:hint="eastAsia" w:ascii="仿宋" w:hAnsi="仿宋" w:eastAsia="仿宋" w:cs="仿宋"/>
          <w:sz w:val="32"/>
          <w:szCs w:val="32"/>
          <w:shd w:val="clear" w:color="auto" w:fill="FFFFFF"/>
        </w:rPr>
        <w:t>场所具体地址</w:t>
      </w:r>
      <w:r>
        <w:rPr>
          <w:rFonts w:hint="eastAsia" w:ascii="仿宋" w:hAnsi="仿宋" w:eastAsia="仿宋" w:cs="仿宋"/>
          <w:color w:val="333333"/>
          <w:sz w:val="32"/>
          <w:szCs w:val="32"/>
          <w:shd w:val="clear" w:color="auto" w:fill="FFFFFF"/>
        </w:rPr>
        <w:t>，且要求距医</w:t>
      </w:r>
      <w:r>
        <w:rPr>
          <w:rFonts w:hint="eastAsia" w:ascii="仿宋" w:hAnsi="仿宋" w:eastAsia="仿宋" w:cs="仿宋"/>
          <w:color w:val="000000" w:themeColor="text1"/>
          <w:sz w:val="32"/>
          <w:szCs w:val="32"/>
          <w:shd w:val="clear" w:color="auto" w:fill="FFFFFF"/>
          <w14:textFill>
            <w14:solidFill>
              <w14:schemeClr w14:val="tx1"/>
            </w14:solidFill>
          </w14:textFill>
        </w:rPr>
        <w:t>院主院区车程在</w:t>
      </w:r>
      <w:r>
        <w:rPr>
          <w:rFonts w:ascii="仿宋" w:hAnsi="仿宋" w:eastAsia="仿宋" w:cs="仿宋"/>
          <w:color w:val="000000" w:themeColor="text1"/>
          <w:sz w:val="32"/>
          <w:szCs w:val="32"/>
          <w:shd w:val="clear" w:color="auto" w:fill="FFFFFF"/>
          <w14:textFill>
            <w14:solidFill>
              <w14:schemeClr w14:val="tx1"/>
            </w14:solidFill>
          </w14:textFill>
        </w:rPr>
        <w:t>60</w:t>
      </w:r>
      <w:r>
        <w:rPr>
          <w:rFonts w:hint="eastAsia" w:ascii="仿宋" w:hAnsi="仿宋" w:eastAsia="仿宋" w:cs="仿宋"/>
          <w:color w:val="000000" w:themeColor="text1"/>
          <w:sz w:val="32"/>
          <w:szCs w:val="32"/>
          <w:shd w:val="clear" w:color="auto" w:fill="FFFFFF"/>
          <w14:textFill>
            <w14:solidFill>
              <w14:schemeClr w14:val="tx1"/>
            </w14:solidFill>
          </w14:textFill>
        </w:rPr>
        <w:t>km以</w:t>
      </w:r>
      <w:r>
        <w:rPr>
          <w:rFonts w:hint="eastAsia" w:ascii="仿宋" w:hAnsi="仿宋" w:eastAsia="仿宋" w:cs="仿宋"/>
          <w:color w:val="333333"/>
          <w:sz w:val="32"/>
          <w:szCs w:val="32"/>
          <w:shd w:val="clear" w:color="auto" w:fill="FFFFFF"/>
        </w:rPr>
        <w:t>内。</w:t>
      </w:r>
      <w:r>
        <w:rPr>
          <w:rFonts w:hint="eastAsia" w:ascii="仿宋" w:hAnsi="仿宋" w:eastAsia="仿宋" w:cs="仿宋"/>
          <w:sz w:val="32"/>
          <w:szCs w:val="32"/>
          <w:shd w:val="clear" w:color="auto" w:fill="FFFFFF"/>
        </w:rPr>
        <w:t>（提供证明材料或承诺函并加盖公章）</w:t>
      </w:r>
    </w:p>
    <w:p>
      <w:pPr>
        <w:pStyle w:val="10"/>
        <w:widowControl/>
        <w:shd w:val="clear" w:color="auto" w:fill="FFFFFF"/>
        <w:spacing w:beforeAutospacing="0" w:after="240" w:afterAutospacing="0" w:line="351" w:lineRule="atLeast"/>
        <w:ind w:firstLine="480" w:firstLineChars="200"/>
        <w:rPr>
          <w:rFonts w:hint="eastAsia" w:ascii="仿宋" w:hAnsi="仿宋" w:eastAsia="仿宋" w:cs="仿宋"/>
          <w:sz w:val="32"/>
          <w:szCs w:val="32"/>
          <w:shd w:val="clear" w:color="auto" w:fill="FFFFFF"/>
        </w:rPr>
      </w:pPr>
      <w:r>
        <w:rPr>
          <w:rFonts w:hint="eastAsia" w:ascii="宋体" w:hAnsi="宋体" w:cs="宋体"/>
          <w:szCs w:val="21"/>
        </w:rPr>
        <w:t>★</w:t>
      </w:r>
      <w:r>
        <w:rPr>
          <w:rFonts w:hint="eastAsia" w:ascii="仿宋" w:hAnsi="仿宋" w:eastAsia="仿宋" w:cs="仿宋"/>
          <w:sz w:val="32"/>
          <w:szCs w:val="32"/>
          <w:shd w:val="clear" w:color="auto" w:fill="FFFFFF"/>
        </w:rPr>
        <w:t>4.按照国家病案存储相关要求，库房符合“防火、防尘、防鼠、防虫、防光、防水、防潮、防盗、防霉、防高温”等“十防”标准，温湿度符合档案管理要求，配备24小时监控系统（库房“十防”功能、温湿度管理、监控系统需提供相应彩色打印照片）。</w:t>
      </w:r>
    </w:p>
    <w:p>
      <w:pPr>
        <w:pStyle w:val="10"/>
        <w:widowControl/>
        <w:shd w:val="clear" w:color="auto" w:fill="FFFFFF"/>
        <w:spacing w:beforeAutospacing="0" w:after="240" w:afterAutospacing="0" w:line="351" w:lineRule="atLeast"/>
        <w:ind w:firstLine="480"/>
        <w:rPr>
          <w:rFonts w:hint="eastAsia" w:ascii="仿宋" w:hAnsi="仿宋" w:eastAsia="仿宋" w:cs="仿宋"/>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5.仓储能力：能划定独立区域存储病案，并承诺有相应扩展空间（每年扩展空间不低20</w:t>
      </w:r>
      <w:r>
        <w:rPr>
          <w:rFonts w:ascii="仿宋" w:hAnsi="仿宋" w:eastAsia="仿宋" w:cs="仿宋"/>
          <w:color w:val="333333"/>
          <w:sz w:val="32"/>
          <w:szCs w:val="32"/>
          <w:shd w:val="clear" w:color="auto" w:fill="FFFFFF"/>
        </w:rPr>
        <w:t>00</w:t>
      </w:r>
      <w:r>
        <w:rPr>
          <w:rFonts w:hint="eastAsia" w:ascii="仿宋" w:hAnsi="仿宋" w:eastAsia="仿宋" w:cs="仿宋"/>
          <w:color w:val="333333"/>
          <w:sz w:val="32"/>
          <w:szCs w:val="32"/>
          <w:shd w:val="clear" w:color="auto" w:fill="FFFFFF"/>
        </w:rPr>
        <w:t>箱）。</w:t>
      </w:r>
      <w:r>
        <w:rPr>
          <w:rFonts w:hint="eastAsia" w:ascii="仿宋" w:hAnsi="仿宋" w:eastAsia="仿宋" w:cs="仿宋"/>
          <w:sz w:val="32"/>
          <w:szCs w:val="32"/>
          <w:shd w:val="clear" w:color="auto" w:fill="FFFFFF"/>
        </w:rPr>
        <w:t>（提供承诺函并加盖公章）</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6.病案箱尺寸约为0.45m×0.33m×0.28m，提供封箱、防虫霉等措施。</w:t>
      </w:r>
    </w:p>
    <w:p>
      <w:pPr>
        <w:pStyle w:val="10"/>
        <w:widowControl/>
        <w:shd w:val="clear" w:color="auto" w:fill="FFFFFF"/>
        <w:spacing w:beforeAutospacing="0" w:after="240" w:afterAutospacing="0" w:line="351" w:lineRule="atLeast"/>
        <w:ind w:firstLine="480"/>
        <w:rPr>
          <w:rFonts w:hint="eastAsia" w:ascii="仿宋" w:hAnsi="仿宋" w:eastAsia="仿宋" w:cs="仿宋"/>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7.</w:t>
      </w:r>
      <w:r>
        <w:rPr>
          <w:rFonts w:hint="eastAsia" w:ascii="仿宋" w:hAnsi="仿宋" w:eastAsia="仿宋" w:cs="仿宋"/>
          <w:sz w:val="32"/>
          <w:szCs w:val="32"/>
          <w:shd w:val="clear" w:color="auto" w:fill="FFFFFF"/>
        </w:rPr>
        <w:t>库房要求仅能存储纸质档案材料，不能存储其他物品。</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8.托管病案实行7*24小时不间断视频监控，能够提供≥6个月的监控视频备查。</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9.提供密闭箱式转运车辆用于托管病案转运，且车辆需配备必要的消防安防等措施，有专人负责押运。转运过程中安全责任由供应商承担。</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10.提供对托管病案检索著录、交接、打包、搬运、装车、转运、卸车、入库上架等服务。负责将采购人原始病案按箱转运至托管库房，过程中发生的所有费用均包含在报价合计中。</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lang w:bidi="ar"/>
        </w:rPr>
        <w:t>11.</w:t>
      </w:r>
      <w:r>
        <w:rPr>
          <w:rFonts w:hint="eastAsia" w:ascii="仿宋" w:hAnsi="仿宋" w:eastAsia="仿宋" w:cs="仿宋"/>
          <w:color w:val="333333"/>
          <w:sz w:val="32"/>
          <w:szCs w:val="32"/>
          <w:shd w:val="clear" w:color="auto" w:fill="FFFFFF"/>
        </w:rPr>
        <w:t>供应商应在接到采购人托管通知后一周内安排病案运输和入库工作。</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12.病案储存出入库与运输应严格管理并提供过程监管，确保原始病案安全。</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sz w:val="32"/>
          <w:szCs w:val="32"/>
        </w:rPr>
        <w:t>13.</w:t>
      </w:r>
      <w:r>
        <w:rPr>
          <w:rFonts w:hint="eastAsia" w:ascii="仿宋" w:hAnsi="仿宋" w:eastAsia="仿宋" w:cs="仿宋"/>
          <w:color w:val="333333"/>
          <w:sz w:val="32"/>
          <w:szCs w:val="32"/>
          <w:shd w:val="clear" w:color="auto" w:fill="FFFFFF"/>
        </w:rPr>
        <w:t>有完善的库房安全管理、交接、保管、信息保密、查借阅等制度。</w:t>
      </w:r>
    </w:p>
    <w:p>
      <w:pPr>
        <w:pStyle w:val="10"/>
        <w:widowControl/>
        <w:shd w:val="clear" w:color="auto" w:fill="FFFFFF"/>
        <w:spacing w:beforeAutospacing="0" w:after="135" w:afterAutospacing="0" w:line="27" w:lineRule="atLeast"/>
        <w:ind w:firstLine="480" w:firstLineChars="20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rPr>
        <w:t>14.供应商应确保所托管病案内容保密，未经许可不得擅自开启已密封病案箱，不翻阅、不泄露病案信息，履行保密责任。</w:t>
      </w:r>
      <w:r>
        <w:rPr>
          <w:rFonts w:hint="eastAsia" w:ascii="仿宋" w:hAnsi="仿宋" w:eastAsia="仿宋" w:cs="仿宋"/>
          <w:color w:val="333333"/>
          <w:sz w:val="32"/>
          <w:szCs w:val="32"/>
          <w:shd w:val="clear" w:color="auto" w:fill="FFFFFF"/>
          <w:lang w:bidi="ar"/>
        </w:rPr>
        <w:t>（提供承诺函</w:t>
      </w:r>
      <w:r>
        <w:rPr>
          <w:rFonts w:hint="eastAsia" w:ascii="仿宋" w:hAnsi="仿宋" w:eastAsia="仿宋" w:cs="仿宋"/>
          <w:sz w:val="32"/>
          <w:szCs w:val="32"/>
          <w:shd w:val="clear" w:color="auto" w:fill="FFFFFF"/>
        </w:rPr>
        <w:t>并加盖公章</w:t>
      </w:r>
      <w:r>
        <w:rPr>
          <w:rFonts w:hint="eastAsia" w:ascii="仿宋" w:hAnsi="仿宋" w:eastAsia="仿宋" w:cs="仿宋"/>
          <w:color w:val="333333"/>
          <w:sz w:val="32"/>
          <w:szCs w:val="32"/>
          <w:shd w:val="clear" w:color="auto" w:fill="FFFFFF"/>
          <w:lang w:bidi="ar"/>
        </w:rPr>
        <w:t>）</w:t>
      </w:r>
    </w:p>
    <w:p>
      <w:pPr>
        <w:pStyle w:val="10"/>
        <w:widowControl/>
        <w:shd w:val="clear" w:color="auto" w:fill="FFFFFF"/>
        <w:spacing w:beforeAutospacing="0" w:after="240" w:afterAutospacing="0" w:line="351" w:lineRule="atLeast"/>
        <w:ind w:firstLine="480"/>
        <w:rPr>
          <w:rFonts w:hint="eastAsia" w:ascii="仿宋" w:hAnsi="仿宋" w:eastAsia="仿宋" w:cs="仿宋"/>
          <w:color w:val="333333"/>
          <w:sz w:val="32"/>
          <w:szCs w:val="32"/>
          <w:shd w:val="clear" w:color="auto" w:fill="FFFFFF"/>
        </w:rPr>
      </w:pPr>
      <w:r>
        <w:rPr>
          <w:rFonts w:hint="eastAsia" w:ascii="宋体" w:hAnsi="宋体" w:cs="宋体"/>
          <w:szCs w:val="21"/>
        </w:rPr>
        <w:t>★</w:t>
      </w:r>
      <w:r>
        <w:rPr>
          <w:rFonts w:hint="eastAsia" w:ascii="仿宋" w:hAnsi="仿宋" w:eastAsia="仿宋" w:cs="仿宋"/>
          <w:color w:val="333333"/>
          <w:sz w:val="32"/>
          <w:szCs w:val="32"/>
          <w:shd w:val="clear" w:color="auto" w:fill="FFFFFF"/>
          <w:lang w:bidi="ar"/>
        </w:rPr>
        <w:t>15.</w:t>
      </w:r>
      <w:r>
        <w:rPr>
          <w:rFonts w:hint="eastAsia" w:ascii="仿宋" w:hAnsi="仿宋" w:eastAsia="仿宋" w:cs="仿宋"/>
          <w:color w:val="333333"/>
          <w:sz w:val="32"/>
          <w:szCs w:val="32"/>
          <w:shd w:val="clear" w:color="auto" w:fill="FFFFFF"/>
        </w:rPr>
        <w:t>有病案存放突发事件的应急预案，能够应对突发事件处理。</w:t>
      </w:r>
    </w:p>
    <w:p>
      <w:pPr>
        <w:spacing w:line="360" w:lineRule="auto"/>
        <w:ind w:firstLine="480" w:firstLineChars="200"/>
        <w:rPr>
          <w:rFonts w:hint="eastAsia" w:ascii="仿宋" w:hAnsi="仿宋" w:eastAsia="仿宋" w:cs="仿宋"/>
          <w:color w:val="333333"/>
          <w:kern w:val="0"/>
          <w:sz w:val="32"/>
          <w:szCs w:val="32"/>
          <w:shd w:val="clear" w:color="auto" w:fill="FFFFFF"/>
          <w:lang w:bidi="ar"/>
        </w:rPr>
      </w:pPr>
      <w:r>
        <w:rPr>
          <w:rFonts w:hint="eastAsia" w:ascii="宋体" w:hAnsi="宋体" w:cs="宋体"/>
          <w:sz w:val="24"/>
          <w:szCs w:val="21"/>
        </w:rPr>
        <w:t>▲</w:t>
      </w:r>
      <w:r>
        <w:rPr>
          <w:rFonts w:hint="eastAsia" w:ascii="仿宋" w:hAnsi="仿宋" w:eastAsia="仿宋" w:cs="仿宋"/>
          <w:color w:val="333333"/>
          <w:sz w:val="32"/>
          <w:szCs w:val="32"/>
          <w:shd w:val="clear" w:color="auto" w:fill="FFFFFF"/>
        </w:rPr>
        <w:t>16.</w:t>
      </w:r>
      <w:r>
        <w:rPr>
          <w:rFonts w:hint="eastAsia" w:ascii="仿宋" w:hAnsi="仿宋" w:eastAsia="仿宋" w:cs="仿宋"/>
          <w:color w:val="333333"/>
          <w:kern w:val="0"/>
          <w:sz w:val="32"/>
          <w:szCs w:val="32"/>
          <w:shd w:val="clear" w:color="auto" w:fill="FFFFFF"/>
          <w:lang w:bidi="ar"/>
        </w:rPr>
        <w:t>按要求提供病案存储量、入库量、调阅量、库管理等信息报表服务。</w:t>
      </w:r>
    </w:p>
    <w:p>
      <w:pPr>
        <w:spacing w:line="360" w:lineRule="auto"/>
        <w:ind w:firstLine="480" w:firstLineChars="200"/>
        <w:rPr>
          <w:rFonts w:hint="eastAsia" w:ascii="仿宋" w:hAnsi="仿宋" w:eastAsia="仿宋" w:cs="仿宋"/>
          <w:sz w:val="32"/>
          <w:szCs w:val="32"/>
          <w:shd w:val="clear" w:color="auto" w:fill="FFFFFF"/>
        </w:rPr>
      </w:pPr>
      <w:r>
        <w:rPr>
          <w:rFonts w:hint="eastAsia" w:ascii="宋体" w:hAnsi="宋体" w:cs="宋体"/>
          <w:sz w:val="24"/>
          <w:szCs w:val="21"/>
        </w:rPr>
        <w:t>▲</w:t>
      </w:r>
      <w:r>
        <w:rPr>
          <w:rFonts w:hint="eastAsia" w:ascii="仿宋" w:hAnsi="仿宋" w:eastAsia="仿宋" w:cs="仿宋"/>
          <w:color w:val="333333"/>
          <w:kern w:val="0"/>
          <w:sz w:val="32"/>
          <w:szCs w:val="32"/>
          <w:shd w:val="clear" w:color="auto" w:fill="FFFFFF"/>
          <w:lang w:bidi="ar"/>
        </w:rPr>
        <w:t>17.每年可提供不少于12</w:t>
      </w:r>
      <w:r>
        <w:rPr>
          <w:rFonts w:hint="eastAsia" w:ascii="仿宋" w:hAnsi="仿宋" w:eastAsia="仿宋" w:cs="仿宋"/>
          <w:kern w:val="0"/>
          <w:sz w:val="32"/>
          <w:szCs w:val="32"/>
          <w:shd w:val="clear" w:color="auto" w:fill="FFFFFF"/>
          <w:lang w:bidi="ar"/>
        </w:rPr>
        <w:t>次的病案原件调阅，</w:t>
      </w:r>
      <w:r>
        <w:rPr>
          <w:rFonts w:hint="eastAsia" w:ascii="仿宋" w:hAnsi="仿宋" w:eastAsia="仿宋" w:cs="仿宋"/>
          <w:sz w:val="32"/>
          <w:szCs w:val="32"/>
          <w:shd w:val="clear" w:color="auto" w:fill="FFFFFF"/>
        </w:rPr>
        <w:t>原件调阅后应在4小时内送至采购人指定地点，费用包含在报价里。</w:t>
      </w:r>
    </w:p>
    <w:p>
      <w:pPr>
        <w:spacing w:line="360" w:lineRule="auto"/>
        <w:ind w:firstLine="480" w:firstLineChars="15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shd w:val="clear" w:color="auto" w:fill="FFFFFF"/>
          <w:lang w:bidi="ar"/>
        </w:rPr>
        <w:t>18.不接受病案托管的转包和</w:t>
      </w:r>
      <w:r>
        <w:rPr>
          <w:rFonts w:hint="eastAsia" w:ascii="仿宋_GB2312" w:hAnsi="宋体" w:eastAsia="仿宋_GB2312" w:cs="宋体"/>
          <w:color w:val="333333"/>
          <w:sz w:val="32"/>
          <w:szCs w:val="32"/>
          <w:shd w:val="clear" w:color="auto" w:fill="FFFFFF"/>
          <w:lang w:bidi="ar"/>
        </w:rPr>
        <w:t>分包服务。（提供承诺函</w:t>
      </w:r>
      <w:r>
        <w:rPr>
          <w:rFonts w:hint="eastAsia" w:ascii="仿宋" w:hAnsi="仿宋" w:eastAsia="仿宋" w:cs="仿宋"/>
          <w:sz w:val="32"/>
          <w:szCs w:val="32"/>
          <w:shd w:val="clear" w:color="auto" w:fill="FFFFFF"/>
        </w:rPr>
        <w:t>并加盖公章</w:t>
      </w:r>
      <w:r>
        <w:rPr>
          <w:rFonts w:hint="eastAsia" w:ascii="仿宋_GB2312" w:hAnsi="宋体" w:eastAsia="仿宋_GB2312" w:cs="宋体"/>
          <w:color w:val="333333"/>
          <w:sz w:val="32"/>
          <w:szCs w:val="32"/>
          <w:shd w:val="clear" w:color="auto" w:fill="FFFFFF"/>
          <w:lang w:bidi="ar"/>
        </w:rPr>
        <w:t>）</w:t>
      </w:r>
    </w:p>
    <w:p>
      <w:pPr>
        <w:spacing w:line="360" w:lineRule="auto"/>
        <w:ind w:firstLine="480" w:firstLineChars="200"/>
        <w:rPr>
          <w:rFonts w:hint="eastAsia" w:ascii="仿宋" w:hAnsi="仿宋" w:eastAsia="仿宋" w:cs="仿宋"/>
          <w:color w:val="333333"/>
          <w:kern w:val="0"/>
          <w:sz w:val="32"/>
          <w:szCs w:val="32"/>
          <w:shd w:val="clear" w:color="auto" w:fill="FFFFFF"/>
          <w:lang w:bidi="ar"/>
        </w:rPr>
      </w:pPr>
      <w:r>
        <w:rPr>
          <w:rFonts w:hint="eastAsia" w:ascii="宋体" w:hAnsi="宋体" w:cs="宋体"/>
          <w:sz w:val="24"/>
          <w:szCs w:val="21"/>
        </w:rPr>
        <w:t>▲</w:t>
      </w:r>
      <w:r>
        <w:rPr>
          <w:rFonts w:hint="eastAsia" w:ascii="仿宋" w:hAnsi="仿宋" w:eastAsia="仿宋" w:cs="仿宋"/>
          <w:color w:val="333333"/>
          <w:kern w:val="0"/>
          <w:sz w:val="32"/>
          <w:szCs w:val="32"/>
          <w:shd w:val="clear" w:color="auto" w:fill="FFFFFF"/>
          <w:lang w:bidi="ar"/>
        </w:rPr>
        <w:t>19.合同执行期满后，供应商经与采购人核对无误后，将所保管的全部病案资料转运至指定地点，费用包含在报价里。</w:t>
      </w:r>
    </w:p>
    <w:p>
      <w:pPr>
        <w:spacing w:line="360" w:lineRule="auto"/>
        <w:ind w:firstLine="480" w:firstLineChars="200"/>
        <w:rPr>
          <w:rFonts w:hint="eastAsia" w:ascii="仿宋" w:hAnsi="仿宋" w:eastAsia="仿宋" w:cs="仿宋"/>
          <w:color w:val="333333"/>
          <w:kern w:val="0"/>
          <w:sz w:val="32"/>
          <w:szCs w:val="32"/>
          <w:shd w:val="clear" w:color="auto" w:fill="FFFFFF"/>
          <w:lang w:bidi="ar"/>
        </w:rPr>
      </w:pPr>
      <w:r>
        <w:rPr>
          <w:rFonts w:hint="eastAsia" w:ascii="宋体" w:hAnsi="宋体" w:cs="宋体"/>
          <w:sz w:val="24"/>
          <w:szCs w:val="21"/>
        </w:rPr>
        <w:t>▲</w:t>
      </w:r>
      <w:r>
        <w:rPr>
          <w:rFonts w:hint="eastAsia" w:ascii="仿宋" w:hAnsi="仿宋" w:eastAsia="仿宋" w:cs="仿宋"/>
          <w:color w:val="333333"/>
          <w:kern w:val="0"/>
          <w:sz w:val="32"/>
          <w:szCs w:val="32"/>
          <w:shd w:val="clear" w:color="auto" w:fill="FFFFFF"/>
          <w:lang w:bidi="ar"/>
        </w:rPr>
        <w:t>20.具备完成该项目所需档案存储、托管或档案服务等相关资格（提供证明材料并加盖公章）。</w:t>
      </w:r>
    </w:p>
    <w:p>
      <w:pPr>
        <w:pStyle w:val="7"/>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21.具有档案管理服务类相关证书，如环境管理体系认证证书、信息安全管理体系认证证书、档案产品售后服务类认证证书等（提供证明材料并加盖公章）。</w:t>
      </w:r>
    </w:p>
    <w:p>
      <w:pPr>
        <w:numPr>
          <w:ilvl w:val="255"/>
          <w:numId w:val="0"/>
        </w:numPr>
        <w:spacing w:after="160" w:line="360" w:lineRule="auto"/>
        <w:ind w:left="420" w:leftChars="200" w:firstLine="321" w:firstLineChars="100"/>
        <w:outlineLvl w:val="1"/>
        <w:rPr>
          <w:rFonts w:hint="eastAsia" w:ascii="仿宋" w:hAnsi="仿宋" w:eastAsia="仿宋" w:cs="仿宋"/>
          <w:b/>
          <w:bCs/>
          <w:color w:val="333333"/>
          <w:kern w:val="0"/>
          <w:sz w:val="32"/>
          <w:szCs w:val="32"/>
          <w:shd w:val="clear" w:color="auto" w:fill="FFFFFF"/>
          <w:lang w:bidi="ar"/>
        </w:rPr>
      </w:pPr>
      <w:r>
        <w:rPr>
          <w:rFonts w:hint="eastAsia" w:ascii="仿宋" w:hAnsi="仿宋" w:eastAsia="仿宋" w:cs="仿宋"/>
          <w:b/>
          <w:bCs/>
          <w:sz w:val="32"/>
          <w:szCs w:val="32"/>
        </w:rPr>
        <w:t>三、★商务要求</w:t>
      </w:r>
      <w:bookmarkStart w:id="0" w:name="_GoBack"/>
      <w:bookmarkEnd w:id="0"/>
    </w:p>
    <w:p>
      <w:pPr>
        <w:pStyle w:val="2"/>
        <w:rPr>
          <w:rFonts w:hint="eastAsia"/>
          <w:lang w:val="en-US" w:eastAsia="zh-CN"/>
        </w:rPr>
      </w:pPr>
    </w:p>
    <w:p>
      <w:pPr>
        <w:keepNext/>
        <w:keepLines/>
        <w:numPr>
          <w:ilvl w:val="255"/>
          <w:numId w:val="0"/>
        </w:numPr>
        <w:spacing w:after="160" w:line="360" w:lineRule="auto"/>
        <w:ind w:firstLine="640" w:firstLineChars="200"/>
        <w:outlineLvl w:val="2"/>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（一）服务地点:四川省妇幼保健院指定地点。</w:t>
      </w:r>
    </w:p>
    <w:p>
      <w:pPr>
        <w:keepNext/>
        <w:keepLines/>
        <w:numPr>
          <w:ilvl w:val="255"/>
          <w:numId w:val="0"/>
        </w:numPr>
        <w:spacing w:after="160" w:line="360" w:lineRule="auto"/>
        <w:ind w:firstLine="640" w:firstLineChars="200"/>
        <w:outlineLvl w:val="2"/>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（二）付款方式及条件：</w:t>
      </w:r>
    </w:p>
    <w:p>
      <w:pPr>
        <w:spacing w:after="160" w:line="360" w:lineRule="auto"/>
        <w:ind w:firstLine="640" w:firstLineChars="200"/>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1、根据实际托管数量付款。每半年服务结束期后，根据实际病案托管箱数数量，实际付款金额=实际托管箱数*月数*单价，由供应商开具发票并提出付款申请后60日采购人支付实际费用的100%。</w:t>
      </w:r>
    </w:p>
    <w:p>
      <w:pPr>
        <w:spacing w:after="160" w:line="360" w:lineRule="auto"/>
        <w:ind w:firstLine="640" w:firstLineChars="200"/>
        <w:rPr>
          <w:rFonts w:hint="eastAsia" w:ascii="仿宋" w:hAnsi="仿宋" w:eastAsia="仿宋" w:cs="仿宋"/>
          <w:color w:val="333333"/>
          <w:kern w:val="0"/>
          <w:sz w:val="32"/>
          <w:szCs w:val="32"/>
          <w:shd w:val="clear" w:color="auto" w:fill="FFFFFF"/>
          <w:lang w:bidi="ar"/>
        </w:rPr>
      </w:pPr>
      <w:r>
        <w:rPr>
          <w:rFonts w:ascii="仿宋" w:hAnsi="仿宋" w:eastAsia="仿宋" w:cs="仿宋"/>
          <w:color w:val="333333"/>
          <w:kern w:val="0"/>
          <w:sz w:val="32"/>
          <w:szCs w:val="32"/>
          <w:shd w:val="clear" w:color="auto" w:fill="FFFFFF"/>
          <w:lang w:bidi="ar"/>
        </w:rPr>
        <w:t>2</w:t>
      </w:r>
      <w:r>
        <w:rPr>
          <w:rFonts w:hint="eastAsia" w:ascii="仿宋" w:hAnsi="仿宋" w:eastAsia="仿宋" w:cs="仿宋"/>
          <w:color w:val="333333"/>
          <w:kern w:val="0"/>
          <w:sz w:val="32"/>
          <w:szCs w:val="32"/>
          <w:shd w:val="clear" w:color="auto" w:fill="FFFFFF"/>
          <w:lang w:bidi="ar"/>
        </w:rPr>
        <w:t>、履约保证金：年度预算金额的</w:t>
      </w:r>
      <w:r>
        <w:rPr>
          <w:rFonts w:ascii="仿宋" w:hAnsi="仿宋" w:eastAsia="仿宋" w:cs="仿宋"/>
          <w:color w:val="333333"/>
          <w:kern w:val="0"/>
          <w:sz w:val="32"/>
          <w:szCs w:val="32"/>
          <w:shd w:val="clear" w:color="auto" w:fill="FFFFFF"/>
          <w:lang w:bidi="ar"/>
        </w:rPr>
        <w:t>10%</w:t>
      </w:r>
      <w:r>
        <w:rPr>
          <w:rFonts w:hint="eastAsia" w:ascii="仿宋" w:hAnsi="仿宋" w:eastAsia="仿宋" w:cs="仿宋"/>
          <w:color w:val="333333"/>
          <w:kern w:val="0"/>
          <w:sz w:val="32"/>
          <w:szCs w:val="32"/>
          <w:shd w:val="clear" w:color="auto" w:fill="FFFFFF"/>
          <w:lang w:bidi="ar"/>
        </w:rPr>
        <w:t>，由采购人在合同签订前收取。服务期结束后</w:t>
      </w:r>
      <w:r>
        <w:rPr>
          <w:rFonts w:ascii="仿宋" w:hAnsi="仿宋" w:eastAsia="仿宋" w:cs="仿宋"/>
          <w:color w:val="333333"/>
          <w:kern w:val="0"/>
          <w:sz w:val="32"/>
          <w:szCs w:val="32"/>
          <w:shd w:val="clear" w:color="auto" w:fill="FFFFFF"/>
          <w:lang w:bidi="ar"/>
        </w:rPr>
        <w:t>60</w:t>
      </w:r>
      <w:r>
        <w:rPr>
          <w:rFonts w:hint="eastAsia" w:ascii="仿宋" w:hAnsi="仿宋" w:eastAsia="仿宋" w:cs="仿宋"/>
          <w:color w:val="333333"/>
          <w:kern w:val="0"/>
          <w:sz w:val="32"/>
          <w:szCs w:val="32"/>
          <w:shd w:val="clear" w:color="auto" w:fill="FFFFFF"/>
          <w:lang w:bidi="ar"/>
        </w:rPr>
        <w:t>日内采购人无息退还。服务期内，供应商存在任何违约行为，履约保证金不予退还。</w:t>
      </w:r>
    </w:p>
    <w:p>
      <w:pPr>
        <w:spacing w:after="160" w:line="360" w:lineRule="auto"/>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3、服务期：合同签订后，自寄存之日起1年。</w:t>
      </w:r>
    </w:p>
    <w:p>
      <w:pPr>
        <w:keepNext/>
        <w:keepLines/>
        <w:numPr>
          <w:ilvl w:val="255"/>
          <w:numId w:val="0"/>
        </w:numPr>
        <w:spacing w:after="160" w:line="360" w:lineRule="auto"/>
        <w:ind w:firstLine="640" w:firstLineChars="200"/>
        <w:outlineLvl w:val="2"/>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（三）报价要求：按照单价报价，箱/月，托管费报价单含寄存托管费、搬运费、运输费等完成本项目服务的一切费用，采购人不额外支付费用。</w:t>
      </w:r>
    </w:p>
    <w:p>
      <w:pPr>
        <w:keepNext/>
        <w:keepLines/>
        <w:numPr>
          <w:ilvl w:val="255"/>
          <w:numId w:val="0"/>
        </w:numPr>
        <w:spacing w:after="160" w:line="360" w:lineRule="auto"/>
        <w:ind w:firstLine="640" w:firstLineChars="200"/>
        <w:outlineLvl w:val="2"/>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（四）其他要求</w:t>
      </w:r>
    </w:p>
    <w:p>
      <w:pPr>
        <w:spacing w:after="160" w:line="360" w:lineRule="auto"/>
        <w:ind w:firstLine="640" w:firstLineChars="200"/>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服务期内（含质保期），如果因供应商原因造成采购人违反国家卫生行政管理部门或上级相关行政部门的规定被上级部门约谈、通报及处罚等情况发生，采购人有权对供应商进行以下处理：（1）要求供应商承担采购人实际损失；（2）同时，每发生一次，要求供应商承担成交金额的5%的违约金；情节严重的，每次供应商需承担成交金额的10%的违约金。供应商承担损失金额及违约金都将从合同款中扣除，扣除后不足部分由供应商补足。</w:t>
      </w:r>
    </w:p>
    <w:p>
      <w:pPr>
        <w:widowControl w:val="0"/>
        <w:spacing w:after="120" w:line="278" w:lineRule="auto"/>
        <w:ind w:left="0" w:leftChars="0" w:firstLine="640" w:firstLineChars="200"/>
        <w:jc w:val="both"/>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2.投标人次月5个工作日内提供上月安全检查报告，并配合采购人进行定期检查。</w:t>
      </w:r>
    </w:p>
    <w:p>
      <w:pPr>
        <w:widowControl w:val="0"/>
        <w:spacing w:after="120" w:line="278" w:lineRule="auto"/>
        <w:ind w:left="0" w:leftChars="0" w:firstLine="640" w:firstLineChars="200"/>
        <w:jc w:val="both"/>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3.因供应商原因导致病案损毁、丢失、污染等保管不善行为，造成的一切损失由供应商承担，采购人保留追究法律责任的权利。</w:t>
      </w:r>
    </w:p>
    <w:p>
      <w:pPr>
        <w:widowControl w:val="0"/>
        <w:spacing w:after="120" w:line="278" w:lineRule="auto"/>
        <w:ind w:left="0" w:leftChars="0" w:firstLine="640" w:firstLineChars="200"/>
        <w:jc w:val="both"/>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br w:type="page"/>
      </w:r>
    </w:p>
    <w:p>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bCs w:val="0"/>
          <w:i w:val="0"/>
          <w:caps w:val="0"/>
          <w:color w:val="000000"/>
          <w:spacing w:val="0"/>
          <w:sz w:val="28"/>
          <w:szCs w:val="28"/>
          <w:highlight w:val="none"/>
          <w:shd w:val="clear" w:fill="FFFFFF"/>
        </w:rPr>
      </w:pPr>
      <w:r>
        <w:rPr>
          <w:rFonts w:hint="eastAsia" w:ascii="仿宋" w:hAnsi="仿宋" w:eastAsia="仿宋" w:cs="仿宋"/>
          <w:b/>
          <w:bCs w:val="0"/>
          <w:i w:val="0"/>
          <w:caps w:val="0"/>
          <w:color w:val="000000"/>
          <w:spacing w:val="0"/>
          <w:sz w:val="28"/>
          <w:szCs w:val="28"/>
          <w:highlight w:val="none"/>
          <w:shd w:val="clear" w:fill="FFFFFF"/>
          <w:lang w:val="en-US" w:eastAsia="zh-CN"/>
        </w:rPr>
        <w:t>附件2：</w:t>
      </w:r>
      <w:r>
        <w:rPr>
          <w:rFonts w:hint="eastAsia" w:ascii="仿宋" w:hAnsi="仿宋" w:eastAsia="仿宋" w:cs="仿宋"/>
          <w:b/>
          <w:bCs w:val="0"/>
          <w:i w:val="0"/>
          <w:caps w:val="0"/>
          <w:color w:val="000000"/>
          <w:spacing w:val="0"/>
          <w:sz w:val="28"/>
          <w:szCs w:val="28"/>
          <w:highlight w:val="none"/>
          <w:shd w:val="clear" w:fill="FFFFFF"/>
        </w:rPr>
        <w:t>评审办法</w:t>
      </w:r>
    </w:p>
    <w:p>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val="0"/>
          <w:bCs/>
          <w:i w:val="0"/>
          <w:caps w:val="0"/>
          <w:color w:val="000000"/>
          <w:spacing w:val="0"/>
          <w:sz w:val="28"/>
          <w:szCs w:val="28"/>
          <w:highlight w:val="none"/>
          <w:shd w:val="clear" w:fill="FFFFFF"/>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059"/>
        <w:gridCol w:w="1657"/>
        <w:gridCol w:w="311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ordWrap w:val="0"/>
              <w:overflowPunct w:val="0"/>
              <w:topLinePunct/>
              <w:spacing w:after="160" w:line="440" w:lineRule="exact"/>
              <w:jc w:val="center"/>
              <w:textAlignment w:val="center"/>
              <w:rPr>
                <w:rFonts w:hint="eastAsia" w:ascii="黑体" w:hAnsi="黑体" w:eastAsia="黑体" w:cs="Times New Roman"/>
                <w:color w:val="000000"/>
                <w:sz w:val="24"/>
                <w:szCs w:val="24"/>
              </w:rPr>
            </w:pPr>
            <w:r>
              <w:rPr>
                <w:rFonts w:hint="eastAsia" w:ascii="仿宋" w:hAnsi="仿宋" w:eastAsia="仿宋" w:cs="仿宋"/>
                <w:b/>
                <w:sz w:val="24"/>
                <w:szCs w:val="24"/>
              </w:rPr>
              <w:t>序号</w:t>
            </w:r>
          </w:p>
        </w:tc>
        <w:tc>
          <w:tcPr>
            <w:tcW w:w="0" w:type="auto"/>
            <w:shd w:val="clear" w:color="auto" w:fill="auto"/>
            <w:vAlign w:val="center"/>
          </w:tcPr>
          <w:p>
            <w:pPr>
              <w:wordWrap w:val="0"/>
              <w:overflowPunct w:val="0"/>
              <w:topLinePunct/>
              <w:spacing w:after="160" w:line="440" w:lineRule="exact"/>
              <w:jc w:val="center"/>
              <w:textAlignment w:val="center"/>
              <w:rPr>
                <w:rFonts w:hint="eastAsia" w:ascii="黑体" w:hAnsi="黑体" w:eastAsia="黑体" w:cs="Times New Roman"/>
                <w:color w:val="000000"/>
                <w:sz w:val="24"/>
                <w:szCs w:val="24"/>
              </w:rPr>
            </w:pPr>
            <w:r>
              <w:rPr>
                <w:rFonts w:hint="eastAsia" w:ascii="仿宋" w:hAnsi="仿宋" w:eastAsia="仿宋" w:cs="仿宋"/>
                <w:b/>
                <w:sz w:val="24"/>
                <w:szCs w:val="24"/>
              </w:rPr>
              <w:t>评分因素</w:t>
            </w:r>
          </w:p>
        </w:tc>
        <w:tc>
          <w:tcPr>
            <w:tcW w:w="1657" w:type="dxa"/>
            <w:shd w:val="clear" w:color="auto" w:fill="auto"/>
            <w:vAlign w:val="center"/>
          </w:tcPr>
          <w:p>
            <w:pPr>
              <w:wordWrap w:val="0"/>
              <w:overflowPunct w:val="0"/>
              <w:topLinePunct/>
              <w:spacing w:after="160" w:line="440" w:lineRule="exact"/>
              <w:jc w:val="center"/>
              <w:textAlignment w:val="center"/>
              <w:rPr>
                <w:rFonts w:hint="eastAsia" w:ascii="黑体" w:hAnsi="黑体" w:eastAsia="黑体" w:cs="Times New Roman"/>
                <w:color w:val="000000"/>
                <w:sz w:val="24"/>
                <w:szCs w:val="24"/>
              </w:rPr>
            </w:pPr>
            <w:r>
              <w:rPr>
                <w:rFonts w:hint="eastAsia" w:ascii="仿宋" w:hAnsi="仿宋" w:eastAsia="仿宋" w:cs="仿宋"/>
                <w:b/>
                <w:sz w:val="24"/>
                <w:szCs w:val="24"/>
              </w:rPr>
              <w:t>分值</w:t>
            </w:r>
          </w:p>
        </w:tc>
        <w:tc>
          <w:tcPr>
            <w:tcW w:w="3116" w:type="dxa"/>
            <w:shd w:val="clear" w:color="auto" w:fill="auto"/>
            <w:vAlign w:val="center"/>
          </w:tcPr>
          <w:p>
            <w:pPr>
              <w:wordWrap w:val="0"/>
              <w:overflowPunct w:val="0"/>
              <w:topLinePunct/>
              <w:spacing w:after="160" w:line="440" w:lineRule="exact"/>
              <w:jc w:val="center"/>
              <w:textAlignment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0" w:type="auto"/>
            <w:shd w:val="clear" w:color="auto" w:fill="auto"/>
            <w:vAlign w:val="center"/>
          </w:tcPr>
          <w:p>
            <w:pPr>
              <w:wordWrap w:val="0"/>
              <w:overflowPunct w:val="0"/>
              <w:topLinePunct/>
              <w:spacing w:after="160" w:line="440" w:lineRule="exact"/>
              <w:jc w:val="center"/>
              <w:textAlignment w:val="center"/>
              <w:rPr>
                <w:rFonts w:hint="eastAsia" w:ascii="仿宋" w:hAnsi="仿宋" w:eastAsia="仿宋" w:cs="仿宋"/>
                <w:b/>
                <w:sz w:val="24"/>
                <w:szCs w:val="24"/>
              </w:rPr>
            </w:pPr>
            <w:r>
              <w:rPr>
                <w:rFonts w:hint="eastAsia" w:ascii="仿宋" w:hAnsi="仿宋" w:eastAsia="仿宋" w:cs="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shd w:val="clear" w:color="auto" w:fill="auto"/>
            <w:vAlign w:val="center"/>
          </w:tcPr>
          <w:p>
            <w:pPr>
              <w:widowControl w:val="0"/>
              <w:adjustRightInd w:val="0"/>
              <w:snapToGrid w:val="0"/>
              <w:spacing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1</w:t>
            </w:r>
          </w:p>
        </w:tc>
        <w:tc>
          <w:tcPr>
            <w:tcW w:w="1059" w:type="dxa"/>
            <w:shd w:val="clear" w:color="auto" w:fill="auto"/>
            <w:vAlign w:val="center"/>
          </w:tcPr>
          <w:p>
            <w:pPr>
              <w:widowControl w:val="0"/>
              <w:adjustRightInd w:val="0"/>
              <w:snapToGrid w:val="0"/>
              <w:spacing w:after="160" w:line="278" w:lineRule="auto"/>
              <w:ind w:right="95"/>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报价</w:t>
            </w:r>
            <w:r>
              <w:rPr>
                <w:rFonts w:hint="eastAsia" w:ascii="仿宋" w:hAnsi="仿宋" w:eastAsia="仿宋" w:cs="仿宋"/>
                <w:kern w:val="2"/>
                <w:sz w:val="24"/>
                <w:szCs w:val="24"/>
                <w:lang w:val="en-US" w:eastAsia="zh-CN" w:bidi="nl-NL"/>
              </w:rPr>
              <w:t>30%</w:t>
            </w:r>
          </w:p>
        </w:tc>
        <w:tc>
          <w:tcPr>
            <w:tcW w:w="1657" w:type="dxa"/>
            <w:shd w:val="clear" w:color="auto" w:fill="auto"/>
            <w:vAlign w:val="center"/>
          </w:tcPr>
          <w:p>
            <w:pPr>
              <w:widowControl w:val="0"/>
              <w:adjustRightInd w:val="0"/>
              <w:snapToGrid w:val="0"/>
              <w:spacing w:after="160" w:line="278" w:lineRule="auto"/>
              <w:ind w:right="104"/>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30分</w:t>
            </w:r>
          </w:p>
        </w:tc>
        <w:tc>
          <w:tcPr>
            <w:tcW w:w="3116" w:type="dxa"/>
            <w:shd w:val="clear" w:color="auto" w:fill="auto"/>
            <w:vAlign w:val="center"/>
          </w:tcPr>
          <w:p>
            <w:pPr>
              <w:widowControl w:val="0"/>
              <w:spacing w:after="160" w:line="278" w:lineRule="auto"/>
              <w:jc w:val="both"/>
              <w:rPr>
                <w:rFonts w:hint="eastAsia" w:ascii="仿宋" w:hAnsi="仿宋" w:eastAsia="仿宋" w:cs="仿宋"/>
                <w:b/>
                <w:kern w:val="2"/>
                <w:sz w:val="24"/>
                <w:szCs w:val="24"/>
                <w:lang w:val="en-US" w:eastAsia="zh-CN" w:bidi="ar-SA"/>
              </w:rPr>
            </w:pPr>
            <w:r>
              <w:rPr>
                <w:rFonts w:hint="eastAsia" w:ascii="仿宋" w:hAnsi="仿宋" w:eastAsia="仿宋" w:cs="仿宋"/>
                <w:kern w:val="2"/>
                <w:sz w:val="24"/>
                <w:szCs w:val="24"/>
                <w:lang w:val="en-US" w:eastAsia="zh-CN" w:bidi="ar-SA"/>
              </w:rPr>
              <w:t>满足采购文件要求且投标报价最低的有效投标报价为评标基准价，其报价分为满分。其他供应商的报价得分按以下公式计算：报价得分=(评标基准价／投标报价)×30%×100</w:t>
            </w:r>
          </w:p>
        </w:tc>
        <w:tc>
          <w:tcPr>
            <w:tcW w:w="1203" w:type="dxa"/>
            <w:shd w:val="clear" w:color="auto" w:fill="auto"/>
            <w:vAlign w:val="center"/>
          </w:tcPr>
          <w:p>
            <w:pPr>
              <w:widowControl w:val="0"/>
              <w:adjustRightInd w:val="0"/>
              <w:snapToGrid w:val="0"/>
              <w:spacing w:after="160" w:line="278" w:lineRule="auto"/>
              <w:ind w:right="96"/>
              <w:jc w:val="center"/>
              <w:rPr>
                <w:rFonts w:hint="eastAsia" w:ascii="仿宋" w:hAnsi="仿宋" w:eastAsia="仿宋" w:cs="仿宋"/>
                <w:b/>
                <w:bCs/>
                <w:kern w:val="2"/>
                <w:sz w:val="24"/>
                <w:szCs w:val="24"/>
                <w:lang w:val="nl-NL" w:eastAsia="nl-NL" w:bidi="nl-NL"/>
              </w:rPr>
            </w:pPr>
            <w:r>
              <w:rPr>
                <w:rFonts w:hint="eastAsia" w:ascii="仿宋" w:hAnsi="仿宋" w:eastAsia="仿宋" w:cs="仿宋"/>
                <w:kern w:val="2"/>
                <w:sz w:val="24"/>
                <w:szCs w:val="24"/>
                <w:lang w:val="nl-NL" w:eastAsia="zh-CN" w:bidi="nl-N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shd w:val="clear" w:color="auto" w:fill="auto"/>
            <w:vAlign w:val="center"/>
          </w:tcPr>
          <w:p>
            <w:pPr>
              <w:widowControl w:val="0"/>
              <w:adjustRightInd w:val="0"/>
              <w:snapToGrid w:val="0"/>
              <w:spacing w:before="174"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2</w:t>
            </w:r>
          </w:p>
        </w:tc>
        <w:tc>
          <w:tcPr>
            <w:tcW w:w="1059" w:type="dxa"/>
            <w:shd w:val="clear" w:color="auto" w:fill="auto"/>
            <w:vAlign w:val="center"/>
          </w:tcPr>
          <w:p>
            <w:pPr>
              <w:widowControl w:val="0"/>
              <w:adjustRightInd w:val="0"/>
              <w:snapToGrid w:val="0"/>
              <w:spacing w:before="195" w:after="160" w:line="278" w:lineRule="auto"/>
              <w:ind w:right="92"/>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技术</w:t>
            </w:r>
            <w:r>
              <w:rPr>
                <w:rFonts w:hint="eastAsia" w:ascii="仿宋" w:hAnsi="仿宋" w:eastAsia="仿宋" w:cs="仿宋"/>
                <w:kern w:val="2"/>
                <w:sz w:val="24"/>
                <w:szCs w:val="24"/>
                <w:lang w:val="en-US" w:eastAsia="zh-CN" w:bidi="nl-NL"/>
              </w:rPr>
              <w:t>服务</w:t>
            </w:r>
            <w:r>
              <w:rPr>
                <w:rFonts w:hint="eastAsia" w:ascii="仿宋" w:hAnsi="仿宋" w:eastAsia="仿宋" w:cs="仿宋"/>
                <w:kern w:val="2"/>
                <w:sz w:val="24"/>
                <w:szCs w:val="24"/>
                <w:lang w:val="nl-NL" w:eastAsia="nl-NL" w:bidi="nl-NL"/>
              </w:rPr>
              <w:t>要求</w:t>
            </w:r>
            <w:r>
              <w:rPr>
                <w:rFonts w:hint="eastAsia" w:ascii="仿宋" w:hAnsi="仿宋" w:eastAsia="仿宋" w:cs="仿宋"/>
                <w:kern w:val="2"/>
                <w:sz w:val="24"/>
                <w:szCs w:val="24"/>
                <w:lang w:val="en-US" w:eastAsia="zh-CN" w:bidi="nl-NL"/>
              </w:rPr>
              <w:t>33%</w:t>
            </w:r>
          </w:p>
        </w:tc>
        <w:tc>
          <w:tcPr>
            <w:tcW w:w="1657" w:type="dxa"/>
            <w:shd w:val="clear" w:color="auto" w:fill="auto"/>
            <w:vAlign w:val="center"/>
          </w:tcPr>
          <w:p>
            <w:pPr>
              <w:widowControl w:val="0"/>
              <w:adjustRightInd w:val="0"/>
              <w:snapToGrid w:val="0"/>
              <w:spacing w:before="174" w:after="160" w:line="278" w:lineRule="auto"/>
              <w:ind w:right="104"/>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nl-NL"/>
              </w:rPr>
              <w:t>33</w:t>
            </w:r>
            <w:r>
              <w:rPr>
                <w:rFonts w:hint="eastAsia" w:ascii="仿宋" w:hAnsi="仿宋" w:eastAsia="仿宋" w:cs="仿宋"/>
                <w:kern w:val="2"/>
                <w:sz w:val="24"/>
                <w:szCs w:val="24"/>
                <w:lang w:val="nl-NL" w:eastAsia="nl-NL" w:bidi="nl-NL"/>
              </w:rPr>
              <w:t>分</w:t>
            </w:r>
          </w:p>
        </w:tc>
        <w:tc>
          <w:tcPr>
            <w:tcW w:w="3116" w:type="dxa"/>
            <w:shd w:val="clear" w:color="auto" w:fill="auto"/>
            <w:vAlign w:val="center"/>
          </w:tcPr>
          <w:p>
            <w:pPr>
              <w:widowControl/>
              <w:shd w:val="clear" w:color="auto" w:fill="FFFFFF"/>
              <w:spacing w:beforeAutospacing="0" w:after="240" w:afterAutospacing="0" w:line="351" w:lineRule="atLeast"/>
              <w:ind w:firstLine="480"/>
              <w:jc w:val="left"/>
              <w:rPr>
                <w:rFonts w:hint="eastAsia" w:ascii="仿宋" w:hAnsi="仿宋" w:eastAsia="仿宋" w:cs="仿宋"/>
                <w:b/>
                <w:kern w:val="0"/>
                <w:sz w:val="24"/>
                <w:szCs w:val="24"/>
                <w:lang w:val="en-US" w:eastAsia="zh-CN" w:bidi="ar-SA"/>
              </w:rPr>
            </w:pPr>
            <w:r>
              <w:rPr>
                <w:rFonts w:hint="eastAsia" w:ascii="仿宋" w:hAnsi="仿宋" w:eastAsia="仿宋" w:cs="仿宋"/>
                <w:kern w:val="0"/>
                <w:sz w:val="24"/>
                <w:szCs w:val="21"/>
                <w:lang w:val="en-US" w:eastAsia="zh-CN" w:bidi="ar-SA"/>
              </w:rPr>
              <w:t>★为实质性条款，必须全部满足，不允许负偏离。▲为重要参数（共10条），完全符合得满分，不满足或负偏离一项扣3分，扣完为止。一般条款共1项，提供相关认证证书1项得1分，最高不超过3分。</w:t>
            </w:r>
          </w:p>
        </w:tc>
        <w:tc>
          <w:tcPr>
            <w:tcW w:w="1203" w:type="dxa"/>
            <w:shd w:val="clear" w:color="auto" w:fill="auto"/>
            <w:vAlign w:val="center"/>
          </w:tcPr>
          <w:p>
            <w:pPr>
              <w:widowControl w:val="0"/>
              <w:adjustRightInd w:val="0"/>
              <w:snapToGrid w:val="0"/>
              <w:spacing w:before="195" w:after="160" w:line="278" w:lineRule="auto"/>
              <w:ind w:right="79"/>
              <w:jc w:val="center"/>
              <w:rPr>
                <w:rFonts w:hint="eastAsia" w:ascii="仿宋" w:hAnsi="仿宋" w:eastAsia="仿宋" w:cs="仿宋"/>
                <w:b/>
                <w:bCs/>
                <w:kern w:val="2"/>
                <w:sz w:val="24"/>
                <w:szCs w:val="24"/>
                <w:lang w:val="nl-NL" w:eastAsia="nl-NL" w:bidi="nl-NL"/>
              </w:rPr>
            </w:pPr>
            <w:r>
              <w:rPr>
                <w:rFonts w:hint="eastAsia" w:ascii="仿宋" w:hAnsi="仿宋" w:eastAsia="仿宋" w:cs="仿宋"/>
                <w:kern w:val="2"/>
                <w:sz w:val="24"/>
                <w:szCs w:val="24"/>
                <w:lang w:val="nl-NL" w:eastAsia="zh-CN" w:bidi="nl-N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shd w:val="clear" w:color="auto" w:fill="auto"/>
            <w:vAlign w:val="center"/>
          </w:tcPr>
          <w:p>
            <w:pPr>
              <w:widowControl w:val="0"/>
              <w:adjustRightInd w:val="0"/>
              <w:snapToGrid w:val="0"/>
              <w:spacing w:before="1"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nl-NL" w:eastAsia="nl-NL" w:bidi="nl-NL"/>
              </w:rPr>
              <w:t>3</w:t>
            </w:r>
          </w:p>
        </w:tc>
        <w:tc>
          <w:tcPr>
            <w:tcW w:w="1059" w:type="dxa"/>
            <w:shd w:val="clear" w:color="auto" w:fill="auto"/>
            <w:vAlign w:val="center"/>
          </w:tcPr>
          <w:p>
            <w:pPr>
              <w:widowControl w:val="0"/>
              <w:adjustRightInd w:val="0"/>
              <w:snapToGrid w:val="0"/>
              <w:spacing w:before="195" w:after="160" w:line="278" w:lineRule="auto"/>
              <w:ind w:right="92"/>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项目实施方案16%</w:t>
            </w:r>
          </w:p>
        </w:tc>
        <w:tc>
          <w:tcPr>
            <w:tcW w:w="1657" w:type="dxa"/>
            <w:shd w:val="clear" w:color="auto" w:fill="auto"/>
            <w:vAlign w:val="center"/>
          </w:tcPr>
          <w:p>
            <w:pPr>
              <w:widowControl w:val="0"/>
              <w:adjustRightInd w:val="0"/>
              <w:snapToGrid w:val="0"/>
              <w:spacing w:before="1" w:after="160" w:line="278" w:lineRule="auto"/>
              <w:ind w:right="104"/>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16分</w:t>
            </w:r>
          </w:p>
        </w:tc>
        <w:tc>
          <w:tcPr>
            <w:tcW w:w="3116" w:type="dxa"/>
            <w:shd w:val="clear" w:color="auto" w:fill="auto"/>
            <w:vAlign w:val="center"/>
          </w:tcPr>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根据供应商提供的项目方案进行评审，内容包括:①项目托管实施方案；②库房安保配置方案；③应急预案；④质量保证措施。</w:t>
            </w:r>
          </w:p>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托管实施方案包含病案清点移交及打包装箱、病案转运及入库、病案存储及维护方案等。</w:t>
            </w:r>
          </w:p>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库房安保配置方案包含安保措施、设备配置等。</w:t>
            </w:r>
          </w:p>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以上内容完整且满足本项目实际需求得满分。每有一项缺失的扣4分；每有一项存在错误或缺陷的扣2分，扣完为止。未提供的不得分。</w:t>
            </w:r>
          </w:p>
          <w:p>
            <w:pPr>
              <w:widowControl w:val="0"/>
              <w:spacing w:after="160" w:line="278" w:lineRule="auto"/>
              <w:jc w:val="both"/>
              <w:rPr>
                <w:rFonts w:hint="eastAsia" w:ascii="仿宋" w:hAnsi="仿宋" w:eastAsia="仿宋" w:cs="仿宋"/>
                <w:b/>
                <w:kern w:val="2"/>
                <w:sz w:val="24"/>
                <w:szCs w:val="24"/>
                <w:lang w:val="en-US" w:eastAsia="zh-CN" w:bidi="ar-SA"/>
              </w:rPr>
            </w:pPr>
            <w:r>
              <w:rPr>
                <w:rFonts w:hint="eastAsia" w:ascii="仿宋" w:hAnsi="仿宋" w:eastAsia="仿宋" w:cs="仿宋"/>
                <w:kern w:val="2"/>
                <w:sz w:val="24"/>
                <w:szCs w:val="24"/>
                <w:lang w:val="en-US" w:eastAsia="zh-CN" w:bidi="ar-SA"/>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1203" w:type="dxa"/>
            <w:shd w:val="clear" w:color="auto" w:fill="auto"/>
            <w:vAlign w:val="center"/>
          </w:tcPr>
          <w:p>
            <w:pPr>
              <w:widowControl w:val="0"/>
              <w:adjustRightInd w:val="0"/>
              <w:snapToGrid w:val="0"/>
              <w:spacing w:after="160" w:line="278" w:lineRule="auto"/>
              <w:ind w:right="96"/>
              <w:jc w:val="center"/>
              <w:rPr>
                <w:rFonts w:hint="eastAsia" w:ascii="仿宋" w:hAnsi="仿宋" w:eastAsia="仿宋" w:cs="仿宋"/>
                <w:b/>
                <w:bCs/>
                <w:kern w:val="2"/>
                <w:sz w:val="24"/>
                <w:szCs w:val="24"/>
                <w:lang w:val="nl-NL" w:eastAsia="nl-NL" w:bidi="nl-NL"/>
              </w:rPr>
            </w:pPr>
            <w:r>
              <w:rPr>
                <w:rFonts w:hint="eastAsia" w:ascii="仿宋" w:hAnsi="仿宋" w:eastAsia="仿宋" w:cs="仿宋"/>
                <w:kern w:val="2"/>
                <w:sz w:val="24"/>
                <w:szCs w:val="24"/>
                <w:lang w:val="nl-NL" w:eastAsia="zh-CN" w:bidi="nl-N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shd w:val="clear" w:color="auto" w:fill="auto"/>
            <w:vAlign w:val="center"/>
          </w:tcPr>
          <w:p>
            <w:pPr>
              <w:widowControl w:val="0"/>
              <w:adjustRightInd w:val="0"/>
              <w:snapToGrid w:val="0"/>
              <w:spacing w:before="1"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nl-NL"/>
              </w:rPr>
              <w:t>4</w:t>
            </w:r>
          </w:p>
        </w:tc>
        <w:tc>
          <w:tcPr>
            <w:tcW w:w="1059" w:type="dxa"/>
            <w:shd w:val="clear" w:color="auto" w:fill="auto"/>
            <w:vAlign w:val="center"/>
          </w:tcPr>
          <w:p>
            <w:pPr>
              <w:widowControl w:val="0"/>
              <w:adjustRightInd w:val="0"/>
              <w:snapToGrid w:val="0"/>
              <w:spacing w:before="195" w:after="160" w:line="278" w:lineRule="auto"/>
              <w:ind w:right="92"/>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售后服务方案12%</w:t>
            </w:r>
          </w:p>
        </w:tc>
        <w:tc>
          <w:tcPr>
            <w:tcW w:w="1657" w:type="dxa"/>
            <w:shd w:val="clear" w:color="auto" w:fill="auto"/>
            <w:vAlign w:val="center"/>
          </w:tcPr>
          <w:p>
            <w:pPr>
              <w:widowControl w:val="0"/>
              <w:adjustRightInd w:val="0"/>
              <w:snapToGrid w:val="0"/>
              <w:spacing w:before="1" w:after="160" w:line="278" w:lineRule="auto"/>
              <w:ind w:right="104"/>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12分</w:t>
            </w:r>
          </w:p>
        </w:tc>
        <w:tc>
          <w:tcPr>
            <w:tcW w:w="3116" w:type="dxa"/>
            <w:shd w:val="clear" w:color="auto" w:fill="auto"/>
            <w:vAlign w:val="center"/>
          </w:tcPr>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根据供应商提供的售后方案进行评审，内容包括:①售后服务方案；②售后服务技术保障；③售后服务流程；</w:t>
            </w:r>
          </w:p>
          <w:p>
            <w:pPr>
              <w:widowControl w:val="0"/>
              <w:spacing w:after="160" w:line="278"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以上内容完整且满足本项目实际需求得满分。每有一项缺失的扣4分；每有一项存在错误或缺陷的扣2分，扣完为止。未提供的不得分。</w:t>
            </w:r>
          </w:p>
          <w:p>
            <w:pPr>
              <w:widowControl w:val="0"/>
              <w:spacing w:after="160" w:line="278" w:lineRule="auto"/>
              <w:jc w:val="both"/>
              <w:rPr>
                <w:rFonts w:hint="eastAsia" w:ascii="仿宋" w:hAnsi="仿宋" w:eastAsia="仿宋" w:cs="仿宋"/>
                <w:b/>
                <w:kern w:val="2"/>
                <w:sz w:val="24"/>
                <w:szCs w:val="24"/>
                <w:lang w:val="en-US" w:eastAsia="zh-CN" w:bidi="ar-SA"/>
              </w:rPr>
            </w:pPr>
            <w:r>
              <w:rPr>
                <w:rFonts w:hint="eastAsia" w:ascii="仿宋" w:hAnsi="仿宋" w:eastAsia="仿宋" w:cs="仿宋"/>
                <w:kern w:val="2"/>
                <w:sz w:val="24"/>
                <w:szCs w:val="24"/>
                <w:lang w:val="en-US" w:eastAsia="zh-CN" w:bidi="ar-SA"/>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1203" w:type="dxa"/>
            <w:shd w:val="clear" w:color="auto" w:fill="auto"/>
            <w:vAlign w:val="center"/>
          </w:tcPr>
          <w:p>
            <w:pPr>
              <w:widowControl w:val="0"/>
              <w:adjustRightInd w:val="0"/>
              <w:snapToGrid w:val="0"/>
              <w:spacing w:before="1" w:after="160" w:line="278" w:lineRule="auto"/>
              <w:jc w:val="center"/>
              <w:rPr>
                <w:rFonts w:hint="eastAsia" w:ascii="仿宋" w:hAnsi="仿宋" w:eastAsia="仿宋" w:cs="仿宋"/>
                <w:b/>
                <w:bCs/>
                <w:kern w:val="2"/>
                <w:sz w:val="24"/>
                <w:szCs w:val="24"/>
                <w:lang w:val="nl-NL" w:eastAsia="nl-NL" w:bidi="nl-NL"/>
              </w:rPr>
            </w:pPr>
            <w:r>
              <w:rPr>
                <w:rFonts w:hint="eastAsia" w:ascii="仿宋" w:hAnsi="仿宋" w:eastAsia="仿宋" w:cs="仿宋"/>
                <w:kern w:val="2"/>
                <w:sz w:val="24"/>
                <w:szCs w:val="24"/>
                <w:lang w:val="nl-NL" w:eastAsia="zh-CN" w:bidi="nl-N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shd w:val="clear" w:color="auto" w:fill="auto"/>
            <w:vAlign w:val="center"/>
          </w:tcPr>
          <w:p>
            <w:pPr>
              <w:widowControl w:val="0"/>
              <w:adjustRightInd w:val="0"/>
              <w:snapToGrid w:val="0"/>
              <w:spacing w:before="1"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nl-NL"/>
              </w:rPr>
              <w:t>5</w:t>
            </w:r>
          </w:p>
        </w:tc>
        <w:tc>
          <w:tcPr>
            <w:tcW w:w="1059" w:type="dxa"/>
            <w:shd w:val="clear" w:color="auto" w:fill="auto"/>
            <w:vAlign w:val="center"/>
          </w:tcPr>
          <w:p>
            <w:pPr>
              <w:widowControl w:val="0"/>
              <w:adjustRightInd w:val="0"/>
              <w:snapToGrid w:val="0"/>
              <w:spacing w:before="1" w:after="160" w:line="278" w:lineRule="auto"/>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履约能力9%</w:t>
            </w:r>
          </w:p>
        </w:tc>
        <w:tc>
          <w:tcPr>
            <w:tcW w:w="1657" w:type="dxa"/>
            <w:shd w:val="clear" w:color="auto" w:fill="auto"/>
            <w:vAlign w:val="center"/>
          </w:tcPr>
          <w:p>
            <w:pPr>
              <w:widowControl w:val="0"/>
              <w:adjustRightInd w:val="0"/>
              <w:snapToGrid w:val="0"/>
              <w:spacing w:before="1" w:after="160" w:line="278" w:lineRule="auto"/>
              <w:ind w:right="104"/>
              <w:jc w:val="center"/>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ar-SA"/>
              </w:rPr>
              <w:t>9分</w:t>
            </w:r>
          </w:p>
        </w:tc>
        <w:tc>
          <w:tcPr>
            <w:tcW w:w="3116" w:type="dxa"/>
            <w:shd w:val="clear" w:color="auto" w:fill="auto"/>
            <w:vAlign w:val="center"/>
          </w:tcPr>
          <w:p>
            <w:pPr>
              <w:widowControl w:val="0"/>
              <w:adjustRightInd w:val="0"/>
              <w:snapToGrid w:val="0"/>
              <w:spacing w:after="160" w:line="278" w:lineRule="auto"/>
              <w:jc w:val="both"/>
              <w:rPr>
                <w:rFonts w:hint="eastAsia" w:ascii="仿宋" w:hAnsi="仿宋" w:eastAsia="仿宋" w:cs="仿宋"/>
                <w:b/>
                <w:kern w:val="2"/>
                <w:sz w:val="24"/>
                <w:szCs w:val="24"/>
                <w:lang w:val="nl-NL" w:eastAsia="nl-NL" w:bidi="nl-NL"/>
              </w:rPr>
            </w:pPr>
            <w:r>
              <w:rPr>
                <w:rFonts w:hint="eastAsia" w:ascii="仿宋" w:hAnsi="仿宋" w:eastAsia="仿宋" w:cs="仿宋"/>
                <w:kern w:val="2"/>
                <w:sz w:val="24"/>
                <w:szCs w:val="24"/>
                <w:lang w:val="en-US" w:eastAsia="zh-CN" w:bidi="nl-NL"/>
              </w:rPr>
              <w:t>供应商提供自2022年1月1日（含）至今（以合同签订日期为准）的类似项目业绩</w:t>
            </w:r>
            <w:r>
              <w:rPr>
                <w:rFonts w:hint="eastAsia" w:ascii="仿宋" w:hAnsi="仿宋" w:eastAsia="仿宋" w:cs="仿宋"/>
                <w:kern w:val="2"/>
                <w:sz w:val="24"/>
                <w:szCs w:val="24"/>
                <w:lang w:val="nl-NL" w:eastAsia="nl-NL" w:bidi="nl-NL"/>
              </w:rPr>
              <w:t>，每有一个得</w:t>
            </w:r>
            <w:r>
              <w:rPr>
                <w:rFonts w:hint="eastAsia" w:ascii="仿宋" w:hAnsi="仿宋" w:eastAsia="仿宋" w:cs="仿宋"/>
                <w:kern w:val="2"/>
                <w:sz w:val="24"/>
                <w:szCs w:val="24"/>
                <w:lang w:val="en-US" w:eastAsia="zh-CN" w:bidi="nl-NL"/>
              </w:rPr>
              <w:t>3</w:t>
            </w:r>
            <w:r>
              <w:rPr>
                <w:rFonts w:hint="eastAsia" w:ascii="仿宋" w:hAnsi="仿宋" w:eastAsia="仿宋" w:cs="仿宋"/>
                <w:kern w:val="2"/>
                <w:sz w:val="24"/>
                <w:szCs w:val="24"/>
                <w:lang w:val="nl-NL" w:eastAsia="nl-NL" w:bidi="nl-NL"/>
              </w:rPr>
              <w:t>分，最多得</w:t>
            </w:r>
            <w:r>
              <w:rPr>
                <w:rFonts w:hint="eastAsia" w:ascii="仿宋" w:hAnsi="仿宋" w:eastAsia="仿宋" w:cs="仿宋"/>
                <w:kern w:val="2"/>
                <w:sz w:val="24"/>
                <w:szCs w:val="24"/>
                <w:lang w:val="en-US" w:eastAsia="zh-CN" w:bidi="nl-NL"/>
              </w:rPr>
              <w:t>9</w:t>
            </w:r>
            <w:r>
              <w:rPr>
                <w:rFonts w:hint="eastAsia" w:ascii="仿宋" w:hAnsi="仿宋" w:eastAsia="仿宋" w:cs="仿宋"/>
                <w:kern w:val="2"/>
                <w:sz w:val="24"/>
                <w:szCs w:val="24"/>
                <w:lang w:val="nl-NL" w:eastAsia="nl-NL" w:bidi="nl-NL"/>
              </w:rPr>
              <w:t>分。</w:t>
            </w:r>
            <w:r>
              <w:rPr>
                <w:rFonts w:hint="eastAsia" w:ascii="仿宋" w:hAnsi="仿宋" w:eastAsia="仿宋" w:cs="仿宋"/>
                <w:kern w:val="2"/>
                <w:sz w:val="24"/>
                <w:szCs w:val="24"/>
                <w:lang w:val="nl-NL" w:eastAsia="zh-CN" w:bidi="nl-NL"/>
              </w:rPr>
              <w:t>（</w:t>
            </w:r>
            <w:r>
              <w:rPr>
                <w:rFonts w:hint="eastAsia" w:ascii="仿宋" w:hAnsi="仿宋" w:eastAsia="仿宋" w:cs="仿宋"/>
                <w:kern w:val="2"/>
                <w:sz w:val="24"/>
                <w:szCs w:val="24"/>
                <w:lang w:val="nl-NL" w:eastAsia="nl-NL" w:bidi="nl-NL"/>
              </w:rPr>
              <w:t>注：需提供合同复印件加盖</w:t>
            </w:r>
            <w:r>
              <w:rPr>
                <w:rFonts w:hint="eastAsia" w:ascii="仿宋" w:hAnsi="仿宋" w:eastAsia="仿宋" w:cs="仿宋"/>
                <w:kern w:val="2"/>
                <w:sz w:val="24"/>
                <w:szCs w:val="24"/>
                <w:lang w:val="en-US" w:eastAsia="zh-CN" w:bidi="nl-NL"/>
              </w:rPr>
              <w:t>投标人</w:t>
            </w:r>
            <w:r>
              <w:rPr>
                <w:rFonts w:hint="eastAsia" w:ascii="仿宋" w:hAnsi="仿宋" w:eastAsia="仿宋" w:cs="仿宋"/>
                <w:kern w:val="2"/>
                <w:sz w:val="24"/>
                <w:szCs w:val="24"/>
                <w:lang w:val="nl-NL" w:eastAsia="nl-NL" w:bidi="nl-NL"/>
              </w:rPr>
              <w:t>公章，不提供不得分</w:t>
            </w:r>
            <w:r>
              <w:rPr>
                <w:rFonts w:hint="eastAsia" w:ascii="仿宋" w:hAnsi="仿宋" w:eastAsia="仿宋" w:cs="仿宋"/>
                <w:kern w:val="2"/>
                <w:sz w:val="24"/>
                <w:szCs w:val="24"/>
                <w:lang w:val="nl-NL" w:eastAsia="zh-CN" w:bidi="nl-NL"/>
              </w:rPr>
              <w:t>）</w:t>
            </w:r>
          </w:p>
        </w:tc>
        <w:tc>
          <w:tcPr>
            <w:tcW w:w="1203" w:type="dxa"/>
            <w:shd w:val="clear" w:color="auto" w:fill="auto"/>
            <w:vAlign w:val="center"/>
          </w:tcPr>
          <w:p>
            <w:pPr>
              <w:widowControl w:val="0"/>
              <w:adjustRightInd w:val="0"/>
              <w:snapToGrid w:val="0"/>
              <w:spacing w:before="152" w:after="160" w:line="278" w:lineRule="auto"/>
              <w:ind w:right="96"/>
              <w:jc w:val="center"/>
              <w:rPr>
                <w:rFonts w:hint="eastAsia" w:ascii="仿宋" w:hAnsi="仿宋" w:eastAsia="仿宋" w:cs="仿宋"/>
                <w:b/>
                <w:bCs/>
                <w:kern w:val="2"/>
                <w:sz w:val="24"/>
                <w:szCs w:val="24"/>
                <w:lang w:val="nl-NL" w:eastAsia="nl-NL" w:bidi="nl-NL"/>
              </w:rPr>
            </w:pPr>
            <w:r>
              <w:rPr>
                <w:rFonts w:hint="eastAsia" w:ascii="仿宋" w:hAnsi="仿宋" w:eastAsia="仿宋" w:cs="仿宋"/>
                <w:kern w:val="2"/>
                <w:sz w:val="24"/>
                <w:szCs w:val="24"/>
                <w:lang w:val="nl-NL" w:eastAsia="zh-CN" w:bidi="nl-NL"/>
              </w:rPr>
              <w:t>客观分</w:t>
            </w:r>
          </w:p>
        </w:tc>
      </w:tr>
    </w:tbl>
    <w:p>
      <w:pPr>
        <w:spacing w:after="160" w:line="278" w:lineRule="auto"/>
        <w:rPr>
          <w:rFonts w:ascii="Calibri" w:hAnsi="Calibri" w:eastAsia="宋体" w:cs="Times New Roman"/>
          <w:szCs w:val="22"/>
        </w:rPr>
      </w:pPr>
    </w:p>
    <w:p>
      <w:pPr>
        <w:adjustRightInd w:val="0"/>
        <w:snapToGrid w:val="0"/>
        <w:spacing w:line="580" w:lineRule="exact"/>
        <w:rPr>
          <w:rFonts w:hint="eastAsia" w:ascii="仿宋" w:hAnsi="仿宋" w:eastAsia="仿宋" w:cs="仿宋"/>
          <w:sz w:val="20"/>
          <w:highlight w:val="none"/>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附件</w:t>
      </w:r>
      <w:r>
        <w:rPr>
          <w:rFonts w:hint="eastAsia" w:ascii="仿宋" w:hAnsi="仿宋" w:eastAsia="仿宋" w:cs="仿宋"/>
          <w:b/>
          <w:bCs/>
          <w:sz w:val="28"/>
          <w:szCs w:val="32"/>
          <w:highlight w:val="none"/>
          <w:lang w:val="en-US" w:eastAsia="zh-CN"/>
        </w:rPr>
        <w:t>3</w:t>
      </w:r>
      <w:r>
        <w:rPr>
          <w:rFonts w:hint="eastAsia" w:ascii="仿宋" w:hAnsi="仿宋" w:eastAsia="仿宋" w:cs="仿宋"/>
          <w:b/>
          <w:bCs/>
          <w:sz w:val="28"/>
          <w:szCs w:val="32"/>
          <w:highlight w:val="none"/>
        </w:rPr>
        <w:t>：</w:t>
      </w:r>
    </w:p>
    <w:p>
      <w:pPr>
        <w:spacing w:line="360" w:lineRule="auto"/>
        <w:jc w:val="center"/>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lang w:val="en-US" w:eastAsia="zh-CN"/>
        </w:rPr>
        <w:t>资格证明</w:t>
      </w:r>
      <w:r>
        <w:rPr>
          <w:rFonts w:hint="eastAsia" w:ascii="仿宋" w:hAnsi="仿宋" w:eastAsia="仿宋" w:cs="仿宋"/>
          <w:bCs/>
          <w:kern w:val="0"/>
          <w:sz w:val="40"/>
          <w:szCs w:val="44"/>
          <w:highlight w:val="none"/>
          <w:shd w:val="clear" w:color="auto" w:fill="FFFFFF"/>
        </w:rPr>
        <w:t>文件装订顺序</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1.封面（注明包号、</w:t>
      </w:r>
      <w:r>
        <w:rPr>
          <w:rFonts w:hint="eastAsia" w:ascii="仿宋" w:hAnsi="仿宋" w:eastAsia="仿宋" w:cs="仿宋"/>
          <w:spacing w:val="8"/>
          <w:kern w:val="0"/>
          <w:sz w:val="32"/>
          <w:szCs w:val="32"/>
          <w:highlight w:val="none"/>
          <w:shd w:val="clear" w:color="auto" w:fill="FFFFFF"/>
          <w:lang w:val="en-US" w:eastAsia="zh-CN"/>
        </w:rPr>
        <w:t>项目名称</w:t>
      </w:r>
      <w:r>
        <w:rPr>
          <w:rFonts w:hint="eastAsia" w:ascii="仿宋" w:hAnsi="仿宋" w:eastAsia="仿宋" w:cs="仿宋"/>
          <w:spacing w:val="8"/>
          <w:kern w:val="0"/>
          <w:sz w:val="32"/>
          <w:szCs w:val="32"/>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3.有效的营业执照（副本）复印件。</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4.</w:t>
      </w:r>
      <w:r>
        <w:rPr>
          <w:rFonts w:hint="eastAsia" w:ascii="仿宋" w:hAnsi="仿宋" w:eastAsia="仿宋" w:cs="仿宋"/>
          <w:spacing w:val="8"/>
          <w:kern w:val="0"/>
          <w:sz w:val="32"/>
          <w:szCs w:val="32"/>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spacing w:val="8"/>
          <w:kern w:val="0"/>
          <w:sz w:val="32"/>
          <w:szCs w:val="32"/>
          <w:highlight w:val="none"/>
          <w:shd w:val="clear" w:color="auto" w:fill="FFFFFF"/>
          <w:lang w:val="en-US" w:eastAsia="zh-CN"/>
        </w:rPr>
        <w:t>格式见附件5-5</w:t>
      </w:r>
      <w:r>
        <w:rPr>
          <w:rFonts w:hint="eastAsia" w:ascii="仿宋" w:hAnsi="仿宋" w:eastAsia="仿宋" w:cs="仿宋"/>
          <w:spacing w:val="8"/>
          <w:kern w:val="0"/>
          <w:sz w:val="32"/>
          <w:szCs w:val="32"/>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spacing w:val="8"/>
          <w:kern w:val="0"/>
          <w:sz w:val="32"/>
          <w:szCs w:val="32"/>
          <w:highlight w:val="none"/>
          <w:shd w:val="clear" w:color="auto" w:fill="FFFFFF"/>
          <w:lang w:val="en-US" w:eastAsia="zh-CN"/>
        </w:rPr>
        <w:t>明</w:t>
      </w:r>
      <w:r>
        <w:rPr>
          <w:rFonts w:hint="eastAsia" w:ascii="仿宋" w:hAnsi="仿宋" w:eastAsia="仿宋" w:cs="仿宋"/>
          <w:spacing w:val="8"/>
          <w:kern w:val="0"/>
          <w:sz w:val="32"/>
          <w:szCs w:val="32"/>
          <w:highlight w:val="none"/>
          <w:shd w:val="clear" w:color="auto" w:fill="FFFFFF"/>
          <w:lang w:eastAsia="zh-CN"/>
        </w:rPr>
        <w:t>（</w:t>
      </w:r>
      <w:r>
        <w:rPr>
          <w:rFonts w:hint="eastAsia" w:ascii="仿宋" w:hAnsi="仿宋" w:eastAsia="仿宋" w:cs="仿宋"/>
          <w:spacing w:val="8"/>
          <w:kern w:val="0"/>
          <w:sz w:val="32"/>
          <w:szCs w:val="32"/>
          <w:highlight w:val="none"/>
          <w:shd w:val="clear" w:color="auto" w:fill="FFFFFF"/>
          <w:lang w:val="en-US" w:eastAsia="zh-CN"/>
        </w:rPr>
        <w:t>格式见附件5-6</w:t>
      </w:r>
      <w:r>
        <w:rPr>
          <w:rFonts w:hint="eastAsia" w:ascii="仿宋" w:hAnsi="仿宋" w:eastAsia="仿宋" w:cs="仿宋"/>
          <w:spacing w:val="8"/>
          <w:kern w:val="0"/>
          <w:sz w:val="32"/>
          <w:szCs w:val="32"/>
          <w:highlight w:val="none"/>
          <w:shd w:val="clear" w:color="auto" w:fill="FFFFFF"/>
          <w:lang w:eastAsia="zh-CN"/>
        </w:rPr>
        <w:t>）)</w:t>
      </w:r>
      <w:r>
        <w:rPr>
          <w:rFonts w:hint="eastAsia" w:ascii="仿宋" w:hAnsi="仿宋" w:eastAsia="仿宋" w:cs="仿宋"/>
          <w:spacing w:val="8"/>
          <w:kern w:val="0"/>
          <w:sz w:val="32"/>
          <w:szCs w:val="32"/>
          <w:highlight w:val="none"/>
          <w:shd w:val="clear" w:color="auto" w:fill="FFFFFF"/>
        </w:rPr>
        <w:t>。</w:t>
      </w:r>
    </w:p>
    <w:p>
      <w:pPr>
        <w:pStyle w:val="10"/>
        <w:widowControl/>
        <w:adjustRightInd w:val="0"/>
        <w:snapToGrid w:val="0"/>
        <w:spacing w:beforeAutospacing="0" w:afterAutospacing="0" w:line="360" w:lineRule="auto"/>
        <w:ind w:firstLine="672" w:firstLineChars="200"/>
        <w:jc w:val="both"/>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5.</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具有良好的商业信誉和健全的财务会计制度</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提供承诺函</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spacing w:val="8"/>
          <w:kern w:val="0"/>
          <w:sz w:val="32"/>
          <w:szCs w:val="32"/>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6.具有履行合同所必须的设备和专业技术能力，</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7.具有依法缴纳税收和社会保障资金的良好记录，</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br w:type="page"/>
      </w:r>
    </w:p>
    <w:p>
      <w:pPr>
        <w:widowControl/>
        <w:adjustRightInd w:val="0"/>
        <w:snapToGrid w:val="0"/>
        <w:spacing w:line="580" w:lineRule="exact"/>
        <w:jc w:val="left"/>
        <w:rPr>
          <w:rFonts w:hint="eastAsia" w:ascii="仿宋" w:hAnsi="仿宋" w:eastAsia="仿宋" w:cs="仿宋"/>
          <w:b/>
          <w:bCs/>
          <w:kern w:val="0"/>
          <w:sz w:val="40"/>
          <w:szCs w:val="44"/>
          <w:highlight w:val="none"/>
          <w:shd w:val="clear" w:color="auto" w:fill="FFFFFF"/>
        </w:rPr>
      </w:pPr>
      <w:r>
        <w:rPr>
          <w:rFonts w:hint="eastAsia" w:ascii="仿宋" w:hAnsi="仿宋" w:eastAsia="仿宋" w:cs="仿宋"/>
          <w:b/>
          <w:bCs/>
          <w:sz w:val="28"/>
          <w:szCs w:val="32"/>
          <w:highlight w:val="none"/>
        </w:rPr>
        <w:t>附件</w:t>
      </w:r>
      <w:r>
        <w:rPr>
          <w:rFonts w:hint="eastAsia" w:ascii="仿宋" w:hAnsi="仿宋" w:eastAsia="仿宋" w:cs="仿宋"/>
          <w:b/>
          <w:bCs/>
          <w:sz w:val="28"/>
          <w:szCs w:val="32"/>
          <w:highlight w:val="none"/>
          <w:lang w:val="en-US" w:eastAsia="zh-CN"/>
        </w:rPr>
        <w:t>4：</w:t>
      </w:r>
    </w:p>
    <w:p>
      <w:pPr>
        <w:widowControl/>
        <w:adjustRightInd w:val="0"/>
        <w:snapToGrid w:val="0"/>
        <w:spacing w:line="580" w:lineRule="exact"/>
        <w:jc w:val="center"/>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t>采购</w:t>
      </w:r>
      <w:r>
        <w:rPr>
          <w:rFonts w:hint="eastAsia" w:ascii="仿宋" w:hAnsi="仿宋" w:eastAsia="仿宋" w:cs="仿宋"/>
          <w:bCs/>
          <w:kern w:val="0"/>
          <w:sz w:val="40"/>
          <w:szCs w:val="44"/>
          <w:highlight w:val="none"/>
          <w:shd w:val="clear" w:color="auto" w:fill="FFFFFF"/>
          <w:lang w:val="en-US" w:eastAsia="zh-CN"/>
        </w:rPr>
        <w:t>响应</w:t>
      </w:r>
      <w:r>
        <w:rPr>
          <w:rFonts w:hint="eastAsia" w:ascii="仿宋" w:hAnsi="仿宋" w:eastAsia="仿宋" w:cs="仿宋"/>
          <w:bCs/>
          <w:kern w:val="0"/>
          <w:sz w:val="40"/>
          <w:szCs w:val="44"/>
          <w:highlight w:val="none"/>
          <w:shd w:val="clear" w:color="auto" w:fill="FFFFFF"/>
        </w:rPr>
        <w:t>文件装订顺序</w:t>
      </w:r>
    </w:p>
    <w:p>
      <w:pPr>
        <w:pStyle w:val="5"/>
        <w:rPr>
          <w:rFonts w:hint="eastAsia" w:ascii="仿宋" w:hAnsi="仿宋" w:eastAsia="仿宋" w:cs="仿宋"/>
          <w:highlight w:val="none"/>
        </w:rPr>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1.封面（注明包号、</w:t>
      </w:r>
      <w:r>
        <w:rPr>
          <w:rFonts w:hint="eastAsia" w:ascii="仿宋" w:hAnsi="仿宋" w:eastAsia="仿宋" w:cs="仿宋"/>
          <w:spacing w:val="8"/>
          <w:kern w:val="0"/>
          <w:sz w:val="28"/>
          <w:szCs w:val="32"/>
          <w:highlight w:val="none"/>
          <w:shd w:val="clear" w:color="auto" w:fill="FFFFFF"/>
          <w:lang w:val="en-US" w:eastAsia="zh-CN"/>
        </w:rPr>
        <w:t>项目名称</w:t>
      </w:r>
      <w:r>
        <w:rPr>
          <w:rFonts w:hint="eastAsia" w:ascii="仿宋" w:hAnsi="仿宋" w:eastAsia="仿宋" w:cs="仿宋"/>
          <w:spacing w:val="8"/>
          <w:kern w:val="0"/>
          <w:sz w:val="28"/>
          <w:szCs w:val="32"/>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3.报价一览表（格式见附件</w:t>
      </w:r>
      <w:r>
        <w:rPr>
          <w:rFonts w:hint="eastAsia" w:ascii="仿宋" w:hAnsi="仿宋" w:eastAsia="仿宋" w:cs="仿宋"/>
          <w:spacing w:val="8"/>
          <w:kern w:val="0"/>
          <w:sz w:val="28"/>
          <w:szCs w:val="32"/>
          <w:highlight w:val="none"/>
          <w:shd w:val="clear" w:color="auto" w:fill="FFFFFF"/>
          <w:lang w:val="en-US" w:eastAsia="zh-CN"/>
        </w:rPr>
        <w:t>5-1</w:t>
      </w:r>
      <w:r>
        <w:rPr>
          <w:rFonts w:hint="eastAsia" w:ascii="仿宋" w:hAnsi="仿宋" w:eastAsia="仿宋" w:cs="仿宋"/>
          <w:spacing w:val="8"/>
          <w:kern w:val="0"/>
          <w:sz w:val="28"/>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rPr>
        <w:t>4.技术</w:t>
      </w:r>
      <w:r>
        <w:rPr>
          <w:rFonts w:hint="eastAsia" w:ascii="仿宋" w:hAnsi="仿宋" w:eastAsia="仿宋" w:cs="仿宋"/>
          <w:spacing w:val="8"/>
          <w:kern w:val="0"/>
          <w:sz w:val="28"/>
          <w:szCs w:val="32"/>
          <w:highlight w:val="none"/>
          <w:shd w:val="clear" w:color="auto" w:fill="FFFFFF"/>
          <w:lang w:eastAsia="zh-CN"/>
        </w:rPr>
        <w:t>、</w:t>
      </w:r>
      <w:r>
        <w:rPr>
          <w:rFonts w:hint="eastAsia" w:ascii="仿宋" w:hAnsi="仿宋" w:eastAsia="仿宋" w:cs="仿宋"/>
          <w:spacing w:val="8"/>
          <w:kern w:val="0"/>
          <w:sz w:val="28"/>
          <w:szCs w:val="32"/>
          <w:highlight w:val="none"/>
          <w:shd w:val="clear" w:color="auto" w:fill="FFFFFF"/>
        </w:rPr>
        <w:t>商务要求偏离表（格式见附件</w:t>
      </w:r>
      <w:r>
        <w:rPr>
          <w:rFonts w:hint="eastAsia" w:ascii="仿宋" w:hAnsi="仿宋" w:eastAsia="仿宋" w:cs="仿宋"/>
          <w:spacing w:val="8"/>
          <w:kern w:val="0"/>
          <w:sz w:val="28"/>
          <w:szCs w:val="32"/>
          <w:highlight w:val="none"/>
          <w:shd w:val="clear" w:color="auto" w:fill="FFFFFF"/>
          <w:lang w:val="en-US" w:eastAsia="zh-CN"/>
        </w:rPr>
        <w:t>5</w:t>
      </w:r>
      <w:r>
        <w:rPr>
          <w:rFonts w:hint="eastAsia" w:ascii="仿宋" w:hAnsi="仿宋" w:eastAsia="仿宋" w:cs="仿宋"/>
          <w:spacing w:val="8"/>
          <w:kern w:val="0"/>
          <w:sz w:val="28"/>
          <w:szCs w:val="32"/>
          <w:highlight w:val="none"/>
          <w:shd w:val="clear" w:color="auto" w:fill="FFFFFF"/>
        </w:rPr>
        <w:t>-</w:t>
      </w:r>
      <w:r>
        <w:rPr>
          <w:rFonts w:hint="eastAsia" w:ascii="仿宋" w:hAnsi="仿宋" w:eastAsia="仿宋" w:cs="仿宋"/>
          <w:spacing w:val="8"/>
          <w:kern w:val="0"/>
          <w:sz w:val="28"/>
          <w:szCs w:val="32"/>
          <w:highlight w:val="none"/>
          <w:shd w:val="clear" w:color="auto" w:fill="FFFFFF"/>
          <w:lang w:val="en-US" w:eastAsia="zh-CN"/>
        </w:rPr>
        <w:t>3</w:t>
      </w:r>
      <w:r>
        <w:rPr>
          <w:rFonts w:hint="eastAsia" w:ascii="仿宋" w:hAnsi="仿宋" w:eastAsia="仿宋" w:cs="仿宋"/>
          <w:spacing w:val="8"/>
          <w:kern w:val="0"/>
          <w:sz w:val="28"/>
          <w:szCs w:val="32"/>
          <w:highlight w:val="none"/>
          <w:shd w:val="clear" w:color="auto" w:fill="FFFFFF"/>
        </w:rPr>
        <w:t>）</w:t>
      </w:r>
      <w:r>
        <w:rPr>
          <w:rFonts w:hint="eastAsia" w:ascii="仿宋" w:hAnsi="仿宋" w:eastAsia="仿宋" w:cs="仿宋"/>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lang w:val="en-US" w:eastAsia="zh-CN"/>
        </w:rPr>
        <w:t>5.</w:t>
      </w:r>
      <w:r>
        <w:rPr>
          <w:rFonts w:hint="eastAsia" w:ascii="仿宋" w:hAnsi="仿宋" w:eastAsia="仿宋" w:cs="仿宋"/>
          <w:spacing w:val="8"/>
          <w:kern w:val="0"/>
          <w:sz w:val="28"/>
          <w:szCs w:val="32"/>
          <w:highlight w:val="none"/>
          <w:shd w:val="clear" w:color="auto" w:fill="FFFFFF"/>
        </w:rPr>
        <w:t>售后服务承诺</w:t>
      </w:r>
      <w:r>
        <w:rPr>
          <w:rFonts w:hint="eastAsia" w:ascii="仿宋" w:hAnsi="仿宋" w:eastAsia="仿宋" w:cs="仿宋"/>
          <w:spacing w:val="8"/>
          <w:kern w:val="0"/>
          <w:sz w:val="28"/>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6.反商业贿赂承诺书（</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6）</w:t>
      </w:r>
      <w:r>
        <w:rPr>
          <w:rFonts w:hint="eastAsia" w:ascii="仿宋" w:hAnsi="仿宋" w:eastAsia="仿宋" w:cs="仿宋"/>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7.禁止围标、串标情况承诺函（</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8.供应商遵守招标采购纪律承诺书（</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8）。</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9.行业相关</w:t>
      </w:r>
      <w:r>
        <w:rPr>
          <w:rFonts w:hint="eastAsia" w:ascii="仿宋" w:hAnsi="仿宋" w:eastAsia="仿宋" w:cs="仿宋"/>
          <w:spacing w:val="8"/>
          <w:kern w:val="0"/>
          <w:sz w:val="28"/>
          <w:szCs w:val="32"/>
          <w:highlight w:val="none"/>
          <w:shd w:val="clear" w:color="auto" w:fill="FFFFFF"/>
        </w:rPr>
        <w:t>规范或标准</w:t>
      </w:r>
      <w:r>
        <w:rPr>
          <w:rFonts w:hint="eastAsia" w:ascii="仿宋" w:hAnsi="仿宋" w:eastAsia="仿宋" w:cs="仿宋"/>
          <w:spacing w:val="8"/>
          <w:kern w:val="0"/>
          <w:sz w:val="28"/>
          <w:szCs w:val="32"/>
          <w:highlight w:val="none"/>
          <w:shd w:val="clear" w:color="auto" w:fill="FFFFFF"/>
          <w:lang w:eastAsia="zh-CN"/>
        </w:rPr>
        <w:t>（</w:t>
      </w:r>
      <w:r>
        <w:rPr>
          <w:rFonts w:hint="eastAsia" w:ascii="仿宋" w:hAnsi="仿宋" w:eastAsia="仿宋" w:cs="仿宋"/>
          <w:spacing w:val="8"/>
          <w:kern w:val="0"/>
          <w:sz w:val="28"/>
          <w:szCs w:val="32"/>
          <w:highlight w:val="none"/>
          <w:shd w:val="clear" w:color="auto" w:fill="FFFFFF"/>
          <w:lang w:val="en-US" w:eastAsia="zh-CN"/>
        </w:rPr>
        <w:t>如有</w:t>
      </w:r>
      <w:r>
        <w:rPr>
          <w:rFonts w:hint="eastAsia" w:ascii="仿宋" w:hAnsi="仿宋" w:eastAsia="仿宋" w:cs="仿宋"/>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10.供应商认为需要提供的其它资料</w:t>
      </w:r>
      <w:r>
        <w:rPr>
          <w:rFonts w:hint="eastAsia" w:ascii="仿宋" w:hAnsi="仿宋" w:eastAsia="仿宋" w:cs="仿宋"/>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11.</w:t>
      </w:r>
      <w:r>
        <w:rPr>
          <w:rFonts w:hint="eastAsia" w:ascii="仿宋" w:hAnsi="仿宋" w:eastAsia="仿宋" w:cs="仿宋"/>
          <w:spacing w:val="8"/>
          <w:kern w:val="0"/>
          <w:sz w:val="28"/>
          <w:szCs w:val="32"/>
          <w:highlight w:val="none"/>
          <w:shd w:val="clear" w:color="auto" w:fill="FFFFFF"/>
        </w:rPr>
        <w:t>封底</w:t>
      </w:r>
      <w:r>
        <w:rPr>
          <w:rFonts w:hint="eastAsia" w:ascii="仿宋" w:hAnsi="仿宋" w:eastAsia="仿宋" w:cs="仿宋"/>
          <w:spacing w:val="8"/>
          <w:kern w:val="0"/>
          <w:sz w:val="28"/>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t>注：请务必按以上顺序装订资料，如有非中文资料，请同时提供中文翻译件。</w:t>
      </w:r>
    </w:p>
    <w:p>
      <w:pPr>
        <w:pStyle w:val="5"/>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b/>
          <w:bCs/>
          <w:kern w:val="0"/>
          <w:sz w:val="28"/>
          <w:szCs w:val="32"/>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8"/>
          <w:szCs w:val="32"/>
          <w:highlight w:val="none"/>
        </w:rPr>
      </w:pPr>
    </w:p>
    <w:p>
      <w:pPr>
        <w:adjustRightInd w:val="0"/>
        <w:snapToGrid w:val="0"/>
        <w:spacing w:line="580" w:lineRule="exact"/>
        <w:rPr>
          <w:rFonts w:hint="eastAsia" w:ascii="仿宋" w:hAnsi="仿宋" w:eastAsia="仿宋" w:cs="仿宋"/>
          <w:sz w:val="28"/>
          <w:szCs w:val="32"/>
          <w:highlight w:val="none"/>
        </w:rPr>
      </w:pPr>
    </w:p>
    <w:p>
      <w:pPr>
        <w:rPr>
          <w:rFonts w:hint="eastAsia" w:ascii="仿宋" w:hAnsi="仿宋" w:eastAsia="仿宋" w:cs="仿宋"/>
          <w:sz w:val="28"/>
          <w:szCs w:val="32"/>
          <w:highlight w:val="none"/>
        </w:rPr>
      </w:pPr>
      <w:r>
        <w:rPr>
          <w:rFonts w:hint="eastAsia" w:ascii="仿宋" w:hAnsi="仿宋" w:eastAsia="仿宋" w:cs="仿宋"/>
          <w:sz w:val="28"/>
          <w:szCs w:val="32"/>
          <w:highlight w:val="none"/>
        </w:rPr>
        <w:br w:type="page"/>
      </w:r>
    </w:p>
    <w:p>
      <w:pPr>
        <w:adjustRightInd w:val="0"/>
        <w:snapToGrid w:val="0"/>
        <w:spacing w:line="580" w:lineRule="exact"/>
        <w:rPr>
          <w:rFonts w:hint="eastAsia" w:ascii="仿宋" w:hAnsi="仿宋" w:eastAsia="仿宋" w:cs="仿宋"/>
          <w:b/>
          <w:bCs/>
          <w:sz w:val="28"/>
          <w:szCs w:val="32"/>
          <w:highlight w:val="none"/>
          <w:lang w:val="en-US" w:eastAsia="zh-CN"/>
        </w:rPr>
      </w:pPr>
      <w:r>
        <w:rPr>
          <w:rFonts w:hint="eastAsia" w:ascii="仿宋" w:hAnsi="仿宋" w:eastAsia="仿宋" w:cs="仿宋"/>
          <w:b/>
          <w:bCs/>
          <w:sz w:val="28"/>
          <w:szCs w:val="32"/>
          <w:highlight w:val="none"/>
        </w:rPr>
        <w:t>附件</w:t>
      </w:r>
      <w:r>
        <w:rPr>
          <w:rFonts w:hint="eastAsia" w:ascii="仿宋" w:hAnsi="仿宋" w:eastAsia="仿宋" w:cs="仿宋"/>
          <w:b/>
          <w:bCs/>
          <w:sz w:val="28"/>
          <w:szCs w:val="32"/>
          <w:highlight w:val="none"/>
          <w:lang w:val="en-US" w:eastAsia="zh-CN"/>
        </w:rPr>
        <w:t>5</w:t>
      </w:r>
      <w:r>
        <w:rPr>
          <w:rFonts w:hint="eastAsia" w:ascii="仿宋" w:hAnsi="仿宋" w:eastAsia="仿宋" w:cs="仿宋"/>
          <w:b/>
          <w:bCs/>
          <w:sz w:val="28"/>
          <w:szCs w:val="32"/>
          <w:highlight w:val="none"/>
        </w:rPr>
        <w:t>：主要表格</w:t>
      </w:r>
      <w:r>
        <w:rPr>
          <w:rFonts w:hint="eastAsia" w:ascii="仿宋" w:hAnsi="仿宋" w:eastAsia="仿宋" w:cs="仿宋"/>
          <w:b/>
          <w:bCs/>
          <w:sz w:val="28"/>
          <w:szCs w:val="32"/>
          <w:highlight w:val="none"/>
          <w:lang w:val="en-US" w:eastAsia="zh-CN"/>
        </w:rPr>
        <w:t>格式</w:t>
      </w:r>
    </w:p>
    <w:p>
      <w:pPr>
        <w:widowControl/>
        <w:shd w:val="clear" w:color="auto" w:fill="FFFFFF"/>
        <w:wordWrap w:val="0"/>
        <w:spacing w:line="400" w:lineRule="atLeast"/>
        <w:jc w:val="left"/>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z w:val="44"/>
          <w:szCs w:val="44"/>
          <w:highlight w:val="none"/>
        </w:rPr>
      </w:pPr>
      <w:r>
        <w:rPr>
          <w:rFonts w:hint="eastAsia" w:ascii="仿宋" w:hAnsi="仿宋" w:eastAsia="仿宋" w:cs="仿宋"/>
          <w:color w:val="auto"/>
          <w:kern w:val="0"/>
          <w:sz w:val="30"/>
          <w:szCs w:val="30"/>
          <w:highlight w:val="none"/>
          <w:u w:val="single"/>
          <w:lang w:val="en-US" w:eastAsia="zh-CN"/>
        </w:rPr>
        <w:t>XXX</w:t>
      </w:r>
      <w:r>
        <w:rPr>
          <w:rFonts w:hint="eastAsia" w:ascii="仿宋" w:hAnsi="仿宋" w:eastAsia="仿宋" w:cs="仿宋"/>
          <w:color w:val="auto"/>
          <w:kern w:val="0"/>
          <w:sz w:val="30"/>
          <w:szCs w:val="30"/>
          <w:highlight w:val="none"/>
          <w:lang w:val="en-US" w:eastAsia="zh-CN"/>
        </w:rPr>
        <w:t>采购项目报价一览表</w:t>
      </w:r>
    </w:p>
    <w:tbl>
      <w:tblPr>
        <w:tblStyle w:val="13"/>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kern w:val="0"/>
                <w:sz w:val="28"/>
                <w:szCs w:val="28"/>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单价</w:t>
            </w:r>
            <w:r>
              <w:rPr>
                <w:rFonts w:hint="eastAsia" w:ascii="仿宋" w:hAnsi="仿宋" w:eastAsia="仿宋" w:cs="仿宋"/>
                <w:b/>
                <w:color w:val="000000" w:themeColor="text1"/>
                <w:sz w:val="28"/>
                <w:szCs w:val="28"/>
                <w:highlight w:val="none"/>
                <w14:textFill>
                  <w14:solidFill>
                    <w14:schemeClr w14:val="tx1"/>
                  </w14:solidFill>
                </w14:textFill>
              </w:rPr>
              <w:t>最高限价</w:t>
            </w:r>
          </w:p>
          <w:p>
            <w:pPr>
              <w:widowControl/>
              <w:adjustRightInd w:val="0"/>
              <w:snapToGrid w:val="0"/>
              <w:spacing w:after="0" w:line="360" w:lineRule="auto"/>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color w:val="000000" w:themeColor="text1"/>
                <w:sz w:val="28"/>
                <w:szCs w:val="28"/>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highlight w:val="none"/>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val="en-US" w:eastAsia="zh-CN" w:bidi="ar"/>
              </w:rPr>
              <w:t>报价</w:t>
            </w:r>
            <w:r>
              <w:rPr>
                <w:rFonts w:hint="eastAsia" w:ascii="仿宋" w:hAnsi="仿宋" w:eastAsia="仿宋" w:cs="仿宋"/>
                <w:b/>
                <w:bCs/>
                <w:kern w:val="0"/>
                <w:sz w:val="28"/>
                <w:szCs w:val="28"/>
                <w:highlight w:val="none"/>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rPr>
              <w:t>病案托管服务</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rPr>
              <w:t>1.5元/箱/月</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kern w:val="0"/>
                <w:sz w:val="28"/>
                <w:szCs w:val="28"/>
                <w:lang w:val="en-US" w:eastAsia="zh-CN"/>
              </w:rPr>
              <w:t>项</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8"/>
                <w:szCs w:val="28"/>
                <w:highlight w:val="none"/>
                <w:lang w:bidi="ar"/>
              </w:rPr>
            </w:pPr>
          </w:p>
        </w:tc>
      </w:tr>
    </w:tbl>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1.报价应是最终用户验收合格后的总价，包括设备运输、保险、代理、安装调试、培训、税费、系统集成费用和采购文件规定的其它费用。</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2.“报价表”为多页的，每页均需由法定代表人或授权代表签字并盖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印章。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3.单价报价超过单价最高限价的为无效报价，供应商响应文件将作无效响应处理。</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供应商名称：（盖章）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pPr>
        <w:widowControl/>
        <w:shd w:val="clear" w:color="auto" w:fill="FFFFFF"/>
        <w:wordWrap w:val="0"/>
        <w:spacing w:line="400" w:lineRule="atLeast"/>
        <w:jc w:val="left"/>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仿宋" w:hAnsi="仿宋" w:eastAsia="仿宋" w:cs="仿宋"/>
          <w:color w:val="auto"/>
          <w:kern w:val="0"/>
          <w:sz w:val="30"/>
          <w:szCs w:val="30"/>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z w:val="44"/>
          <w:szCs w:val="44"/>
          <w:highlight w:val="none"/>
        </w:rPr>
      </w:pPr>
      <w:r>
        <w:rPr>
          <w:rFonts w:hint="eastAsia" w:ascii="仿宋" w:hAnsi="仿宋" w:eastAsia="仿宋" w:cs="仿宋"/>
          <w:color w:val="auto"/>
          <w:kern w:val="0"/>
          <w:sz w:val="30"/>
          <w:szCs w:val="30"/>
          <w:highlight w:val="none"/>
          <w:u w:val="single"/>
          <w:lang w:val="en-US" w:eastAsia="zh-CN"/>
        </w:rPr>
        <w:t>XXX</w:t>
      </w:r>
      <w:r>
        <w:rPr>
          <w:rFonts w:hint="eastAsia" w:ascii="仿宋" w:hAnsi="仿宋" w:eastAsia="仿宋" w:cs="仿宋"/>
          <w:color w:val="auto"/>
          <w:kern w:val="0"/>
          <w:sz w:val="30"/>
          <w:szCs w:val="30"/>
          <w:highlight w:val="none"/>
          <w:lang w:val="en-US" w:eastAsia="zh-CN"/>
        </w:rPr>
        <w:t>采购项目最后报价表</w:t>
      </w:r>
    </w:p>
    <w:tbl>
      <w:tblPr>
        <w:tblStyle w:val="13"/>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kern w:val="0"/>
                <w:sz w:val="28"/>
                <w:szCs w:val="28"/>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单价</w:t>
            </w:r>
            <w:r>
              <w:rPr>
                <w:rFonts w:hint="eastAsia" w:ascii="仿宋" w:hAnsi="仿宋" w:eastAsia="仿宋" w:cs="仿宋"/>
                <w:b/>
                <w:color w:val="000000" w:themeColor="text1"/>
                <w:sz w:val="28"/>
                <w:szCs w:val="28"/>
                <w:highlight w:val="none"/>
                <w14:textFill>
                  <w14:solidFill>
                    <w14:schemeClr w14:val="tx1"/>
                  </w14:solidFill>
                </w14:textFill>
              </w:rPr>
              <w:t>最高限价</w:t>
            </w:r>
          </w:p>
          <w:p>
            <w:pPr>
              <w:widowControl/>
              <w:adjustRightInd w:val="0"/>
              <w:snapToGrid w:val="0"/>
              <w:spacing w:after="0" w:line="360" w:lineRule="auto"/>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color w:val="000000" w:themeColor="text1"/>
                <w:sz w:val="28"/>
                <w:szCs w:val="28"/>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highlight w:val="none"/>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val="en-US" w:eastAsia="zh-CN" w:bidi="ar"/>
              </w:rPr>
              <w:t>报价</w:t>
            </w:r>
            <w:r>
              <w:rPr>
                <w:rFonts w:hint="eastAsia" w:ascii="仿宋" w:hAnsi="仿宋" w:eastAsia="仿宋" w:cs="仿宋"/>
                <w:b/>
                <w:bCs/>
                <w:kern w:val="0"/>
                <w:sz w:val="28"/>
                <w:szCs w:val="28"/>
                <w:highlight w:val="none"/>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rPr>
              <w:t>病案托管服务</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both"/>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rPr>
              <w:t>1.5元/箱/月</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kern w:val="0"/>
                <w:sz w:val="28"/>
                <w:szCs w:val="28"/>
                <w:lang w:val="en-US" w:eastAsia="zh-CN"/>
              </w:rPr>
              <w:t>项</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8"/>
                <w:szCs w:val="28"/>
                <w:highlight w:val="none"/>
                <w:lang w:bidi="ar"/>
              </w:rPr>
            </w:pPr>
          </w:p>
        </w:tc>
      </w:tr>
    </w:tbl>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1.报价应是最终用户验收合格后的总价，包括设备运输、保险、代理、安装调试、培训、税费、系统集成费用和采购文件规定的其它费用。</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2.“报价表”为多页的，每页均需由法定代表人或授权代表签字并盖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印章。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3.单价报价超过单价最高限价的为无效报价，供应商响应文件将作无效响应处理。</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4.两轮（若有）以上报价的，供应商在未提高响应文件中承诺的产品及其服务质量的情况下，其最后报价不得高于对该项目之前的报价</w:t>
      </w:r>
      <w:r>
        <w:rPr>
          <w:rFonts w:hint="eastAsia" w:ascii="仿宋" w:hAnsi="仿宋" w:eastAsia="仿宋" w:cs="仿宋"/>
          <w:color w:val="auto"/>
          <w:kern w:val="0"/>
          <w:sz w:val="24"/>
          <w:szCs w:val="24"/>
          <w:highlight w:val="none"/>
          <w:lang w:eastAsia="zh-CN"/>
        </w:rPr>
        <w:t>。</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最后</w:t>
      </w:r>
      <w:r>
        <w:rPr>
          <w:rFonts w:hint="eastAsia" w:ascii="仿宋" w:hAnsi="仿宋" w:eastAsia="仿宋" w:cs="仿宋"/>
          <w:color w:val="auto"/>
          <w:kern w:val="0"/>
          <w:sz w:val="24"/>
          <w:szCs w:val="24"/>
          <w:highlight w:val="none"/>
        </w:rPr>
        <w:t>报价表”需单独密封。</w:t>
      </w: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供应商名称：（盖章）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widowControl/>
        <w:shd w:val="clear" w:color="auto" w:fill="FFFFFF"/>
        <w:wordWrap w:val="0"/>
        <w:spacing w:line="400" w:lineRule="atLeast"/>
        <w:jc w:val="left"/>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w:t>
      </w:r>
    </w:p>
    <w:p>
      <w:pPr>
        <w:widowControl/>
        <w:shd w:val="clear" w:color="auto" w:fill="FFFFFF"/>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技术、商务要求偏离表</w:t>
      </w:r>
    </w:p>
    <w:tbl>
      <w:tblPr>
        <w:tblStyle w:val="13"/>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360" w:lineRule="auto"/>
        <w:ind w:firstLine="48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1.供应商根据</w:t>
      </w:r>
      <w:r>
        <w:rPr>
          <w:rFonts w:hint="eastAsia" w:ascii="仿宋" w:hAnsi="仿宋" w:eastAsia="仿宋" w:cs="仿宋"/>
          <w:color w:val="auto"/>
          <w:kern w:val="0"/>
          <w:sz w:val="22"/>
          <w:highlight w:val="none"/>
          <w:lang w:val="en-US" w:eastAsia="zh-CN"/>
        </w:rPr>
        <w:t>附件1“采购需求”中的</w:t>
      </w:r>
      <w:r>
        <w:rPr>
          <w:rFonts w:hint="eastAsia" w:ascii="仿宋" w:hAnsi="仿宋" w:eastAsia="仿宋" w:cs="仿宋"/>
          <w:color w:val="auto"/>
          <w:kern w:val="0"/>
          <w:sz w:val="22"/>
          <w:highlight w:val="none"/>
        </w:rPr>
        <w:t>“技术要求”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，对应进行填写。未单独填写的条款，视为默认响应。</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2.若无偏离，可在偏离情况中填“/”；若有偏离，需在偏离情况中进行说明；</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3.若“技术要求”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要求提供证明材料，需按要求提供证明材料。</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供应商名称：XXXX（盖单位公章）</w:t>
      </w:r>
    </w:p>
    <w:p>
      <w:pPr>
        <w:widowControl/>
        <w:shd w:val="clear" w:color="auto" w:fill="FFFFFF"/>
        <w:wordWrap w:val="0"/>
        <w:spacing w:line="360" w:lineRule="auto"/>
        <w:ind w:firstLine="42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法定代表人或授权代表签字：</w:t>
      </w:r>
    </w:p>
    <w:p>
      <w:pPr>
        <w:widowControl/>
        <w:shd w:val="clear" w:color="auto" w:fill="FFFFFF"/>
        <w:wordWrap w:val="0"/>
        <w:spacing w:line="360" w:lineRule="auto"/>
        <w:ind w:firstLine="36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日期:</w:t>
      </w:r>
    </w:p>
    <w:p>
      <w:pPr>
        <w:spacing w:line="360" w:lineRule="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p>
    <w:p>
      <w:pPr>
        <w:widowControl/>
        <w:shd w:val="clear" w:color="auto" w:fill="FFFFFF"/>
        <w:wordWrap w:val="0"/>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8"/>
          <w:szCs w:val="28"/>
          <w:highlight w:val="none"/>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270" w:lineRule="atLeast"/>
        <w:ind w:firstLine="449"/>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b/>
          <w:bCs/>
          <w:color w:val="auto"/>
          <w:kern w:val="0"/>
          <w:sz w:val="24"/>
          <w:szCs w:val="24"/>
          <w:highlight w:val="none"/>
        </w:rPr>
        <w:t>:</w:t>
      </w:r>
    </w:p>
    <w:p>
      <w:pPr>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pPr>
        <w:pStyle w:val="20"/>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p>
    <w:p>
      <w:pPr>
        <w:pStyle w:val="20"/>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授权委托书</w:t>
      </w:r>
    </w:p>
    <w:p>
      <w:pPr>
        <w:pStyle w:val="20"/>
        <w:pageBreakBefore w:val="0"/>
        <w:kinsoku/>
        <w:wordWrap/>
        <w:overflowPunct/>
        <w:topLinePunct w:val="0"/>
        <w:bidi w:val="0"/>
        <w:spacing w:line="360" w:lineRule="auto"/>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（供应商名称）的法定代表人（单位负责人），现委托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（姓名）为我方代理人。代理人在本次采购中所签署的一切文件和处理的一切有关事宜，我公司（单位）均予承认，所产生的法律后果均由我公司（单位）承担。</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委托期限：自本授权委托书签署之日起至响应文件有效期届满之日止。代理人无转委托权。</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授权代表（代理人）签字：XXXX。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授权代表（代理人）</w:t>
      </w:r>
      <w:r>
        <w:rPr>
          <w:rFonts w:hint="eastAsia" w:ascii="仿宋" w:hAnsi="仿宋" w:eastAsia="仿宋" w:cs="仿宋"/>
          <w:sz w:val="24"/>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★说明：上述证明文件附有法定代表人、被授权代表身份证复印件（</w:t>
      </w:r>
      <w:r>
        <w:rPr>
          <w:rFonts w:hint="eastAsia" w:ascii="仿宋" w:hAnsi="仿宋" w:eastAsia="仿宋" w:cs="仿宋"/>
          <w:color w:val="auto"/>
          <w:kern w:val="0"/>
          <w:sz w:val="24"/>
          <w:szCs w:val="24"/>
          <w:highlight w:val="none"/>
          <w:lang w:val="en-US" w:eastAsia="zh-CN"/>
        </w:rPr>
        <w:t>双方签字并</w:t>
      </w:r>
      <w:r>
        <w:rPr>
          <w:rFonts w:hint="eastAsia" w:ascii="仿宋" w:hAnsi="仿宋" w:eastAsia="仿宋" w:cs="仿宋"/>
          <w:color w:val="auto"/>
          <w:kern w:val="0"/>
          <w:sz w:val="24"/>
          <w:szCs w:val="24"/>
          <w:highlight w:val="none"/>
        </w:rPr>
        <w:t>加盖公章）时才能生效。</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法定代表人（单位负责人）身份证明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（供应商名称）的法定代表人（单位负责人）（职务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特此证明。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3398"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pPr>
        <w:rPr>
          <w:rFonts w:hint="eastAsia" w:ascii="仿宋" w:hAnsi="仿宋" w:eastAsia="仿宋" w:cs="仿宋"/>
          <w:b/>
          <w:bCs/>
          <w:color w:val="auto"/>
          <w:kern w:val="0"/>
          <w:sz w:val="24"/>
          <w:szCs w:val="24"/>
          <w:highlight w:val="none"/>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pStyle w:val="7"/>
        <w:rPr>
          <w:rFonts w:hint="eastAsia" w:ascii="仿宋" w:hAnsi="仿宋" w:eastAsia="仿宋" w:cs="仿宋"/>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pStyle w:val="21"/>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承诺函</w:t>
      </w:r>
    </w:p>
    <w:p>
      <w:pPr>
        <w:pStyle w:val="21"/>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color="auto" w:fill="FFFFFF"/>
        </w:rPr>
        <w:t>承诺函</w:t>
      </w:r>
    </w:p>
    <w:p>
      <w:pPr>
        <w:pageBreakBefore w:val="0"/>
        <w:kinsoku/>
        <w:overflowPunct/>
        <w:topLinePunct w:val="0"/>
        <w:autoSpaceDE/>
        <w:autoSpaceDN/>
        <w:bidi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四川省妇幼保健院：</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本供应商</w:t>
      </w:r>
      <w:r>
        <w:rPr>
          <w:rFonts w:hint="eastAsia" w:ascii="仿宋" w:hAnsi="仿宋" w:eastAsia="仿宋" w:cs="仿宋"/>
          <w:sz w:val="28"/>
          <w:szCs w:val="28"/>
          <w:highlight w:val="none"/>
          <w:u w:val="single"/>
        </w:rPr>
        <w:t xml:space="preserve">      （供应商全称）        </w:t>
      </w:r>
      <w:r>
        <w:rPr>
          <w:rFonts w:hint="eastAsia" w:ascii="仿宋" w:hAnsi="仿宋" w:eastAsia="仿宋" w:cs="仿宋"/>
          <w:sz w:val="28"/>
          <w:szCs w:val="28"/>
          <w:highlight w:val="none"/>
        </w:rPr>
        <w:t>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）的磋商活动，现郑重承诺：</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一、具备本项目规定的条件：</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（一）具有独立承担民事责任的能力；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（二）具有良好的商业信誉和健全的财务会计制度；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（三）具有履行合同所必需的设备和专业技术能力；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（四）有依法缴纳税收和社会保障资金的良好记录；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（五）参加采购活动前三年内，在经营活动中没有重大违法记录；</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（六）法律、行政法规规定的其他条件；</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pageBreakBefore w:val="0"/>
        <w:kinsoku/>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p>
    <w:p>
      <w:pPr>
        <w:pageBreakBefore w:val="0"/>
        <w:kinsoku/>
        <w:overflowPunct/>
        <w:topLinePunct w:val="0"/>
        <w:autoSpaceDE/>
        <w:autoSpaceDN/>
        <w:bidi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        （盖章）</w:t>
      </w:r>
    </w:p>
    <w:p>
      <w:pPr>
        <w:pageBreakBefore w:val="0"/>
        <w:kinsoku/>
        <w:overflowPunct/>
        <w:topLinePunct w:val="0"/>
        <w:autoSpaceDE/>
        <w:autoSpaceDN/>
        <w:bidi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w:t>
      </w:r>
      <w:r>
        <w:rPr>
          <w:rFonts w:hint="eastAsia" w:ascii="仿宋" w:hAnsi="仿宋" w:eastAsia="仿宋" w:cs="仿宋"/>
          <w:sz w:val="28"/>
          <w:szCs w:val="28"/>
          <w:highlight w:val="none"/>
          <w:u w:val="single"/>
        </w:rPr>
        <w:t>签字或盖章</w:t>
      </w:r>
      <w:r>
        <w:rPr>
          <w:rFonts w:hint="eastAsia" w:ascii="仿宋" w:hAnsi="仿宋" w:eastAsia="仿宋" w:cs="仿宋"/>
          <w:sz w:val="28"/>
          <w:szCs w:val="28"/>
          <w:highlight w:val="none"/>
        </w:rPr>
        <w:t>）：</w:t>
      </w:r>
    </w:p>
    <w:p>
      <w:pPr>
        <w:pageBreakBefore w:val="0"/>
        <w:kinsoku/>
        <w:overflowPunct/>
        <w:topLinePunct w:val="0"/>
        <w:autoSpaceDE/>
        <w:autoSpaceDN/>
        <w:bidi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pStyle w:val="9"/>
        <w:rPr>
          <w:rFonts w:hint="eastAsia"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p>
    <w:p>
      <w:pPr>
        <w:keepNext w:val="0"/>
        <w:keepLines w:val="0"/>
        <w:pageBreakBefore w:val="0"/>
        <w:widowControl/>
        <w:shd w:val="clear" w:color="auto" w:fill="FFFFFF"/>
        <w:kinsoku/>
        <w:wordWrap w:val="0"/>
        <w:overflowPunct/>
        <w:topLinePunct w:val="0"/>
        <w:autoSpaceDE/>
        <w:autoSpaceDN/>
        <w:bidi w:val="0"/>
        <w:spacing w:line="360" w:lineRule="auto"/>
        <w:jc w:val="center"/>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1、不与其他</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60" w:lineRule="auto"/>
        <w:ind w:firstLine="42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六、采购物资名称：</w:t>
      </w:r>
    </w:p>
    <w:p>
      <w:pPr>
        <w:keepNext w:val="0"/>
        <w:keepLines w:val="0"/>
        <w:pageBreakBefore w:val="0"/>
        <w:widowControl/>
        <w:shd w:val="clear" w:color="auto" w:fill="FFFFFF"/>
        <w:kinsoku/>
        <w:wordWrap w:val="0"/>
        <w:overflowPunct/>
        <w:topLinePunct w:val="0"/>
        <w:autoSpaceDE/>
        <w:autoSpaceDN/>
        <w:bidi w:val="0"/>
        <w:spacing w:line="360"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60" w:lineRule="auto"/>
        <w:ind w:firstLine="280" w:firstLineChars="100"/>
        <w:jc w:val="left"/>
        <w:textAlignment w:val="auto"/>
        <w:rPr>
          <w:rFonts w:hint="eastAsia" w:ascii="仿宋" w:hAnsi="仿宋" w:eastAsia="仿宋" w:cs="仿宋"/>
          <w:b/>
          <w:bCs/>
          <w:kern w:val="0"/>
          <w:sz w:val="28"/>
          <w:szCs w:val="28"/>
          <w:highlight w:val="none"/>
          <w:shd w:val="clear" w:color="auto" w:fill="FFFFFF"/>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color w:val="auto"/>
          <w:kern w:val="0"/>
          <w:sz w:val="28"/>
          <w:szCs w:val="28"/>
          <w:highlight w:val="none"/>
        </w:rPr>
        <w:t>承诺企业名称（公章）法人代表或委托代理人（承诺人）</w:t>
      </w:r>
    </w:p>
    <w:p>
      <w:pPr>
        <w:widowControl/>
        <w:shd w:val="clear" w:color="auto" w:fill="FFFFFF"/>
        <w:wordWrap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附件</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p>
    <w:p>
      <w:pPr>
        <w:pStyle w:val="7"/>
        <w:ind w:firstLine="2108" w:firstLineChars="75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无围标、串标行为承诺书</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1.不同供应商的投标文件由同一单位或者个人编制；</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2.不同供应商委托同一单位或者个人办理投标事宜；</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3.不同供应商的投标文件载明的项目管理成员或者联系人员为同一人；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4.不同供应商的投标文件异常一致或者投标报价呈规律性差异；</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5.不同供应商的投标文件相互混装；</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6.不同供应商的投标保证金从同一单位或者个人的账户转出；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8.供应商之间事先约定由某一特定供应商中标、成交；</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9.供应商之间商定部分供应商放弃参加采购活动或者放弃中标、成交；</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10.法律法规界定的其他围标串标行为。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法人代表或委托代理人（承诺人） ：</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 xml:space="preserve">：（公章）  </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   年    月    日</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p>
    <w:p>
      <w:pPr>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br w:type="page"/>
      </w:r>
    </w:p>
    <w:p>
      <w:pPr>
        <w:widowControl/>
        <w:shd w:val="clear" w:color="auto" w:fill="FFFFFF"/>
        <w:wordWrap w:val="0"/>
        <w:jc w:val="left"/>
        <w:rPr>
          <w:rFonts w:hint="eastAsia"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附件</w:t>
      </w:r>
      <w:r>
        <w:rPr>
          <w:rFonts w:hint="eastAsia" w:ascii="仿宋" w:hAnsi="仿宋" w:eastAsia="仿宋" w:cs="仿宋"/>
          <w:bCs/>
          <w:color w:val="auto"/>
          <w:kern w:val="0"/>
          <w:sz w:val="28"/>
          <w:szCs w:val="28"/>
          <w:highlight w:val="none"/>
          <w:lang w:val="en-US" w:eastAsia="zh-CN"/>
        </w:rPr>
        <w:t>8</w:t>
      </w:r>
      <w:r>
        <w:rPr>
          <w:rFonts w:hint="eastAsia" w:ascii="仿宋" w:hAnsi="仿宋" w:eastAsia="仿宋" w:cs="仿宋"/>
          <w:bCs/>
          <w:color w:val="auto"/>
          <w:kern w:val="0"/>
          <w:sz w:val="28"/>
          <w:szCs w:val="28"/>
          <w:highlight w:val="none"/>
        </w:rPr>
        <w:t>：</w:t>
      </w:r>
    </w:p>
    <w:p>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供应商遵守招标采购纪律承诺书</w:t>
      </w:r>
    </w:p>
    <w:p>
      <w:pPr>
        <w:jc w:val="center"/>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致四川省妇幼保健院：</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我单位作为本次采购项目的供应商，根据</w:t>
      </w:r>
      <w:r>
        <w:rPr>
          <w:rFonts w:hint="eastAsia" w:ascii="仿宋" w:hAnsi="仿宋" w:eastAsia="仿宋" w:cs="仿宋"/>
          <w:color w:val="auto"/>
          <w:kern w:val="0"/>
          <w:sz w:val="28"/>
          <w:szCs w:val="28"/>
          <w:highlight w:val="none"/>
          <w:lang w:val="en-US" w:eastAsia="zh-CN"/>
        </w:rPr>
        <w:t>采购</w:t>
      </w:r>
      <w:r>
        <w:rPr>
          <w:rFonts w:hint="eastAsia" w:ascii="仿宋" w:hAnsi="仿宋" w:eastAsia="仿宋" w:cs="仿宋"/>
          <w:color w:val="auto"/>
          <w:kern w:val="0"/>
          <w:sz w:val="28"/>
          <w:szCs w:val="28"/>
          <w:highlight w:val="none"/>
        </w:rPr>
        <w:t>文件要求，现郑重承诺如下：</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三、参加本次采购活动，不得按照采购人的授意撤换、修改投标文件或者响应文件。</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十、与我方存在直接控股关系的单位为：_______________；</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存在管理关系单位为：____________________________。</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供应商名称（单位公章）：                 年    月   日      </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法定代表人/单位负责人或授权代表</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（签字或加盖个人名章）：        </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widowControl/>
        <w:shd w:val="clear" w:color="auto" w:fill="FFFFFF"/>
        <w:wordWrap w:val="0"/>
        <w:spacing w:line="500" w:lineRule="exact"/>
        <w:ind w:firstLine="560" w:firstLineChars="200"/>
        <w:jc w:val="left"/>
        <w:rPr>
          <w:rFonts w:hint="eastAsia" w:ascii="仿宋" w:hAnsi="仿宋" w:eastAsia="仿宋" w:cs="仿宋"/>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hint="eastAsia" w:ascii="仿宋" w:hAnsi="仿宋" w:eastAsia="仿宋" w:cs="仿宋"/>
          <w:sz w:val="28"/>
          <w:szCs w:val="28"/>
          <w:highlight w:val="none"/>
        </w:rPr>
      </w:pPr>
      <w:r>
        <w:rPr>
          <w:rFonts w:hint="eastAsia" w:ascii="仿宋" w:hAnsi="仿宋" w:eastAsia="仿宋" w:cs="仿宋"/>
          <w:color w:val="auto"/>
          <w:kern w:val="0"/>
          <w:sz w:val="28"/>
          <w:szCs w:val="28"/>
          <w:highlight w:val="none"/>
        </w:rPr>
        <w:t>3.“管理关系”是指与不具有出资持股关系的单位之间存在的其他管理与被管理关系。</w:t>
      </w:r>
    </w:p>
    <w:p>
      <w:pPr>
        <w:widowControl/>
        <w:jc w:val="left"/>
        <w:rPr>
          <w:rFonts w:hint="eastAsia" w:ascii="仿宋" w:hAnsi="仿宋" w:eastAsia="仿宋" w:cs="仿宋"/>
          <w:sz w:val="28"/>
          <w:szCs w:val="28"/>
          <w:highlight w:val="none"/>
        </w:rPr>
      </w:pPr>
    </w:p>
    <w:p>
      <w:pPr>
        <w:rPr>
          <w:rFonts w:hint="eastAsia"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C9D0D7-9BD2-4BD6-9ECF-60828636E9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2EA68C-1343-4354-8035-1A877F23AE76}"/>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8A8E723-2D44-4FAD-9787-D31B5A65F6B7}"/>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4" w:fontKey="{0D3F053A-9BD5-4332-AC14-FE73C134853B}"/>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46C5CA9"/>
    <w:multiLevelType w:val="multilevel"/>
    <w:tmpl w:val="346C5CA9"/>
    <w:lvl w:ilvl="0" w:tentative="0">
      <w:start w:val="1"/>
      <w:numFmt w:val="bullet"/>
      <w:pStyle w:val="19"/>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31A7498"/>
    <w:rsid w:val="14FC0436"/>
    <w:rsid w:val="175A543F"/>
    <w:rsid w:val="27941805"/>
    <w:rsid w:val="2B261911"/>
    <w:rsid w:val="2B34402E"/>
    <w:rsid w:val="2B661BBC"/>
    <w:rsid w:val="353A66E5"/>
    <w:rsid w:val="48C24FF6"/>
    <w:rsid w:val="4DB6131A"/>
    <w:rsid w:val="51475FBA"/>
    <w:rsid w:val="56867584"/>
    <w:rsid w:val="5D873F71"/>
    <w:rsid w:val="5F4A19DE"/>
    <w:rsid w:val="5FED4DAE"/>
    <w:rsid w:val="62060167"/>
    <w:rsid w:val="6D6B47C4"/>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after="120" w:afterLines="0" w:line="480" w:lineRule="auto"/>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7"/>
    <w:semiHidden/>
    <w:unhideWhenUsed/>
    <w:qFormat/>
    <w:uiPriority w:val="99"/>
    <w:pPr>
      <w:ind w:firstLine="420" w:firstLineChars="100"/>
    </w:pPr>
  </w:style>
  <w:style w:type="paragraph" w:styleId="12">
    <w:name w:val="Body Text First Indent 2"/>
    <w:basedOn w:val="8"/>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9">
    <w:name w:val="U_编号2"/>
    <w:basedOn w:val="1"/>
    <w:qFormat/>
    <w:uiPriority w:val="0"/>
    <w:pPr>
      <w:numPr>
        <w:ilvl w:val="0"/>
        <w:numId w:val="1"/>
      </w:numPr>
      <w:spacing w:beforeLines="10" w:line="300" w:lineRule="auto"/>
      <w:ind w:left="1124"/>
    </w:pPr>
    <w:rPr>
      <w:sz w:val="24"/>
      <w:szCs w:val="20"/>
    </w:rPr>
  </w:style>
  <w:style w:type="paragraph" w:customStyle="1" w:styleId="20">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1">
    <w:name w:val="GW-正文"/>
    <w:basedOn w:val="1"/>
    <w:qFormat/>
    <w:uiPriority w:val="0"/>
    <w:pPr>
      <w:spacing w:line="360" w:lineRule="auto"/>
      <w:ind w:firstLine="200" w:firstLineChars="200"/>
    </w:pPr>
    <w:rPr>
      <w:rFonts w:eastAsia="仿宋_GB2312"/>
      <w:sz w:val="24"/>
      <w:szCs w:val="24"/>
    </w:rPr>
  </w:style>
  <w:style w:type="paragraph" w:customStyle="1" w:styleId="22">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3">
    <w:name w:val="列表段落1"/>
    <w:basedOn w:val="1"/>
    <w:qFormat/>
    <w:uiPriority w:val="34"/>
    <w:pPr>
      <w:widowControl/>
      <w:ind w:firstLine="420" w:firstLineChars="200"/>
      <w:jc w:val="left"/>
    </w:pPr>
    <w:rPr>
      <w:rFonts w:ascii="宋体" w:hAnsi="宋体" w:cs="宋体"/>
      <w:kern w:val="0"/>
      <w:sz w:val="24"/>
      <w:szCs w:val="24"/>
    </w:rPr>
  </w:style>
  <w:style w:type="paragraph" w:customStyle="1" w:styleId="24">
    <w:name w:val="Table Paragraph"/>
    <w:basedOn w:val="1"/>
    <w:qFormat/>
    <w:uiPriority w:val="1"/>
    <w:rPr>
      <w:rFonts w:ascii="宋体" w:hAnsi="宋体" w:cs="宋体"/>
      <w:sz w:val="34"/>
      <w:szCs w:val="20"/>
      <w:lang w:val="nl-NL" w:eastAsia="nl-NL" w:bidi="nl-N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7868</Words>
  <Characters>8140</Characters>
  <Lines>0</Lines>
  <Paragraphs>0</Paragraphs>
  <TotalTime>24</TotalTime>
  <ScaleCrop>false</ScaleCrop>
  <LinksUpToDate>false</LinksUpToDate>
  <CharactersWithSpaces>8339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嫣然一竹</cp:lastModifiedBy>
  <dcterms:modified xsi:type="dcterms:W3CDTF">2025-08-08T08:02:46Z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