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A502" w14:textId="75A045EB" w:rsidR="00236E4F" w:rsidRDefault="00DB5E92">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反统方系统项目参数</w:t>
      </w:r>
    </w:p>
    <w:p w14:paraId="665AE8AC" w14:textId="77777777" w:rsidR="00DB5E92" w:rsidRDefault="00DB5E92" w:rsidP="00DB5E92">
      <w:pPr>
        <w:spacing w:line="360" w:lineRule="auto"/>
        <w:rPr>
          <w:rFonts w:ascii="宋体" w:hAnsi="宋体" w:cs="宋体" w:hint="eastAsia"/>
          <w:b/>
          <w:bCs/>
          <w:sz w:val="22"/>
        </w:rPr>
      </w:pPr>
      <w:r>
        <w:rPr>
          <w:rFonts w:ascii="宋体" w:hAnsi="宋体" w:cs="宋体" w:hint="eastAsia"/>
          <w:sz w:val="22"/>
        </w:rPr>
        <w:t>说明：本</w:t>
      </w:r>
      <w:r>
        <w:rPr>
          <w:rFonts w:ascii="宋体" w:hAnsi="宋体" w:cs="宋体" w:hint="eastAsia"/>
          <w:b/>
          <w:bCs/>
          <w:sz w:val="22"/>
        </w:rPr>
        <w:t>章中“★”的条款为本项目的实质性要求条款，供应商应全部满足，否则其投标文件作无效处理。“▲”符号的条款为本项目的重要参数条款，未标识符号的条款为一般参数条款。</w:t>
      </w:r>
    </w:p>
    <w:p w14:paraId="489CFBE1" w14:textId="5EA866EC" w:rsidR="00DB5E92" w:rsidRPr="0040332A" w:rsidRDefault="00DB5E92" w:rsidP="00DB5E92">
      <w:pPr>
        <w:pStyle w:val="1"/>
        <w:overflowPunct w:val="0"/>
        <w:spacing w:before="0" w:after="0" w:line="360" w:lineRule="auto"/>
        <w:ind w:firstLineChars="200" w:firstLine="480"/>
        <w:rPr>
          <w:rFonts w:ascii="黑体" w:eastAsia="黑体" w:hAnsi="黑体" w:cs="黑体" w:hint="eastAsia"/>
          <w:b w:val="0"/>
          <w:bCs/>
          <w:sz w:val="24"/>
        </w:rPr>
      </w:pPr>
      <w:r w:rsidRPr="0040332A">
        <w:rPr>
          <w:rFonts w:ascii="黑体" w:eastAsia="黑体" w:hAnsi="黑体" w:cs="黑体" w:hint="eastAsia"/>
          <w:b w:val="0"/>
          <w:bCs/>
          <w:sz w:val="24"/>
        </w:rPr>
        <w:t>采购清单及项目预算</w:t>
      </w:r>
    </w:p>
    <w:p w14:paraId="4977C812" w14:textId="500F8C38" w:rsidR="00DB5E92" w:rsidRDefault="00DB5E92" w:rsidP="00DB5E92">
      <w:pPr>
        <w:spacing w:line="360" w:lineRule="auto"/>
        <w:rPr>
          <w:rFonts w:asciiTheme="minorEastAsia" w:hAnsiTheme="minorEastAsia" w:hint="eastAsia"/>
          <w:sz w:val="24"/>
          <w:szCs w:val="28"/>
        </w:rPr>
      </w:pPr>
      <w:r>
        <w:rPr>
          <w:rFonts w:ascii="宋体" w:hAnsi="宋体" w:cs="宋体" w:hint="eastAsia"/>
          <w:sz w:val="24"/>
          <w:szCs w:val="28"/>
        </w:rPr>
        <w:t>（一）</w:t>
      </w:r>
      <w:r>
        <w:rPr>
          <w:rFonts w:asciiTheme="minorEastAsia" w:hAnsiTheme="minorEastAsia" w:hint="eastAsia"/>
          <w:sz w:val="24"/>
          <w:szCs w:val="28"/>
        </w:rPr>
        <w:t>最高限价：</w:t>
      </w:r>
      <w:r>
        <w:rPr>
          <w:rFonts w:asciiTheme="minorEastAsia" w:eastAsiaTheme="minorEastAsia" w:hAnsiTheme="minorEastAsia" w:hint="eastAsia"/>
          <w:sz w:val="24"/>
          <w:szCs w:val="28"/>
        </w:rPr>
        <w:t>5</w:t>
      </w:r>
      <w:r>
        <w:rPr>
          <w:rFonts w:asciiTheme="minorEastAsia" w:hAnsiTheme="minorEastAsia" w:hint="eastAsia"/>
          <w:sz w:val="24"/>
          <w:szCs w:val="28"/>
        </w:rPr>
        <w:t>万元。</w:t>
      </w:r>
    </w:p>
    <w:p w14:paraId="13433282" w14:textId="77777777" w:rsidR="00DB5E92" w:rsidRPr="00302E39" w:rsidRDefault="00DB5E92" w:rsidP="00DB5E92">
      <w:pPr>
        <w:spacing w:line="360" w:lineRule="auto"/>
        <w:rPr>
          <w:rFonts w:asciiTheme="minorEastAsia" w:hAnsiTheme="minorEastAsia" w:hint="eastAsia"/>
          <w:sz w:val="24"/>
          <w:szCs w:val="28"/>
        </w:rPr>
      </w:pPr>
      <w:r w:rsidRPr="00C6708C">
        <w:rPr>
          <w:rFonts w:ascii="宋体" w:hAnsi="宋体" w:cs="宋体" w:hint="eastAsia"/>
          <w:sz w:val="24"/>
          <w:szCs w:val="28"/>
        </w:rPr>
        <w:t>（二）采购货物清单</w:t>
      </w:r>
    </w:p>
    <w:tbl>
      <w:tblPr>
        <w:tblStyle w:val="a9"/>
        <w:tblW w:w="8865" w:type="dxa"/>
        <w:jc w:val="center"/>
        <w:tblLayout w:type="fixed"/>
        <w:tblLook w:val="04A0" w:firstRow="1" w:lastRow="0" w:firstColumn="1" w:lastColumn="0" w:noHBand="0" w:noVBand="1"/>
      </w:tblPr>
      <w:tblGrid>
        <w:gridCol w:w="1101"/>
        <w:gridCol w:w="3242"/>
        <w:gridCol w:w="855"/>
        <w:gridCol w:w="900"/>
        <w:gridCol w:w="2767"/>
      </w:tblGrid>
      <w:tr w:rsidR="00DB5E92" w14:paraId="255031DC" w14:textId="77777777" w:rsidTr="00717F59">
        <w:trPr>
          <w:jc w:val="center"/>
        </w:trPr>
        <w:tc>
          <w:tcPr>
            <w:tcW w:w="1101" w:type="dxa"/>
            <w:vAlign w:val="center"/>
          </w:tcPr>
          <w:p w14:paraId="13F56225" w14:textId="77777777" w:rsidR="00DB5E92" w:rsidRDefault="00DB5E92" w:rsidP="00717F59">
            <w:pPr>
              <w:spacing w:line="360" w:lineRule="auto"/>
              <w:jc w:val="center"/>
              <w:rPr>
                <w:rFonts w:ascii="微软雅黑" w:eastAsia="微软雅黑" w:hAnsi="微软雅黑" w:cs="微软雅黑" w:hint="eastAsia"/>
                <w:b/>
                <w:sz w:val="20"/>
                <w:szCs w:val="20"/>
              </w:rPr>
            </w:pPr>
            <w:r>
              <w:rPr>
                <w:rFonts w:ascii="微软雅黑" w:eastAsia="微软雅黑" w:hAnsi="微软雅黑" w:cs="微软雅黑" w:hint="eastAsia"/>
                <w:b/>
                <w:sz w:val="20"/>
                <w:szCs w:val="20"/>
              </w:rPr>
              <w:t>序号</w:t>
            </w:r>
          </w:p>
        </w:tc>
        <w:tc>
          <w:tcPr>
            <w:tcW w:w="3242" w:type="dxa"/>
            <w:vAlign w:val="center"/>
          </w:tcPr>
          <w:p w14:paraId="47C2F2C4" w14:textId="77777777" w:rsidR="00DB5E92" w:rsidRDefault="00DB5E92" w:rsidP="00717F59">
            <w:pPr>
              <w:spacing w:line="360" w:lineRule="auto"/>
              <w:jc w:val="center"/>
              <w:rPr>
                <w:rFonts w:ascii="微软雅黑" w:eastAsia="微软雅黑" w:hAnsi="微软雅黑" w:cs="微软雅黑" w:hint="eastAsia"/>
                <w:b/>
                <w:sz w:val="20"/>
                <w:szCs w:val="20"/>
              </w:rPr>
            </w:pPr>
            <w:r>
              <w:rPr>
                <w:rFonts w:ascii="微软雅黑" w:eastAsia="微软雅黑" w:hAnsi="微软雅黑" w:cs="微软雅黑" w:hint="eastAsia"/>
                <w:b/>
                <w:sz w:val="20"/>
                <w:szCs w:val="20"/>
              </w:rPr>
              <w:t>标的名称</w:t>
            </w:r>
          </w:p>
        </w:tc>
        <w:tc>
          <w:tcPr>
            <w:tcW w:w="855" w:type="dxa"/>
            <w:vAlign w:val="center"/>
          </w:tcPr>
          <w:p w14:paraId="1CE8346E" w14:textId="77777777" w:rsidR="00DB5E92" w:rsidRDefault="00DB5E92" w:rsidP="00717F59">
            <w:pPr>
              <w:spacing w:line="360" w:lineRule="auto"/>
              <w:jc w:val="center"/>
              <w:rPr>
                <w:rFonts w:ascii="微软雅黑" w:eastAsia="微软雅黑" w:hAnsi="微软雅黑" w:cs="微软雅黑" w:hint="eastAsia"/>
                <w:b/>
                <w:sz w:val="20"/>
                <w:szCs w:val="20"/>
              </w:rPr>
            </w:pPr>
            <w:r>
              <w:rPr>
                <w:rFonts w:ascii="微软雅黑" w:eastAsia="微软雅黑" w:hAnsi="微软雅黑" w:cs="微软雅黑" w:hint="eastAsia"/>
                <w:b/>
                <w:sz w:val="20"/>
                <w:szCs w:val="20"/>
              </w:rPr>
              <w:t>单位</w:t>
            </w:r>
          </w:p>
        </w:tc>
        <w:tc>
          <w:tcPr>
            <w:tcW w:w="900" w:type="dxa"/>
            <w:vAlign w:val="center"/>
          </w:tcPr>
          <w:p w14:paraId="133010AB" w14:textId="77777777" w:rsidR="00DB5E92" w:rsidRDefault="00DB5E92" w:rsidP="00717F59">
            <w:pPr>
              <w:spacing w:line="360" w:lineRule="auto"/>
              <w:jc w:val="center"/>
              <w:rPr>
                <w:rFonts w:ascii="微软雅黑" w:eastAsia="微软雅黑" w:hAnsi="微软雅黑" w:cs="微软雅黑" w:hint="eastAsia"/>
                <w:b/>
                <w:sz w:val="20"/>
                <w:szCs w:val="20"/>
              </w:rPr>
            </w:pPr>
            <w:r>
              <w:rPr>
                <w:rFonts w:ascii="微软雅黑" w:eastAsia="微软雅黑" w:hAnsi="微软雅黑" w:cs="微软雅黑" w:hint="eastAsia"/>
                <w:b/>
                <w:sz w:val="20"/>
                <w:szCs w:val="20"/>
              </w:rPr>
              <w:t>数量</w:t>
            </w:r>
          </w:p>
        </w:tc>
        <w:tc>
          <w:tcPr>
            <w:tcW w:w="2767" w:type="dxa"/>
            <w:vAlign w:val="center"/>
          </w:tcPr>
          <w:p w14:paraId="35FC2625" w14:textId="77777777" w:rsidR="00DB5E92" w:rsidRDefault="00DB5E92" w:rsidP="00717F59">
            <w:pPr>
              <w:spacing w:line="360" w:lineRule="auto"/>
              <w:jc w:val="center"/>
              <w:rPr>
                <w:rFonts w:ascii="微软雅黑" w:eastAsia="微软雅黑" w:hAnsi="微软雅黑" w:cs="微软雅黑" w:hint="eastAsia"/>
                <w:b/>
                <w:sz w:val="20"/>
                <w:szCs w:val="20"/>
              </w:rPr>
            </w:pPr>
            <w:r>
              <w:rPr>
                <w:rFonts w:ascii="微软雅黑" w:eastAsia="微软雅黑" w:hAnsi="微软雅黑" w:cs="微软雅黑" w:hint="eastAsia"/>
                <w:b/>
                <w:sz w:val="20"/>
                <w:szCs w:val="20"/>
              </w:rPr>
              <w:t>备注</w:t>
            </w:r>
          </w:p>
        </w:tc>
      </w:tr>
      <w:tr w:rsidR="00DB5E92" w14:paraId="5C304757" w14:textId="77777777" w:rsidTr="00717F59">
        <w:trPr>
          <w:jc w:val="center"/>
        </w:trPr>
        <w:tc>
          <w:tcPr>
            <w:tcW w:w="1101" w:type="dxa"/>
            <w:vAlign w:val="center"/>
          </w:tcPr>
          <w:p w14:paraId="1095854A" w14:textId="77777777" w:rsidR="00DB5E92" w:rsidRDefault="00DB5E92" w:rsidP="00717F59">
            <w:pPr>
              <w:pStyle w:val="11"/>
              <w:widowControl/>
              <w:adjustRightInd w:val="0"/>
              <w:snapToGrid w:val="0"/>
              <w:spacing w:line="360" w:lineRule="auto"/>
              <w:ind w:firstLineChars="0" w:firstLine="0"/>
              <w:rPr>
                <w:rFonts w:ascii="微软雅黑" w:eastAsia="微软雅黑" w:hAnsi="微软雅黑" w:cs="微软雅黑" w:hint="eastAsia"/>
                <w:sz w:val="20"/>
                <w:szCs w:val="20"/>
              </w:rPr>
            </w:pPr>
            <w:r>
              <w:rPr>
                <w:rFonts w:ascii="微软雅黑" w:eastAsia="微软雅黑" w:hAnsi="微软雅黑" w:cs="微软雅黑" w:hint="eastAsia"/>
                <w:sz w:val="20"/>
                <w:szCs w:val="20"/>
              </w:rPr>
              <w:t>1</w:t>
            </w:r>
          </w:p>
        </w:tc>
        <w:tc>
          <w:tcPr>
            <w:tcW w:w="3242" w:type="dxa"/>
            <w:vAlign w:val="center"/>
          </w:tcPr>
          <w:p w14:paraId="53271C7B" w14:textId="537EE7A1" w:rsidR="00DB5E92" w:rsidRDefault="00DB5E92" w:rsidP="00DB5E92">
            <w:pPr>
              <w:spacing w:line="360" w:lineRule="auto"/>
              <w:rPr>
                <w:rFonts w:ascii="微软雅黑" w:eastAsia="微软雅黑" w:hAnsi="微软雅黑" w:cs="微软雅黑" w:hint="eastAsia"/>
                <w:sz w:val="20"/>
                <w:szCs w:val="20"/>
              </w:rPr>
            </w:pPr>
            <w:r w:rsidRPr="00DB5E92">
              <w:rPr>
                <w:rFonts w:ascii="微软雅黑" w:eastAsia="微软雅黑" w:hAnsi="微软雅黑" w:cs="微软雅黑" w:hint="eastAsia"/>
                <w:sz w:val="20"/>
                <w:szCs w:val="20"/>
              </w:rPr>
              <w:t>反统方系统</w:t>
            </w:r>
          </w:p>
        </w:tc>
        <w:tc>
          <w:tcPr>
            <w:tcW w:w="855" w:type="dxa"/>
            <w:vAlign w:val="center"/>
          </w:tcPr>
          <w:p w14:paraId="1E7C8828" w14:textId="0EDDC1A7" w:rsidR="00DB5E92" w:rsidRDefault="00DB5E92" w:rsidP="00717F59">
            <w:pPr>
              <w:spacing w:line="360" w:lineRule="auto"/>
              <w:jc w:val="center"/>
              <w:rPr>
                <w:rFonts w:ascii="微软雅黑" w:eastAsia="微软雅黑" w:hAnsi="微软雅黑" w:cs="微软雅黑" w:hint="eastAsia"/>
                <w:sz w:val="20"/>
                <w:szCs w:val="20"/>
              </w:rPr>
            </w:pPr>
            <w:r>
              <w:rPr>
                <w:rFonts w:ascii="微软雅黑" w:eastAsia="微软雅黑" w:hAnsi="微软雅黑" w:cs="微软雅黑" w:hint="eastAsia"/>
                <w:sz w:val="20"/>
                <w:szCs w:val="20"/>
              </w:rPr>
              <w:t>套</w:t>
            </w:r>
          </w:p>
        </w:tc>
        <w:tc>
          <w:tcPr>
            <w:tcW w:w="900" w:type="dxa"/>
            <w:vAlign w:val="center"/>
          </w:tcPr>
          <w:p w14:paraId="2A802878" w14:textId="77777777" w:rsidR="00DB5E92" w:rsidRDefault="00DB5E92" w:rsidP="00717F59">
            <w:pPr>
              <w:spacing w:line="360" w:lineRule="auto"/>
              <w:jc w:val="center"/>
              <w:rPr>
                <w:rFonts w:ascii="微软雅黑" w:eastAsia="微软雅黑" w:hAnsi="微软雅黑" w:cs="微软雅黑" w:hint="eastAsia"/>
                <w:sz w:val="20"/>
                <w:szCs w:val="20"/>
              </w:rPr>
            </w:pPr>
            <w:r>
              <w:rPr>
                <w:rFonts w:ascii="微软雅黑" w:eastAsia="微软雅黑" w:hAnsi="微软雅黑" w:cs="微软雅黑" w:hint="eastAsia"/>
                <w:sz w:val="20"/>
                <w:szCs w:val="20"/>
              </w:rPr>
              <w:t>1</w:t>
            </w:r>
          </w:p>
        </w:tc>
        <w:tc>
          <w:tcPr>
            <w:tcW w:w="2767" w:type="dxa"/>
            <w:vAlign w:val="center"/>
          </w:tcPr>
          <w:p w14:paraId="119D5771" w14:textId="77777777" w:rsidR="00DB5E92" w:rsidRDefault="00DB5E92" w:rsidP="00717F59">
            <w:pPr>
              <w:spacing w:line="360" w:lineRule="auto"/>
              <w:jc w:val="center"/>
              <w:rPr>
                <w:rFonts w:ascii="微软雅黑" w:eastAsia="微软雅黑" w:hAnsi="微软雅黑" w:cs="微软雅黑" w:hint="eastAsia"/>
                <w:sz w:val="20"/>
                <w:szCs w:val="20"/>
              </w:rPr>
            </w:pPr>
          </w:p>
        </w:tc>
      </w:tr>
    </w:tbl>
    <w:p w14:paraId="436C30B7" w14:textId="77777777" w:rsidR="00236E4F" w:rsidRDefault="00000000">
      <w:pPr>
        <w:pStyle w:val="1"/>
        <w:spacing w:before="0" w:after="0" w:line="360" w:lineRule="auto"/>
        <w:rPr>
          <w:rFonts w:ascii="黑体" w:eastAsia="黑体" w:hAnsi="黑体" w:cs="黑体" w:hint="eastAsia"/>
          <w:b w:val="0"/>
          <w:bCs/>
          <w:sz w:val="32"/>
          <w:szCs w:val="32"/>
        </w:rPr>
      </w:pPr>
      <w:r>
        <w:rPr>
          <w:rFonts w:ascii="黑体" w:eastAsia="黑体" w:hAnsi="黑体" w:cs="黑体" w:hint="eastAsia"/>
          <w:b w:val="0"/>
          <w:bCs/>
          <w:sz w:val="32"/>
          <w:szCs w:val="32"/>
        </w:rPr>
        <w:t>项目背景</w:t>
      </w:r>
    </w:p>
    <w:p w14:paraId="06FA4A6E" w14:textId="77777777" w:rsidR="00236E4F" w:rsidRDefault="00000000">
      <w:pPr>
        <w:pStyle w:val="a4"/>
        <w:spacing w:after="0"/>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按照《关于加强医疗卫生机构统方管理的规定》的要求，建设反统方系统，</w:t>
      </w:r>
      <w:r>
        <w:rPr>
          <w:rFonts w:ascii="仿宋_GB2312" w:eastAsia="仿宋_GB2312" w:hAnsi="仿宋_GB2312" w:cs="仿宋_GB2312" w:hint="eastAsia"/>
          <w:bCs/>
          <w:sz w:val="24"/>
        </w:rPr>
        <w:t>在不影响HIS系统、PACS系统、EMR系统等应用系统正常使用的前提下，</w:t>
      </w:r>
      <w:r>
        <w:rPr>
          <w:rFonts w:ascii="仿宋_GB2312" w:eastAsia="仿宋_GB2312" w:hAnsi="仿宋_GB2312" w:cs="仿宋_GB2312" w:hint="eastAsia"/>
          <w:sz w:val="24"/>
        </w:rPr>
        <w:t>有效防止医院中个人或部门为他人非法提供医生或部门一定时期内临床</w:t>
      </w:r>
      <w:bookmarkStart w:id="0" w:name="OLE_LINK2"/>
      <w:r>
        <w:rPr>
          <w:rFonts w:ascii="仿宋_GB2312" w:eastAsia="仿宋_GB2312" w:hAnsi="仿宋_GB2312" w:cs="仿宋_GB2312" w:hint="eastAsia"/>
          <w:sz w:val="24"/>
        </w:rPr>
        <w:t>药品、耗材用</w:t>
      </w:r>
      <w:bookmarkEnd w:id="0"/>
      <w:r>
        <w:rPr>
          <w:rFonts w:ascii="仿宋_GB2312" w:eastAsia="仿宋_GB2312" w:hAnsi="仿宋_GB2312" w:cs="仿宋_GB2312" w:hint="eastAsia"/>
          <w:sz w:val="24"/>
        </w:rPr>
        <w:t>量信息，避免违反《卫生部八项行业纪律》。</w:t>
      </w:r>
    </w:p>
    <w:p w14:paraId="5028485C" w14:textId="77777777" w:rsidR="00236E4F" w:rsidRDefault="00000000">
      <w:pPr>
        <w:pStyle w:val="1"/>
        <w:spacing w:before="0" w:after="0" w:line="360" w:lineRule="auto"/>
        <w:rPr>
          <w:rFonts w:ascii="黑体" w:eastAsia="黑体" w:hAnsi="黑体" w:cs="黑体" w:hint="eastAsia"/>
          <w:b w:val="0"/>
          <w:bCs/>
          <w:sz w:val="32"/>
          <w:szCs w:val="32"/>
        </w:rPr>
      </w:pPr>
      <w:r>
        <w:rPr>
          <w:rFonts w:ascii="黑体" w:eastAsia="黑体" w:hAnsi="黑体" w:cs="黑体" w:hint="eastAsia"/>
          <w:b w:val="0"/>
          <w:bCs/>
          <w:sz w:val="32"/>
          <w:szCs w:val="32"/>
        </w:rPr>
        <w:t>技术要求</w:t>
      </w:r>
    </w:p>
    <w:p w14:paraId="7F60B7FB" w14:textId="77777777" w:rsidR="00236E4F" w:rsidRDefault="00000000">
      <w:pPr>
        <w:pStyle w:val="2"/>
        <w:spacing w:before="0" w:after="0" w:line="360" w:lineRule="auto"/>
        <w:rPr>
          <w:rFonts w:ascii="楷体_GB2312" w:eastAsia="楷体_GB2312" w:hAnsi="楷体_GB2312" w:cs="楷体_GB2312" w:hint="eastAsia"/>
          <w:b w:val="0"/>
          <w:bCs/>
        </w:rPr>
      </w:pPr>
      <w:bookmarkStart w:id="1" w:name="OLE_LINK3"/>
      <w:r>
        <w:rPr>
          <w:rFonts w:ascii="楷体_GB2312" w:eastAsia="楷体_GB2312" w:hAnsi="楷体_GB2312" w:cs="楷体_GB2312" w:hint="eastAsia"/>
          <w:b w:val="0"/>
          <w:bCs/>
        </w:rPr>
        <w:t>系统部署</w:t>
      </w:r>
    </w:p>
    <w:bookmarkEnd w:id="1"/>
    <w:p w14:paraId="79E5404C"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★系统可采用集群部署，并支持旁路部署模式。</w:t>
      </w:r>
    </w:p>
    <w:p w14:paraId="25D3304E" w14:textId="77777777" w:rsidR="00236E4F" w:rsidRDefault="00000000">
      <w:pPr>
        <w:pStyle w:val="2"/>
        <w:spacing w:before="0" w:after="0" w:line="360" w:lineRule="auto"/>
        <w:rPr>
          <w:rFonts w:ascii="楷体_GB2312" w:eastAsia="楷体_GB2312" w:hAnsi="楷体_GB2312" w:cs="楷体_GB2312" w:hint="eastAsia"/>
          <w:b w:val="0"/>
          <w:bCs/>
        </w:rPr>
      </w:pPr>
      <w:bookmarkStart w:id="2" w:name="OLE_LINK6"/>
      <w:r>
        <w:rPr>
          <w:rFonts w:ascii="楷体_GB2312" w:eastAsia="楷体_GB2312" w:hAnsi="楷体_GB2312" w:cs="楷体_GB2312" w:hint="eastAsia"/>
          <w:b w:val="0"/>
          <w:bCs/>
        </w:rPr>
        <w:t>审计分析</w:t>
      </w:r>
    </w:p>
    <w:p w14:paraId="6F900C17" w14:textId="54555F67" w:rsidR="00236E4F" w:rsidRDefault="00000000">
      <w:pPr>
        <w:pStyle w:val="a4"/>
        <w:numPr>
          <w:ilvl w:val="0"/>
          <w:numId w:val="2"/>
        </w:numPr>
        <w:ind w:firstLine="420"/>
        <w:rPr>
          <w:rFonts w:ascii="仿宋_GB2312" w:eastAsia="仿宋_GB2312" w:hAnsi="仿宋_GB2312" w:cs="仿宋_GB2312" w:hint="eastAsia"/>
          <w:sz w:val="24"/>
        </w:rPr>
      </w:pPr>
      <w:bookmarkStart w:id="3" w:name="OLE_LINK1"/>
      <w:bookmarkEnd w:id="2"/>
      <w:r>
        <w:rPr>
          <w:rFonts w:ascii="仿宋_GB2312" w:eastAsia="仿宋_GB2312" w:hAnsi="仿宋_GB2312" w:cs="仿宋_GB2312" w:hint="eastAsia"/>
          <w:sz w:val="24"/>
        </w:rPr>
        <w:t>★</w:t>
      </w:r>
      <w:bookmarkEnd w:id="3"/>
      <w:r>
        <w:rPr>
          <w:rFonts w:ascii="仿宋_GB2312" w:eastAsia="仿宋_GB2312" w:hAnsi="仿宋_GB2312" w:cs="仿宋_GB2312" w:hint="eastAsia"/>
          <w:sz w:val="24"/>
        </w:rPr>
        <w:t>支持对Cache、IRIS、Oracle、MySQL、SQL Server、Sqlmanager、oceanbase、UXDB、greeplumdb、MongoDB、PostgreSQL、达梦、人大金仓（Kingbase）、南大通用(GBase）、高斯（GaussDB）等数据库的审计分析，包括当前在用版本和质保期内的升级版本。（投标人须提供承诺书并加盖公章，不提供承诺书或承诺不满足条件视为无效</w:t>
      </w:r>
      <w:r w:rsidR="00463CE8">
        <w:rPr>
          <w:rFonts w:ascii="仿宋_GB2312" w:eastAsia="仿宋_GB2312" w:hAnsi="仿宋_GB2312" w:cs="仿宋_GB2312" w:hint="eastAsia"/>
          <w:sz w:val="24"/>
        </w:rPr>
        <w:t>投</w:t>
      </w:r>
      <w:r>
        <w:rPr>
          <w:rFonts w:ascii="仿宋_GB2312" w:eastAsia="仿宋_GB2312" w:hAnsi="仿宋_GB2312" w:cs="仿宋_GB2312" w:hint="eastAsia"/>
          <w:sz w:val="24"/>
        </w:rPr>
        <w:t>标）</w:t>
      </w:r>
    </w:p>
    <w:p w14:paraId="46E0FDFA" w14:textId="55613059" w:rsidR="00236E4F" w:rsidRDefault="00000000">
      <w:pPr>
        <w:pStyle w:val="a4"/>
        <w:numPr>
          <w:ilvl w:val="0"/>
          <w:numId w:val="2"/>
        </w:numPr>
        <w:ind w:firstLine="420"/>
        <w:rPr>
          <w:rFonts w:ascii="仿宋_GB2312" w:eastAsia="仿宋_GB2312" w:hAnsi="仿宋_GB2312" w:cs="仿宋_GB2312" w:hint="eastAsia"/>
          <w:sz w:val="24"/>
        </w:rPr>
      </w:pPr>
      <w:bookmarkStart w:id="4" w:name="OLE_LINK9"/>
      <w:r>
        <w:rPr>
          <w:rFonts w:ascii="仿宋_GB2312" w:eastAsia="仿宋_GB2312" w:hAnsi="仿宋_GB2312" w:cs="仿宋_GB2312" w:hint="eastAsia"/>
          <w:sz w:val="24"/>
        </w:rPr>
        <w:t>★</w:t>
      </w:r>
      <w:bookmarkEnd w:id="4"/>
      <w:r>
        <w:rPr>
          <w:rFonts w:ascii="仿宋_GB2312" w:eastAsia="仿宋_GB2312" w:hAnsi="仿宋_GB2312" w:cs="仿宋_GB2312" w:hint="eastAsia"/>
          <w:sz w:val="24"/>
        </w:rPr>
        <w:t>监控对象</w:t>
      </w:r>
      <w:r w:rsidR="00F8025B">
        <w:rPr>
          <w:rFonts w:ascii="仿宋_GB2312" w:eastAsia="仿宋_GB2312" w:hAnsi="仿宋_GB2312" w:cs="仿宋_GB2312" w:hint="eastAsia"/>
          <w:sz w:val="24"/>
        </w:rPr>
        <w:t>同时</w:t>
      </w:r>
      <w:r>
        <w:rPr>
          <w:rFonts w:ascii="仿宋_GB2312" w:eastAsia="仿宋_GB2312" w:hAnsi="仿宋_GB2312" w:cs="仿宋_GB2312" w:hint="eastAsia"/>
          <w:sz w:val="24"/>
        </w:rPr>
        <w:t>包括HIS、LIS、PACS、HRP、EMR、合理用药、处方点评等与药品、耗材相关的系统，应覆盖系统使用到的所有端口，以及</w:t>
      </w:r>
      <w:bookmarkStart w:id="5" w:name="OLE_LINK12"/>
      <w:r>
        <w:rPr>
          <w:rFonts w:ascii="仿宋_GB2312" w:eastAsia="仿宋_GB2312" w:hAnsi="仿宋_GB2312" w:cs="仿宋_GB2312" w:hint="eastAsia"/>
          <w:sz w:val="24"/>
        </w:rPr>
        <w:t>当前在用版本和质保期内的升级版本</w:t>
      </w:r>
      <w:bookmarkEnd w:id="5"/>
      <w:r>
        <w:rPr>
          <w:rFonts w:ascii="仿宋_GB2312" w:eastAsia="仿宋_GB2312" w:hAnsi="仿宋_GB2312" w:cs="仿宋_GB2312" w:hint="eastAsia"/>
          <w:sz w:val="24"/>
        </w:rPr>
        <w:t>。</w:t>
      </w:r>
      <w:r w:rsidR="00CE372D">
        <w:rPr>
          <w:rFonts w:ascii="仿宋_GB2312" w:eastAsia="仿宋_GB2312" w:hAnsi="仿宋_GB2312" w:cs="仿宋_GB2312" w:hint="eastAsia"/>
          <w:sz w:val="24"/>
        </w:rPr>
        <w:t>对监控对象的性能影响不能超过10%。</w:t>
      </w:r>
      <w:r>
        <w:rPr>
          <w:rFonts w:ascii="仿宋_GB2312" w:eastAsia="仿宋_GB2312" w:hAnsi="仿宋_GB2312" w:cs="仿宋_GB2312" w:hint="eastAsia"/>
          <w:sz w:val="24"/>
        </w:rPr>
        <w:t>（投标人须提供承诺书并加盖公章，不提供承诺书或承诺不满足条件视为无效</w:t>
      </w:r>
      <w:r w:rsidR="00463CE8">
        <w:rPr>
          <w:rFonts w:ascii="仿宋_GB2312" w:eastAsia="仿宋_GB2312" w:hAnsi="仿宋_GB2312" w:cs="仿宋_GB2312" w:hint="eastAsia"/>
          <w:sz w:val="24"/>
        </w:rPr>
        <w:t>投标</w:t>
      </w:r>
      <w:r>
        <w:rPr>
          <w:rFonts w:ascii="仿宋_GB2312" w:eastAsia="仿宋_GB2312" w:hAnsi="仿宋_GB2312" w:cs="仿宋_GB2312" w:hint="eastAsia"/>
          <w:sz w:val="24"/>
        </w:rPr>
        <w:t>）</w:t>
      </w:r>
    </w:p>
    <w:p w14:paraId="6535AA14"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6" w:name="OLE_LINK22"/>
      <w:r>
        <w:rPr>
          <w:rFonts w:ascii="仿宋_GB2312" w:eastAsia="仿宋_GB2312" w:hAnsi="仿宋_GB2312" w:cs="仿宋_GB2312" w:hint="eastAsia"/>
          <w:sz w:val="24"/>
        </w:rPr>
        <w:t>★</w:t>
      </w:r>
      <w:bookmarkEnd w:id="6"/>
      <w:r>
        <w:rPr>
          <w:rFonts w:ascii="仿宋_GB2312" w:eastAsia="仿宋_GB2312" w:hAnsi="仿宋_GB2312" w:cs="仿宋_GB2312" w:hint="eastAsia"/>
          <w:sz w:val="24"/>
        </w:rPr>
        <w:t>支持统计事件告警，一旦出现违规统方事件，可多维度定位事件状态以及按照告警级别进行告警，能准确描述何人、何时、何地、以何种方式进行违规统方，并提供操作事件关联追踪与证据还原，经人工研判后不属于违规统方事件的告警可移除告警。</w:t>
      </w:r>
    </w:p>
    <w:p w14:paraId="5404BB46"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▲具有完善的自身审计功能，包括数据库攻击、拖库、违规访问、磁盘预</w:t>
      </w:r>
      <w:r>
        <w:rPr>
          <w:rFonts w:ascii="仿宋_GB2312" w:eastAsia="仿宋_GB2312" w:hAnsi="仿宋_GB2312" w:cs="仿宋_GB2312" w:hint="eastAsia"/>
          <w:sz w:val="24"/>
        </w:rPr>
        <w:lastRenderedPageBreak/>
        <w:t>警、用户登录，以及各种操作，都需要有详细记录，对于影响系统正常运行的事件需提供实时报警功能。</w:t>
      </w:r>
    </w:p>
    <w:p w14:paraId="5E2A408A"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7" w:name="OLE_LINK23"/>
      <w:r>
        <w:rPr>
          <w:rFonts w:ascii="仿宋_GB2312" w:eastAsia="仿宋_GB2312" w:hAnsi="仿宋_GB2312" w:cs="仿宋_GB2312" w:hint="eastAsia"/>
          <w:sz w:val="24"/>
        </w:rPr>
        <w:t>▲</w:t>
      </w:r>
      <w:bookmarkEnd w:id="7"/>
      <w:r>
        <w:rPr>
          <w:rFonts w:ascii="仿宋_GB2312" w:eastAsia="仿宋_GB2312" w:hAnsi="仿宋_GB2312" w:cs="仿宋_GB2312" w:hint="eastAsia"/>
          <w:sz w:val="24"/>
        </w:rPr>
        <w:t>提供不同角色的管理能力，尤其是纪检部门专用账号，应独立于数据库审计，专门实现统方行为的监控、查询、统计等功能，对所有统方行为进行监控，并提供统方事件审计能力。</w:t>
      </w:r>
    </w:p>
    <w:p w14:paraId="179A933E"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支持告警知识库的管理，包括请求响应数据中的关键字、请求响应的时间、返回数据量、数据库操作语句敏感字段等。</w:t>
      </w:r>
    </w:p>
    <w:p w14:paraId="39C3BB61"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可以对统方事件进行预管理，对于经过审批的正常统方业务，不应进行告警。</w:t>
      </w:r>
    </w:p>
    <w:p w14:paraId="42F66E1A"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支持报表报告定制功能，包括日报、周报、月报、年报等形式，并能以pdf、excel、word等格式进行输出，以及自动发送到指定用户信箱。</w:t>
      </w:r>
    </w:p>
    <w:p w14:paraId="2E839805" w14:textId="4FDB9514" w:rsidR="00CE372D" w:rsidRPr="00CE372D" w:rsidRDefault="00000000" w:rsidP="00CE372D">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★供应商须承担与相关系统的对接费用，采购人不再另行支付系统改造或对接费用。</w:t>
      </w:r>
      <w:bookmarkStart w:id="8" w:name="OLE_LINK27"/>
      <w:r>
        <w:rPr>
          <w:rFonts w:ascii="仿宋_GB2312" w:eastAsia="仿宋_GB2312" w:hAnsi="仿宋_GB2312" w:cs="仿宋_GB2312" w:hint="eastAsia"/>
          <w:sz w:val="24"/>
        </w:rPr>
        <w:t>（</w:t>
      </w:r>
      <w:bookmarkStart w:id="9" w:name="OLE_LINK8"/>
      <w:bookmarkStart w:id="10" w:name="OLE_LINK13"/>
      <w:r>
        <w:rPr>
          <w:rFonts w:ascii="仿宋_GB2312" w:eastAsia="仿宋_GB2312" w:hAnsi="仿宋_GB2312" w:cs="仿宋_GB2312" w:hint="eastAsia"/>
          <w:sz w:val="24"/>
        </w:rPr>
        <w:t>投标人须提供承诺书</w:t>
      </w:r>
      <w:bookmarkStart w:id="11" w:name="OLE_LINK7"/>
      <w:r>
        <w:rPr>
          <w:rFonts w:ascii="仿宋_GB2312" w:eastAsia="仿宋_GB2312" w:hAnsi="仿宋_GB2312" w:cs="仿宋_GB2312" w:hint="eastAsia"/>
          <w:sz w:val="24"/>
        </w:rPr>
        <w:t>并加盖公章</w:t>
      </w:r>
      <w:bookmarkEnd w:id="9"/>
      <w:bookmarkEnd w:id="11"/>
      <w:r>
        <w:rPr>
          <w:rFonts w:ascii="仿宋_GB2312" w:eastAsia="仿宋_GB2312" w:hAnsi="仿宋_GB2312" w:cs="仿宋_GB2312" w:hint="eastAsia"/>
          <w:sz w:val="24"/>
        </w:rPr>
        <w:t>，不提供承诺书或承诺不满足条件视为无效</w:t>
      </w:r>
      <w:r w:rsidR="002A7E86">
        <w:rPr>
          <w:rFonts w:ascii="仿宋_GB2312" w:eastAsia="仿宋_GB2312" w:hAnsi="仿宋_GB2312" w:cs="仿宋_GB2312" w:hint="eastAsia"/>
          <w:sz w:val="24"/>
        </w:rPr>
        <w:t>投</w:t>
      </w:r>
      <w:r>
        <w:rPr>
          <w:rFonts w:ascii="仿宋_GB2312" w:eastAsia="仿宋_GB2312" w:hAnsi="仿宋_GB2312" w:cs="仿宋_GB2312" w:hint="eastAsia"/>
          <w:sz w:val="24"/>
        </w:rPr>
        <w:t>标）</w:t>
      </w:r>
      <w:bookmarkEnd w:id="8"/>
      <w:bookmarkEnd w:id="10"/>
    </w:p>
    <w:p w14:paraId="0CEA4850" w14:textId="77777777" w:rsidR="00236E4F" w:rsidRDefault="00000000">
      <w:pPr>
        <w:pStyle w:val="2"/>
        <w:spacing w:before="0" w:after="0" w:line="360" w:lineRule="auto"/>
        <w:rPr>
          <w:rFonts w:ascii="楷体_GB2312" w:eastAsia="楷体_GB2312" w:hAnsi="楷体_GB2312" w:cs="楷体_GB2312" w:hint="eastAsia"/>
          <w:b w:val="0"/>
          <w:bCs/>
        </w:rPr>
      </w:pPr>
      <w:bookmarkStart w:id="12" w:name="OLE_LINK15"/>
      <w:r>
        <w:rPr>
          <w:rFonts w:ascii="楷体_GB2312" w:eastAsia="楷体_GB2312" w:hAnsi="楷体_GB2312" w:cs="楷体_GB2312" w:hint="eastAsia"/>
          <w:b w:val="0"/>
          <w:bCs/>
        </w:rPr>
        <w:t>安全建设</w:t>
      </w:r>
    </w:p>
    <w:bookmarkEnd w:id="12"/>
    <w:p w14:paraId="647FB8BA"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供应商所供产品应符合相关法律法规要求，至少包括《中华人民共和国网络安全法》《关键信息基础设施安全保护条例》《中华人民共和国个人信息保护法》《移动互联网应用程序信息服务管理规定》《生成式人工智能服务管理暂行办法》《未成年人网络保护条例》《网络数据安全管理条例》《个人信息保护合规审计管理办法》《中华人民共和国保守国家秘密法》《中华人民共和国密码法》《网络安全等级保护条例》《医疗卫生机构网络安全管理办法》《医疗质量安全核心制度要点》《国家网络身份认证公共服务管理办法》《网络暴力信息治理规定》《互联网信息服务管理办法》《互联网用户账号信息管理规定》《人脸识别技术应用安全管理办法》《中华人民共和国数据安全法》。</w:t>
      </w:r>
    </w:p>
    <w:p w14:paraId="00DF6CD7"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供应商应深入了解采购人的真实需求和期望，确保需求理解的准确，避免误解和预期不一致。在项目开展过程中，应编写详细、清晰的需求文档，内容包含功能、性能、原型图等各方面要求，为研发团队提供明确的工作指导。</w:t>
      </w:r>
    </w:p>
    <w:p w14:paraId="766E5792" w14:textId="1E86D829" w:rsidR="00236E4F" w:rsidRDefault="00000000">
      <w:pPr>
        <w:pStyle w:val="a4"/>
        <w:numPr>
          <w:ilvl w:val="0"/>
          <w:numId w:val="2"/>
        </w:numPr>
        <w:ind w:firstLine="420"/>
        <w:rPr>
          <w:rFonts w:ascii="仿宋_GB2312" w:eastAsia="仿宋_GB2312" w:hAnsi="仿宋_GB2312" w:cs="仿宋_GB2312" w:hint="eastAsia"/>
          <w:sz w:val="24"/>
        </w:rPr>
      </w:pPr>
      <w:bookmarkStart w:id="13" w:name="OLE_LINK24"/>
      <w:r>
        <w:rPr>
          <w:rFonts w:ascii="仿宋_GB2312" w:eastAsia="仿宋_GB2312" w:hAnsi="仿宋_GB2312" w:cs="仿宋_GB2312" w:hint="eastAsia"/>
          <w:sz w:val="24"/>
        </w:rPr>
        <w:t>★</w:t>
      </w:r>
      <w:bookmarkEnd w:id="13"/>
      <w:r>
        <w:rPr>
          <w:rFonts w:ascii="仿宋_GB2312" w:eastAsia="仿宋_GB2312" w:hAnsi="仿宋_GB2312" w:cs="仿宋_GB2312" w:hint="eastAsia"/>
          <w:sz w:val="24"/>
        </w:rPr>
        <w:t>供应商应充分考虑安全因素，在确保供应链安全的基础上，使用满足要求的密码算法，采用多层次的安全防护体系，包括网络安全防护（如防火墙、入侵检测系统、VPN 等）、数据安全防护（如数据加密、访问控制、数据备份与恢复等）、应用安全防护（如身份认证、权限管理、漏洞扫描等）等；同时，在满足三权分立原则的前提下，系统角色设计应覆盖厂商运维角色、院内信息化工程师运维角色、业务管理部门管理角色、终端用户使用角色、日志审计角色等。确保软件系统在运行过程中能够抵御各种安全威胁，保护医院业务数据的安全性和保密性。同时，合理设置系统参数，如关闭不必要的服务和端口、限制远程访问权限、配置满足要求的密码策略与认证方式等，减少系统的攻击面。（投标人须提供承诺书并加盖公章，不提供承诺书或承诺不满足条件视为无效</w:t>
      </w:r>
      <w:r w:rsidR="00463CE8">
        <w:rPr>
          <w:rFonts w:ascii="仿宋_GB2312" w:eastAsia="仿宋_GB2312" w:hAnsi="仿宋_GB2312" w:cs="仿宋_GB2312" w:hint="eastAsia"/>
          <w:sz w:val="24"/>
        </w:rPr>
        <w:t>投</w:t>
      </w:r>
      <w:r>
        <w:rPr>
          <w:rFonts w:ascii="仿宋_GB2312" w:eastAsia="仿宋_GB2312" w:hAnsi="仿宋_GB2312" w:cs="仿宋_GB2312" w:hint="eastAsia"/>
          <w:sz w:val="24"/>
        </w:rPr>
        <w:t>标）</w:t>
      </w:r>
    </w:p>
    <w:p w14:paraId="42BCAFBA"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14" w:name="OLE_LINK21"/>
      <w:bookmarkStart w:id="15" w:name="OLE_LINK20"/>
      <w:r>
        <w:rPr>
          <w:rFonts w:ascii="仿宋_GB2312" w:eastAsia="仿宋_GB2312" w:hAnsi="仿宋_GB2312" w:cs="仿宋_GB2312" w:hint="eastAsia"/>
          <w:sz w:val="24"/>
        </w:rPr>
        <w:t>供应商</w:t>
      </w:r>
      <w:bookmarkEnd w:id="14"/>
      <w:r>
        <w:rPr>
          <w:rFonts w:ascii="仿宋_GB2312" w:eastAsia="仿宋_GB2312" w:hAnsi="仿宋_GB2312" w:cs="仿宋_GB2312" w:hint="eastAsia"/>
          <w:sz w:val="24"/>
        </w:rPr>
        <w:t>应</w:t>
      </w:r>
      <w:bookmarkEnd w:id="15"/>
      <w:r>
        <w:rPr>
          <w:rFonts w:ascii="仿宋_GB2312" w:eastAsia="仿宋_GB2312" w:hAnsi="仿宋_GB2312" w:cs="仿宋_GB2312" w:hint="eastAsia"/>
          <w:sz w:val="24"/>
        </w:rPr>
        <w:t>合理规划资源配置方案，基于业务场景和业务规模等，构建资源配置模型，估算操作系统、CPU、内存、存储、带宽、数据库、中间件等资源，确保相关配置的合理、持续。</w:t>
      </w:r>
    </w:p>
    <w:p w14:paraId="024EA1AA"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16" w:name="OLE_LINK28"/>
      <w:r>
        <w:rPr>
          <w:rFonts w:ascii="仿宋_GB2312" w:eastAsia="仿宋_GB2312" w:hAnsi="仿宋_GB2312" w:cs="仿宋_GB2312" w:hint="eastAsia"/>
          <w:sz w:val="24"/>
        </w:rPr>
        <w:lastRenderedPageBreak/>
        <w:t>▲</w:t>
      </w:r>
      <w:bookmarkEnd w:id="16"/>
      <w:r>
        <w:rPr>
          <w:rFonts w:ascii="仿宋_GB2312" w:eastAsia="仿宋_GB2312" w:hAnsi="仿宋_GB2312" w:cs="仿宋_GB2312" w:hint="eastAsia"/>
          <w:sz w:val="24"/>
        </w:rPr>
        <w:t>供应商应对产品进行充分测试验证，按照招标要求、合同要求等内容，梳理产品功能是否覆盖用户需求，编写测试方案，并开展功能、性能、安全等内容的测试，使用频率较高的交互页面须在界面美观协调的基础上满足弹框不超过三层、同一类型业务跳转不超过五次。不同系统之间交互接口的稳定性不低于百分之九十九。与此同时，应形成完备的用户手册，应包括功能模块手册、典型业务场景手册。</w:t>
      </w:r>
    </w:p>
    <w:p w14:paraId="4450A826"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供应商应在系统上线前提交系统完备的系统部署图、核心业务交互图，配合院方开展安全相关的测试，在满足包括物理环境安全、通信网络安全、区域边界安全、计算环境安全、管理制度安全、管理机构安全、管理人员安全、建设管理安全、运维管理安全等安全要求后开展试运行，跟踪并及时解决试点过程中各个环节发现的问题，持续优先产品功性能。同时，面向临床科室、业务主管科室、系统运维科室等开展针对性的培训、推广。</w:t>
      </w:r>
    </w:p>
    <w:p w14:paraId="1A118517"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17" w:name="OLE_LINK14"/>
      <w:r>
        <w:rPr>
          <w:rFonts w:ascii="仿宋_GB2312" w:eastAsia="仿宋_GB2312" w:hAnsi="仿宋_GB2312" w:cs="仿宋_GB2312" w:hint="eastAsia"/>
          <w:sz w:val="24"/>
        </w:rPr>
        <w:t>★</w:t>
      </w:r>
      <w:bookmarkEnd w:id="17"/>
      <w:r>
        <w:rPr>
          <w:rFonts w:ascii="仿宋_GB2312" w:eastAsia="仿宋_GB2312" w:hAnsi="仿宋_GB2312" w:cs="仿宋_GB2312" w:hint="eastAsia"/>
          <w:sz w:val="24"/>
        </w:rPr>
        <w:t>协助采购人开展攻防演练、等保测评、密评密改、数据分级分类、供应链检测等，并在72小时内完成中高风险的缺陷处理，至少包括但不限于安全漏洞修复、系统补丁更新。</w:t>
      </w:r>
    </w:p>
    <w:p w14:paraId="650A4C82"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至少将系统中所有的管理员账号、数据库口令账号、系统部署图、系统吞度量、统计数据以安全的方式告知采购人，并在密码发生变更时同步给采购人。</w:t>
      </w:r>
    </w:p>
    <w:p w14:paraId="416E8206"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严格控制并采取必要措施对采购人在用系统中所有运行日志、业务数据、系统源代码及其他专有信息、内部管理和其他商业秘密及资料、其他敏感信息等进行保密，不得在未经采购人审批同意下篡改日志、拷贝数据、对外传播等，并定期对系统日志、操作日志进行审计与分析。</w:t>
      </w:r>
    </w:p>
    <w:p w14:paraId="2211D2A8" w14:textId="77777777" w:rsidR="00236E4F" w:rsidRDefault="00000000">
      <w:pPr>
        <w:pStyle w:val="a4"/>
        <w:numPr>
          <w:ilvl w:val="0"/>
          <w:numId w:val="2"/>
        </w:numPr>
        <w:ind w:firstLine="420"/>
        <w:rPr>
          <w:rFonts w:ascii="仿宋_GB2312" w:eastAsia="仿宋_GB2312" w:hAnsi="仿宋_GB2312" w:cs="仿宋_GB2312" w:hint="eastAsia"/>
          <w:sz w:val="24"/>
        </w:rPr>
      </w:pPr>
      <w:bookmarkStart w:id="18" w:name="OLE_LINK18"/>
      <w:r>
        <w:rPr>
          <w:rFonts w:ascii="仿宋_GB2312" w:eastAsia="仿宋_GB2312" w:hAnsi="仿宋_GB2312" w:cs="仿宋_GB2312" w:hint="eastAsia"/>
          <w:sz w:val="24"/>
        </w:rPr>
        <w:t>★</w:t>
      </w:r>
      <w:bookmarkEnd w:id="18"/>
      <w:r>
        <w:rPr>
          <w:rFonts w:ascii="仿宋_GB2312" w:eastAsia="仿宋_GB2312" w:hAnsi="仿宋_GB2312" w:cs="仿宋_GB2312" w:hint="eastAsia"/>
          <w:sz w:val="24"/>
        </w:rPr>
        <w:t>日常用户咨询与技术支撑，对使用过程中出现的技术问题、业务问题进行解答和技术支持，包括现场服务、7*24小时线上或者电话服务，并在必要时提供培训。</w:t>
      </w:r>
    </w:p>
    <w:p w14:paraId="6D88B3A2" w14:textId="77777777"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建立完善的用户反馈机制，并集中管理和体系化分析所有用户反馈的各类问题或意见。出现问题，需要针对具体的问题进行编制操作手册，至少包括反馈频次超过3次的问题、近期更新的模块、新上线的业务，在必要时编制培训材料并进行培训。</w:t>
      </w:r>
    </w:p>
    <w:p w14:paraId="43388631" w14:textId="77777777" w:rsidR="00236E4F" w:rsidRDefault="00000000">
      <w:pPr>
        <w:pStyle w:val="2"/>
        <w:spacing w:before="0" w:after="0" w:line="360" w:lineRule="auto"/>
        <w:rPr>
          <w:rFonts w:ascii="楷体_GB2312" w:eastAsia="楷体_GB2312" w:hAnsi="楷体_GB2312" w:cs="楷体_GB2312" w:hint="eastAsia"/>
          <w:b w:val="0"/>
          <w:bCs/>
        </w:rPr>
      </w:pPr>
      <w:r>
        <w:rPr>
          <w:rFonts w:ascii="楷体_GB2312" w:eastAsia="楷体_GB2312" w:hAnsi="楷体_GB2312" w:cs="楷体_GB2312" w:hint="eastAsia"/>
          <w:b w:val="0"/>
          <w:bCs/>
        </w:rPr>
        <w:t>项目验收</w:t>
      </w:r>
    </w:p>
    <w:p w14:paraId="00A5CAFA" w14:textId="09F6DC60" w:rsidR="00236E4F" w:rsidRDefault="00000000">
      <w:pPr>
        <w:pStyle w:val="a4"/>
        <w:numPr>
          <w:ilvl w:val="0"/>
          <w:numId w:val="2"/>
        </w:numPr>
        <w:ind w:firstLine="420"/>
        <w:rPr>
          <w:rFonts w:ascii="仿宋_GB2312" w:eastAsia="仿宋_GB2312" w:hAnsi="仿宋_GB2312" w:cs="仿宋_GB2312" w:hint="eastAsia"/>
          <w:sz w:val="24"/>
        </w:rPr>
      </w:pPr>
      <w:r>
        <w:rPr>
          <w:rFonts w:ascii="仿宋_GB2312" w:eastAsia="仿宋_GB2312" w:hAnsi="仿宋_GB2312" w:cs="仿宋_GB2312" w:hint="eastAsia"/>
          <w:sz w:val="24"/>
        </w:rPr>
        <w:t>★达到验收条件时，</w:t>
      </w:r>
      <w:bookmarkStart w:id="19" w:name="OLE_LINK25"/>
      <w:r>
        <w:rPr>
          <w:rFonts w:ascii="仿宋_GB2312" w:eastAsia="仿宋_GB2312" w:hAnsi="仿宋_GB2312" w:cs="仿宋_GB2312" w:hint="eastAsia"/>
          <w:sz w:val="24"/>
        </w:rPr>
        <w:t>供应商应向采购人发起验收申请</w:t>
      </w:r>
      <w:bookmarkEnd w:id="19"/>
      <w:r>
        <w:rPr>
          <w:rFonts w:ascii="仿宋_GB2312" w:eastAsia="仿宋_GB2312" w:hAnsi="仿宋_GB2312" w:cs="仿宋_GB2312" w:hint="eastAsia"/>
          <w:sz w:val="24"/>
        </w:rPr>
        <w:t>，并提交必要的交付物</w:t>
      </w:r>
      <w:bookmarkStart w:id="20" w:name="OLE_LINK26"/>
      <w:r>
        <w:rPr>
          <w:rFonts w:ascii="仿宋_GB2312" w:eastAsia="仿宋_GB2312" w:hAnsi="仿宋_GB2312" w:cs="仿宋_GB2312" w:hint="eastAsia"/>
          <w:sz w:val="24"/>
        </w:rPr>
        <w:t>（均应具有签字盖章信息</w:t>
      </w:r>
      <w:bookmarkEnd w:id="20"/>
      <w:r>
        <w:rPr>
          <w:rFonts w:ascii="仿宋_GB2312" w:eastAsia="仿宋_GB2312" w:hAnsi="仿宋_GB2312" w:cs="仿宋_GB2312" w:hint="eastAsia"/>
          <w:sz w:val="24"/>
        </w:rPr>
        <w:t>），相关文档包括需求分析、概要设计、安全设计、测试报告、使用手册（应包含功能模块与核心业务）、功能完成情况分析报告（需与招标和合同要求进行一一对照）、实施过程中的优化记录、采购人要求的与项目相关的其他文档。如因客观原因导致项目延期，供应商应向采购人提交延期申请，否则，院方有权进行追责。（投标人须提供承诺书并加盖公章，不提供承诺书或承诺不满足条件视为无效</w:t>
      </w:r>
      <w:r w:rsidR="00F13338">
        <w:rPr>
          <w:rFonts w:ascii="仿宋_GB2312" w:eastAsia="仿宋_GB2312" w:hAnsi="仿宋_GB2312" w:cs="仿宋_GB2312" w:hint="eastAsia"/>
          <w:sz w:val="24"/>
        </w:rPr>
        <w:t>投</w:t>
      </w:r>
      <w:r>
        <w:rPr>
          <w:rFonts w:ascii="仿宋_GB2312" w:eastAsia="仿宋_GB2312" w:hAnsi="仿宋_GB2312" w:cs="仿宋_GB2312" w:hint="eastAsia"/>
          <w:sz w:val="24"/>
        </w:rPr>
        <w:t>标）</w:t>
      </w:r>
    </w:p>
    <w:p w14:paraId="559014F4" w14:textId="77777777" w:rsidR="00236E4F" w:rsidRDefault="00000000">
      <w:pPr>
        <w:pStyle w:val="1"/>
        <w:spacing w:before="0" w:after="0" w:line="360" w:lineRule="auto"/>
        <w:rPr>
          <w:rFonts w:ascii="黑体" w:eastAsia="黑体" w:hAnsi="黑体" w:cs="黑体" w:hint="eastAsia"/>
          <w:b w:val="0"/>
          <w:bCs/>
          <w:sz w:val="32"/>
          <w:szCs w:val="32"/>
        </w:rPr>
      </w:pPr>
      <w:bookmarkStart w:id="21" w:name="OLE_LINK5"/>
      <w:r>
        <w:rPr>
          <w:rFonts w:ascii="黑体" w:eastAsia="黑体" w:hAnsi="黑体" w:cs="黑体" w:hint="eastAsia"/>
          <w:b w:val="0"/>
          <w:bCs/>
          <w:sz w:val="32"/>
          <w:szCs w:val="32"/>
        </w:rPr>
        <w:t>★商务要求</w:t>
      </w:r>
    </w:p>
    <w:bookmarkEnd w:id="21"/>
    <w:p w14:paraId="763ACAB6"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1.软件质保期：验收合格后，中标人提供1年的技术维护服务，以确保该项目软件模块正常运行以及软件版本为最新版本，费用由</w:t>
      </w:r>
      <w:bookmarkStart w:id="22" w:name="OLE_LINK4"/>
      <w:r>
        <w:rPr>
          <w:rFonts w:ascii="仿宋_GB2312" w:eastAsia="仿宋_GB2312" w:hAnsi="仿宋_GB2312" w:cs="仿宋_GB2312" w:hint="eastAsia"/>
          <w:sz w:val="24"/>
        </w:rPr>
        <w:t>供应商</w:t>
      </w:r>
      <w:bookmarkEnd w:id="22"/>
      <w:r>
        <w:rPr>
          <w:rFonts w:ascii="仿宋_GB2312" w:eastAsia="仿宋_GB2312" w:hAnsi="仿宋_GB2312" w:cs="仿宋_GB2312" w:hint="eastAsia"/>
          <w:sz w:val="24"/>
        </w:rPr>
        <w:t>承担；硬件质保期：</w:t>
      </w:r>
      <w:r>
        <w:rPr>
          <w:rFonts w:ascii="仿宋_GB2312" w:eastAsia="仿宋_GB2312" w:hAnsi="仿宋_GB2312" w:cs="仿宋_GB2312" w:hint="eastAsia"/>
          <w:sz w:val="24"/>
        </w:rPr>
        <w:lastRenderedPageBreak/>
        <w:t>验收合格后提供3年整机质保，费用由供应商承担。</w:t>
      </w:r>
    </w:p>
    <w:p w14:paraId="0FA05954"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2.运维服务：质保期内维修、维护费由供应商承担；质保期外提供有偿维修服务，免收上门服务费，终身维护和技术支持。</w:t>
      </w:r>
    </w:p>
    <w:p w14:paraId="2F875DC1"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3.响应时间：质保期内，中标人至少提供1名工程师提供 7×24小时及时响应服务，接到采购人电话30分钟内响应，2小时到达现场，4 小时内修复正常且不影响采购人工作。</w:t>
      </w:r>
    </w:p>
    <w:p w14:paraId="6EBB58C4"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4.质量要求：按照国家规定、招标文件或中标人投标文件执行。</w:t>
      </w:r>
    </w:p>
    <w:p w14:paraId="19B8322B"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5.付款方式：分二次支付，中标人须向采购人出具合法有效完整的完税发票及凭证资料进行支付结算。</w:t>
      </w:r>
    </w:p>
    <w:p w14:paraId="3CEC6DE0"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（1）第一次支付（合同金额的30%）：合同签订生效后60日内支付；</w:t>
      </w:r>
    </w:p>
    <w:p w14:paraId="095D16F0"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（2）第二次支付（合同总额的70%）：项目在全院上线并验收合格后60日内支付。</w:t>
      </w:r>
    </w:p>
    <w:p w14:paraId="5D53B559"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6.履约保证金：合同金额的10%，由采购人在合同签订前收取。服务期结束后60日内采购人无息退还。合同期内，供应商存在任何违约行为，履约保证金不予退还。</w:t>
      </w:r>
    </w:p>
    <w:p w14:paraId="2F2145B7"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7.项目完成时间：在医院协调好相关业务厂商接口开发的前提下，合同签订之日起90个工作日内项目须在全院上线并验收合格。</w:t>
      </w:r>
    </w:p>
    <w:p w14:paraId="2EFD959F" w14:textId="77777777" w:rsidR="00236E4F" w:rsidRDefault="00000000">
      <w:pPr>
        <w:pStyle w:val="a4"/>
        <w:ind w:firstLineChars="200" w:firstLine="480"/>
        <w:rPr>
          <w:rFonts w:ascii="仿宋_GB2312" w:eastAsia="仿宋_GB2312" w:hAnsi="仿宋_GB2312" w:cs="仿宋_GB2312" w:hint="eastAsia"/>
          <w:sz w:val="24"/>
        </w:rPr>
      </w:pPr>
      <w:r>
        <w:rPr>
          <w:rFonts w:ascii="仿宋_GB2312" w:eastAsia="仿宋_GB2312" w:hAnsi="仿宋_GB2312" w:cs="仿宋_GB2312" w:hint="eastAsia"/>
          <w:sz w:val="24"/>
        </w:rPr>
        <w:t>8. 项目建设地点：四川省妇幼保健院。</w:t>
      </w:r>
    </w:p>
    <w:p w14:paraId="4B247FC4" w14:textId="3D6586A1" w:rsidR="00044512" w:rsidRPr="00044512" w:rsidRDefault="00044512" w:rsidP="00044512">
      <w:pPr>
        <w:pStyle w:val="a4"/>
        <w:ind w:firstLineChars="200" w:firstLine="480"/>
        <w:rPr>
          <w:rFonts w:ascii="仿宋_GB2312" w:eastAsia="仿宋_GB2312" w:hAnsi="仿宋_GB2312" w:cs="仿宋_GB2312" w:hint="eastAsia"/>
          <w:sz w:val="24"/>
        </w:rPr>
      </w:pPr>
      <w:r w:rsidRPr="00044512">
        <w:rPr>
          <w:rFonts w:ascii="仿宋_GB2312" w:eastAsia="仿宋_GB2312" w:hAnsi="仿宋_GB2312" w:cs="仿宋_GB2312" w:hint="eastAsia"/>
          <w:sz w:val="24"/>
        </w:rPr>
        <w:t>9.知识产权：项目系统的版权属于采购人所有，包括本项目所产生的发明、发现、可运行系统、源代码及相关技术资料、文档、数据等，采购人对其享有永久使用权、复制权和修改权。项目系统的专利申请权、专利权、技术秘密的所有权、使用权、转让权等知识产权归采购人所有。供应商应保证在本项目中所有预装和为本项目安装的软件为在中国境内具有合法版权或使用权的正版软件且无质量瑕疵，并保证所提供的产品及服务不侵犯第三方的知识产权，否则，由此给采购人造成的一切损失由供应商承担。</w:t>
      </w:r>
    </w:p>
    <w:p w14:paraId="0DCD27A9" w14:textId="77777777" w:rsidR="00236E4F" w:rsidRDefault="00000000">
      <w:pPr>
        <w:pStyle w:val="1"/>
        <w:spacing w:before="0" w:after="0" w:line="360" w:lineRule="auto"/>
        <w:rPr>
          <w:rFonts w:ascii="黑体" w:eastAsia="黑体" w:hAnsi="黑体" w:cs="黑体" w:hint="eastAsia"/>
          <w:b w:val="0"/>
          <w:bCs/>
          <w:sz w:val="32"/>
          <w:szCs w:val="32"/>
        </w:rPr>
      </w:pPr>
      <w:r>
        <w:rPr>
          <w:rFonts w:ascii="黑体" w:eastAsia="黑体" w:hAnsi="黑体" w:cs="黑体" w:hint="eastAsia"/>
          <w:b w:val="0"/>
          <w:bCs/>
          <w:sz w:val="32"/>
          <w:szCs w:val="32"/>
        </w:rPr>
        <w:t>评分实施细则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001"/>
        <w:gridCol w:w="1255"/>
        <w:gridCol w:w="4297"/>
        <w:gridCol w:w="698"/>
      </w:tblGrid>
      <w:tr w:rsidR="00236E4F" w14:paraId="0275908D" w14:textId="77777777">
        <w:trPr>
          <w:trHeight w:val="1017"/>
          <w:jc w:val="center"/>
        </w:trPr>
        <w:tc>
          <w:tcPr>
            <w:tcW w:w="0" w:type="auto"/>
            <w:shd w:val="clear" w:color="auto" w:fill="auto"/>
            <w:vAlign w:val="center"/>
          </w:tcPr>
          <w:p w14:paraId="501A3C14" w14:textId="77777777" w:rsidR="00236E4F"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序号</w:t>
            </w:r>
          </w:p>
        </w:tc>
        <w:tc>
          <w:tcPr>
            <w:tcW w:w="0" w:type="auto"/>
            <w:shd w:val="clear" w:color="auto" w:fill="auto"/>
            <w:vAlign w:val="center"/>
          </w:tcPr>
          <w:p w14:paraId="197F997E" w14:textId="77777777" w:rsidR="00236E4F"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评分因素</w:t>
            </w:r>
          </w:p>
        </w:tc>
        <w:tc>
          <w:tcPr>
            <w:tcW w:w="1255" w:type="dxa"/>
            <w:shd w:val="clear" w:color="auto" w:fill="auto"/>
            <w:vAlign w:val="center"/>
          </w:tcPr>
          <w:p w14:paraId="4F304286" w14:textId="77777777" w:rsidR="00236E4F" w:rsidRDefault="00000000">
            <w:pPr>
              <w:wordWrap w:val="0"/>
              <w:overflowPunct w:val="0"/>
              <w:topLinePunct/>
              <w:spacing w:line="440" w:lineRule="exact"/>
              <w:jc w:val="center"/>
              <w:textAlignment w:val="center"/>
              <w:rPr>
                <w:rFonts w:ascii="黑体" w:eastAsia="黑体" w:hAnsi="黑体" w:hint="eastAsia"/>
                <w:color w:val="000000"/>
                <w:sz w:val="24"/>
              </w:rPr>
            </w:pPr>
            <w:r>
              <w:rPr>
                <w:rFonts w:ascii="仿宋" w:eastAsia="仿宋" w:hAnsi="仿宋" w:cs="仿宋" w:hint="eastAsia"/>
                <w:b/>
                <w:sz w:val="24"/>
              </w:rPr>
              <w:t>分值</w:t>
            </w:r>
          </w:p>
        </w:tc>
        <w:tc>
          <w:tcPr>
            <w:tcW w:w="4297" w:type="dxa"/>
            <w:shd w:val="clear" w:color="auto" w:fill="auto"/>
            <w:vAlign w:val="center"/>
          </w:tcPr>
          <w:p w14:paraId="09750106"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评分标准</w:t>
            </w:r>
          </w:p>
        </w:tc>
        <w:tc>
          <w:tcPr>
            <w:tcW w:w="0" w:type="auto"/>
            <w:shd w:val="clear" w:color="auto" w:fill="auto"/>
            <w:vAlign w:val="center"/>
          </w:tcPr>
          <w:p w14:paraId="68B4FDB2"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说明</w:t>
            </w:r>
          </w:p>
        </w:tc>
      </w:tr>
      <w:tr w:rsidR="00236E4F" w14:paraId="7BFF22B9" w14:textId="77777777">
        <w:trPr>
          <w:trHeight w:val="2206"/>
          <w:jc w:val="center"/>
        </w:trPr>
        <w:tc>
          <w:tcPr>
            <w:tcW w:w="0" w:type="auto"/>
            <w:shd w:val="clear" w:color="auto" w:fill="auto"/>
            <w:vAlign w:val="center"/>
          </w:tcPr>
          <w:p w14:paraId="73372080"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1</w:t>
            </w:r>
          </w:p>
        </w:tc>
        <w:tc>
          <w:tcPr>
            <w:tcW w:w="1001" w:type="dxa"/>
            <w:shd w:val="clear" w:color="auto" w:fill="auto"/>
            <w:vAlign w:val="center"/>
          </w:tcPr>
          <w:p w14:paraId="24E6BFF2"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报价</w:t>
            </w:r>
          </w:p>
        </w:tc>
        <w:tc>
          <w:tcPr>
            <w:tcW w:w="1255" w:type="dxa"/>
            <w:shd w:val="clear" w:color="auto" w:fill="auto"/>
            <w:vAlign w:val="center"/>
          </w:tcPr>
          <w:p w14:paraId="435E719E"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30分</w:t>
            </w:r>
          </w:p>
        </w:tc>
        <w:tc>
          <w:tcPr>
            <w:tcW w:w="4297" w:type="dxa"/>
            <w:shd w:val="clear" w:color="auto" w:fill="auto"/>
            <w:vAlign w:val="center"/>
          </w:tcPr>
          <w:p w14:paraId="193997E9"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综合评分法中的价格分统一采用低价优先法计算，即满足招标文件要求且投标价格最低的投标报价为评标基准价，其价格分为满分。其他投标人的价格分统一按照下列公式计算：</w:t>
            </w:r>
          </w:p>
          <w:p w14:paraId="5185937F" w14:textId="77777777" w:rsidR="00236E4F" w:rsidRDefault="00000000">
            <w:pPr>
              <w:spacing w:line="300" w:lineRule="exact"/>
              <w:rPr>
                <w:rFonts w:ascii="仿宋" w:eastAsia="仿宋" w:hAnsi="仿宋" w:cs="仿宋" w:hint="eastAsia"/>
                <w:b/>
                <w:sz w:val="24"/>
              </w:rPr>
            </w:pPr>
            <w:r>
              <w:rPr>
                <w:rFonts w:ascii="仿宋_GB2312" w:eastAsia="仿宋_GB2312" w:hAnsi="仿宋_GB2312" w:cs="仿宋_GB2312" w:hint="eastAsia"/>
                <w:sz w:val="24"/>
              </w:rPr>
              <w:t>投标报价得分=(评标基准价／投标报价)×30×100%</w:t>
            </w:r>
          </w:p>
        </w:tc>
        <w:tc>
          <w:tcPr>
            <w:tcW w:w="0" w:type="auto"/>
            <w:shd w:val="clear" w:color="auto" w:fill="auto"/>
            <w:vAlign w:val="center"/>
          </w:tcPr>
          <w:p w14:paraId="0C783E6A" w14:textId="77777777" w:rsidR="00236E4F" w:rsidRDefault="00236E4F">
            <w:pPr>
              <w:wordWrap w:val="0"/>
              <w:overflowPunct w:val="0"/>
              <w:topLinePunct/>
              <w:spacing w:line="440" w:lineRule="exact"/>
              <w:jc w:val="center"/>
              <w:textAlignment w:val="center"/>
              <w:rPr>
                <w:rFonts w:ascii="仿宋" w:eastAsia="仿宋" w:hAnsi="仿宋" w:cs="仿宋" w:hint="eastAsia"/>
                <w:b/>
                <w:bCs/>
                <w:sz w:val="24"/>
              </w:rPr>
            </w:pPr>
          </w:p>
        </w:tc>
      </w:tr>
      <w:tr w:rsidR="00236E4F" w14:paraId="1FAB54C6" w14:textId="77777777">
        <w:trPr>
          <w:trHeight w:val="2420"/>
          <w:jc w:val="center"/>
        </w:trPr>
        <w:tc>
          <w:tcPr>
            <w:tcW w:w="0" w:type="auto"/>
            <w:shd w:val="clear" w:color="auto" w:fill="auto"/>
            <w:vAlign w:val="center"/>
          </w:tcPr>
          <w:p w14:paraId="05E41895"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lastRenderedPageBreak/>
              <w:t>2</w:t>
            </w:r>
          </w:p>
        </w:tc>
        <w:tc>
          <w:tcPr>
            <w:tcW w:w="1001" w:type="dxa"/>
            <w:shd w:val="clear" w:color="auto" w:fill="auto"/>
            <w:vAlign w:val="center"/>
          </w:tcPr>
          <w:p w14:paraId="1A8FCBE5" w14:textId="77777777" w:rsidR="00236E4F" w:rsidRDefault="00000000">
            <w:pPr>
              <w:widowControl/>
              <w:jc w:val="left"/>
              <w:rPr>
                <w:rFonts w:ascii="仿宋" w:eastAsia="仿宋" w:hAnsi="仿宋" w:cs="仿宋" w:hint="eastAsia"/>
                <w:b/>
                <w:sz w:val="24"/>
              </w:rPr>
            </w:pPr>
            <w:r>
              <w:rPr>
                <w:rFonts w:ascii="仿宋" w:eastAsia="仿宋" w:hAnsi="仿宋" w:cs="仿宋" w:hint="eastAsia"/>
                <w:sz w:val="24"/>
              </w:rPr>
              <w:t>技术参数</w:t>
            </w:r>
          </w:p>
        </w:tc>
        <w:tc>
          <w:tcPr>
            <w:tcW w:w="1255" w:type="dxa"/>
            <w:shd w:val="clear" w:color="auto" w:fill="auto"/>
            <w:vAlign w:val="center"/>
          </w:tcPr>
          <w:p w14:paraId="198DD9C6" w14:textId="77777777" w:rsidR="00236E4F" w:rsidRDefault="00000000">
            <w:pPr>
              <w:spacing w:line="3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40分</w:t>
            </w:r>
          </w:p>
        </w:tc>
        <w:tc>
          <w:tcPr>
            <w:tcW w:w="4297" w:type="dxa"/>
            <w:shd w:val="clear" w:color="auto" w:fill="auto"/>
          </w:tcPr>
          <w:p w14:paraId="7291BF25"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完全符合采购文件“技术、服务要求”的要求没有负偏离得该项满分。带“★”的条款为实质性参数条款，每有一项不满足将按无效响应处理；</w:t>
            </w:r>
          </w:p>
          <w:p w14:paraId="5C5ED3E5"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（1）一般技术参数条款的响应得分规则如下：（一般技术参数条款指未标注 “▲”或“★”的条款） 一般技术参数条款响应得分=（投标人满足一般技术参数条款的数量÷一般技术参数条款的总数量）×20分。</w:t>
            </w:r>
          </w:p>
          <w:p w14:paraId="3CF3CFEF"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（2）“▲”技术参数条款的响应得分规则如下： “▲”技术参数条款响应得分=（投标人满足“▲”技术参数条款的数量÷ “▲”技术参数条款的总数量）×20分。</w:t>
            </w:r>
          </w:p>
          <w:p w14:paraId="1774C45D" w14:textId="77777777" w:rsidR="00236E4F" w:rsidRDefault="00236E4F">
            <w:pPr>
              <w:spacing w:line="300" w:lineRule="exact"/>
              <w:rPr>
                <w:rFonts w:ascii="仿宋_GB2312" w:eastAsia="仿宋_GB2312" w:hAnsi="仿宋_GB2312" w:cs="仿宋_GB2312" w:hint="eastAsia"/>
                <w:sz w:val="24"/>
              </w:rPr>
            </w:pPr>
          </w:p>
          <w:p w14:paraId="707CD232"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注：1.针对参数条款的响应，如果采购文件“技术、服务要求”中参数条款对支撑材料有要求，应按要求提供，否则对应参数条款将不得分。</w:t>
            </w:r>
          </w:p>
          <w:p w14:paraId="7F98C837"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2.带“▲”的条款以所在位置包含的章节或者段落的为一条。</w:t>
            </w:r>
          </w:p>
          <w:p w14:paraId="2345D028"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3.一般参数以条款最后一个序号层级进</w:t>
            </w:r>
          </w:p>
          <w:p w14:paraId="23AC7FC0"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行计数（例如：“（一）”“1”“（1）”则“（1）”为计数条款。</w:t>
            </w:r>
          </w:p>
        </w:tc>
        <w:tc>
          <w:tcPr>
            <w:tcW w:w="0" w:type="auto"/>
            <w:shd w:val="clear" w:color="auto" w:fill="auto"/>
            <w:vAlign w:val="center"/>
          </w:tcPr>
          <w:p w14:paraId="4EFB7459" w14:textId="77777777" w:rsidR="00236E4F" w:rsidRDefault="00236E4F">
            <w:pPr>
              <w:wordWrap w:val="0"/>
              <w:overflowPunct w:val="0"/>
              <w:topLinePunct/>
              <w:spacing w:line="440" w:lineRule="exact"/>
              <w:jc w:val="center"/>
              <w:textAlignment w:val="center"/>
              <w:rPr>
                <w:rFonts w:ascii="仿宋" w:eastAsia="仿宋" w:hAnsi="仿宋" w:cs="仿宋" w:hint="eastAsia"/>
                <w:b/>
                <w:bCs/>
                <w:sz w:val="24"/>
              </w:rPr>
            </w:pPr>
          </w:p>
        </w:tc>
      </w:tr>
      <w:tr w:rsidR="00236E4F" w14:paraId="22895CEF" w14:textId="77777777">
        <w:trPr>
          <w:trHeight w:val="5502"/>
          <w:jc w:val="center"/>
        </w:trPr>
        <w:tc>
          <w:tcPr>
            <w:tcW w:w="0" w:type="auto"/>
            <w:shd w:val="clear" w:color="auto" w:fill="auto"/>
            <w:vAlign w:val="center"/>
          </w:tcPr>
          <w:p w14:paraId="0ADFECA0"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3</w:t>
            </w:r>
          </w:p>
        </w:tc>
        <w:tc>
          <w:tcPr>
            <w:tcW w:w="1001" w:type="dxa"/>
            <w:shd w:val="clear" w:color="auto" w:fill="auto"/>
            <w:vAlign w:val="center"/>
          </w:tcPr>
          <w:p w14:paraId="4B856E8C"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 xml:space="preserve">项目实施方案 </w:t>
            </w:r>
          </w:p>
        </w:tc>
        <w:tc>
          <w:tcPr>
            <w:tcW w:w="1255" w:type="dxa"/>
            <w:shd w:val="clear" w:color="auto" w:fill="auto"/>
            <w:vAlign w:val="center"/>
          </w:tcPr>
          <w:p w14:paraId="58EEC215"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18分</w:t>
            </w:r>
          </w:p>
        </w:tc>
        <w:tc>
          <w:tcPr>
            <w:tcW w:w="4297" w:type="dxa"/>
            <w:shd w:val="clear" w:color="auto" w:fill="auto"/>
            <w:vAlign w:val="center"/>
          </w:tcPr>
          <w:p w14:paraId="79023B5D"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根据供应商针对本项目提供的实施方案进行评审，方案内容包含：</w:t>
            </w:r>
          </w:p>
          <w:p w14:paraId="65AC5C4A"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①实施标准；</w:t>
            </w:r>
          </w:p>
          <w:p w14:paraId="7DA853C2"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②进度计划安排；</w:t>
            </w:r>
          </w:p>
          <w:p w14:paraId="3A2AE653"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③人员安排；</w:t>
            </w:r>
          </w:p>
          <w:p w14:paraId="1AD2E123"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④</w:t>
            </w:r>
            <w:r>
              <w:rPr>
                <w:rFonts w:ascii="仿宋_GB2312" w:eastAsia="仿宋_GB2312" w:hAnsi="仿宋_GB2312" w:cs="仿宋_GB2312" w:hint="eastAsia"/>
                <w:sz w:val="24"/>
              </w:rPr>
              <w:t>故障应急响应</w:t>
            </w:r>
            <w:r>
              <w:rPr>
                <w:rFonts w:ascii="仿宋_GB2312" w:eastAsia="仿宋_GB2312" w:hAnsi="仿宋_GB2312" w:cs="仿宋_GB2312" w:hint="eastAsia"/>
                <w:bCs/>
                <w:snapToGrid w:val="0"/>
                <w:kern w:val="0"/>
                <w:sz w:val="24"/>
              </w:rPr>
              <w:t>；</w:t>
            </w:r>
          </w:p>
          <w:p w14:paraId="2713AD2B" w14:textId="77777777" w:rsidR="00236E4F" w:rsidRDefault="00000000">
            <w:pPr>
              <w:adjustRightInd w:val="0"/>
              <w:snapToGrid w:val="0"/>
              <w:rPr>
                <w:rFonts w:ascii="仿宋_GB2312" w:eastAsia="仿宋_GB2312" w:hAnsi="仿宋_GB2312" w:cs="仿宋_GB2312" w:hint="eastAsia"/>
                <w:bCs/>
                <w:snapToGrid w:val="0"/>
                <w:kern w:val="0"/>
                <w:sz w:val="24"/>
              </w:rPr>
            </w:pPr>
            <w:bookmarkStart w:id="23" w:name="OLE_LINK37"/>
            <w:r>
              <w:rPr>
                <w:rFonts w:ascii="仿宋_GB2312" w:eastAsia="仿宋_GB2312" w:hAnsi="仿宋_GB2312" w:cs="仿宋_GB2312" w:hint="eastAsia"/>
                <w:bCs/>
                <w:snapToGrid w:val="0"/>
                <w:kern w:val="0"/>
                <w:sz w:val="24"/>
              </w:rPr>
              <w:t>⑤</w:t>
            </w:r>
            <w:bookmarkEnd w:id="23"/>
            <w:r>
              <w:rPr>
                <w:rFonts w:ascii="仿宋_GB2312" w:eastAsia="仿宋_GB2312" w:hAnsi="仿宋_GB2312" w:cs="仿宋_GB2312" w:hint="eastAsia"/>
                <w:bCs/>
                <w:snapToGrid w:val="0"/>
                <w:kern w:val="0"/>
                <w:sz w:val="24"/>
              </w:rPr>
              <w:t>项目风险与应对措施；</w:t>
            </w:r>
          </w:p>
          <w:p w14:paraId="38E71FF7" w14:textId="77777777"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⑥项目整体管理；</w:t>
            </w:r>
          </w:p>
          <w:p w14:paraId="568C55BD" w14:textId="4D6949B0" w:rsidR="00236E4F" w:rsidRDefault="00000000">
            <w:pPr>
              <w:adjustRightInd w:val="0"/>
              <w:snapToGrid w:val="0"/>
              <w:rPr>
                <w:rFonts w:ascii="仿宋_GB2312" w:eastAsia="仿宋_GB2312" w:hAnsi="仿宋_GB2312" w:cs="仿宋_GB2312" w:hint="eastAsia"/>
                <w:bCs/>
                <w:snapToGrid w:val="0"/>
                <w:kern w:val="0"/>
                <w:sz w:val="24"/>
              </w:rPr>
            </w:pPr>
            <w:r>
              <w:rPr>
                <w:rFonts w:ascii="仿宋_GB2312" w:eastAsia="仿宋_GB2312" w:hAnsi="仿宋_GB2312" w:cs="仿宋_GB2312" w:hint="eastAsia"/>
                <w:bCs/>
                <w:snapToGrid w:val="0"/>
                <w:kern w:val="0"/>
                <w:sz w:val="24"/>
              </w:rPr>
              <w:t>以上6项完全满足得18分，每缺少1项扣3分；每有1处内容响应存在错误或缺陷的扣1</w:t>
            </w:r>
            <w:r w:rsidR="00EF4542">
              <w:rPr>
                <w:rFonts w:ascii="仿宋_GB2312" w:eastAsia="仿宋_GB2312" w:hAnsi="仿宋_GB2312" w:cs="仿宋_GB2312" w:hint="eastAsia"/>
                <w:bCs/>
                <w:snapToGrid w:val="0"/>
                <w:kern w:val="0"/>
                <w:sz w:val="24"/>
              </w:rPr>
              <w:t>.5</w:t>
            </w:r>
            <w:r>
              <w:rPr>
                <w:rFonts w:ascii="仿宋_GB2312" w:eastAsia="仿宋_GB2312" w:hAnsi="仿宋_GB2312" w:cs="仿宋_GB2312" w:hint="eastAsia"/>
                <w:bCs/>
                <w:snapToGrid w:val="0"/>
                <w:kern w:val="0"/>
                <w:sz w:val="24"/>
              </w:rPr>
              <w:t>分，扣完为止。未提供的不得分。</w:t>
            </w:r>
          </w:p>
          <w:p w14:paraId="3920871B" w14:textId="77777777" w:rsidR="00236E4F" w:rsidRDefault="00236E4F">
            <w:pPr>
              <w:adjustRightInd w:val="0"/>
              <w:snapToGrid w:val="0"/>
              <w:rPr>
                <w:rFonts w:ascii="仿宋_GB2312" w:eastAsia="仿宋_GB2312" w:hAnsi="仿宋_GB2312" w:cs="仿宋_GB2312" w:hint="eastAsia"/>
                <w:bCs/>
                <w:snapToGrid w:val="0"/>
                <w:kern w:val="0"/>
                <w:sz w:val="24"/>
              </w:rPr>
            </w:pPr>
          </w:p>
          <w:p w14:paraId="4203027B"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bCs/>
                <w:snapToGrid w:val="0"/>
                <w:kern w:val="0"/>
                <w:sz w:val="24"/>
              </w:rPr>
              <w:t>注：错误或缺陷是指：①本项目提供的方案中引用法律、规范、标准存在失效或错误；②非专门针对本项目或内容与本项目需求无关；③仅有框架或标题未作出进一步描述；④复制或套用其他项目内容；以上任意一种情形。</w:t>
            </w:r>
          </w:p>
        </w:tc>
        <w:tc>
          <w:tcPr>
            <w:tcW w:w="0" w:type="auto"/>
            <w:shd w:val="clear" w:color="auto" w:fill="auto"/>
            <w:vAlign w:val="center"/>
          </w:tcPr>
          <w:p w14:paraId="0882F1F8" w14:textId="77777777" w:rsidR="00236E4F" w:rsidRDefault="00236E4F">
            <w:pPr>
              <w:wordWrap w:val="0"/>
              <w:overflowPunct w:val="0"/>
              <w:topLinePunct/>
              <w:spacing w:line="440" w:lineRule="exact"/>
              <w:jc w:val="center"/>
              <w:textAlignment w:val="center"/>
              <w:rPr>
                <w:rFonts w:ascii="仿宋" w:eastAsia="仿宋" w:hAnsi="仿宋" w:cs="仿宋" w:hint="eastAsia"/>
                <w:b/>
                <w:bCs/>
                <w:sz w:val="24"/>
              </w:rPr>
            </w:pPr>
          </w:p>
        </w:tc>
      </w:tr>
      <w:tr w:rsidR="00236E4F" w14:paraId="5995AC36" w14:textId="77777777">
        <w:trPr>
          <w:trHeight w:val="1377"/>
          <w:jc w:val="center"/>
        </w:trPr>
        <w:tc>
          <w:tcPr>
            <w:tcW w:w="0" w:type="auto"/>
            <w:shd w:val="clear" w:color="auto" w:fill="auto"/>
            <w:vAlign w:val="center"/>
          </w:tcPr>
          <w:p w14:paraId="0ABF0C40"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lastRenderedPageBreak/>
              <w:t>4</w:t>
            </w:r>
          </w:p>
        </w:tc>
        <w:tc>
          <w:tcPr>
            <w:tcW w:w="1001" w:type="dxa"/>
            <w:shd w:val="clear" w:color="auto" w:fill="auto"/>
            <w:vAlign w:val="center"/>
          </w:tcPr>
          <w:p w14:paraId="5E45BB68" w14:textId="77777777" w:rsidR="00236E4F" w:rsidRDefault="00000000">
            <w:pPr>
              <w:widowControl/>
              <w:spacing w:line="300" w:lineRule="exact"/>
              <w:jc w:val="center"/>
              <w:rPr>
                <w:rFonts w:ascii="仿宋" w:eastAsia="仿宋" w:hAnsi="仿宋" w:cs="仿宋" w:hint="eastAsia"/>
                <w:b/>
                <w:sz w:val="24"/>
              </w:rPr>
            </w:pPr>
            <w:r>
              <w:rPr>
                <w:rFonts w:ascii="仿宋" w:eastAsia="仿宋" w:hAnsi="仿宋" w:cs="仿宋" w:hint="eastAsia"/>
                <w:sz w:val="24"/>
              </w:rPr>
              <w:t>企业实力</w:t>
            </w:r>
          </w:p>
        </w:tc>
        <w:tc>
          <w:tcPr>
            <w:tcW w:w="1255" w:type="dxa"/>
            <w:shd w:val="clear" w:color="auto" w:fill="auto"/>
            <w:vAlign w:val="center"/>
          </w:tcPr>
          <w:p w14:paraId="34335B8D" w14:textId="77777777" w:rsidR="00236E4F" w:rsidRDefault="00000000">
            <w:pPr>
              <w:widowControl/>
              <w:spacing w:line="300" w:lineRule="exact"/>
              <w:jc w:val="center"/>
              <w:rPr>
                <w:rFonts w:ascii="仿宋" w:eastAsia="仿宋" w:hAnsi="仿宋" w:cs="仿宋" w:hint="eastAsia"/>
                <w:b/>
                <w:sz w:val="24"/>
              </w:rPr>
            </w:pPr>
            <w:r>
              <w:rPr>
                <w:rFonts w:ascii="仿宋" w:eastAsia="仿宋" w:hAnsi="仿宋" w:cs="仿宋" w:hint="eastAsia"/>
                <w:sz w:val="24"/>
              </w:rPr>
              <w:t>4分</w:t>
            </w:r>
          </w:p>
        </w:tc>
        <w:tc>
          <w:tcPr>
            <w:tcW w:w="4297" w:type="dxa"/>
            <w:shd w:val="clear" w:color="auto" w:fill="auto"/>
            <w:vAlign w:val="center"/>
          </w:tcPr>
          <w:p w14:paraId="314BF0BD" w14:textId="4079380B"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1.投标人已取得“反统方</w:t>
            </w:r>
            <w:r>
              <w:rPr>
                <w:rFonts w:ascii="仿宋_GB2312" w:eastAsia="仿宋_GB2312" w:hAnsi="仿宋_GB2312" w:cs="仿宋_GB2312" w:hint="eastAsia"/>
                <w:sz w:val="24"/>
                <w:lang w:eastAsia="zh-Hans"/>
              </w:rPr>
              <w:t>系统</w:t>
            </w:r>
            <w:r w:rsidR="00227247">
              <w:rPr>
                <w:rFonts w:ascii="仿宋_GB2312" w:eastAsia="仿宋_GB2312" w:hAnsi="仿宋_GB2312" w:cs="仿宋_GB2312" w:hint="eastAsia"/>
                <w:sz w:val="24"/>
                <w:lang w:eastAsia="zh-Hans"/>
              </w:rPr>
              <w:t>或防统方</w:t>
            </w:r>
            <w:r>
              <w:rPr>
                <w:rFonts w:ascii="仿宋_GB2312" w:eastAsia="仿宋_GB2312" w:hAnsi="仿宋_GB2312" w:cs="仿宋_GB2312" w:hint="eastAsia"/>
                <w:sz w:val="24"/>
              </w:rPr>
              <w:t>”著作权得4分。</w:t>
            </w:r>
          </w:p>
          <w:p w14:paraId="71F67EE5" w14:textId="77777777" w:rsidR="00236E4F" w:rsidRDefault="00236E4F">
            <w:pPr>
              <w:spacing w:line="300" w:lineRule="exact"/>
              <w:rPr>
                <w:rFonts w:ascii="仿宋_GB2312" w:eastAsia="仿宋_GB2312" w:hAnsi="仿宋_GB2312" w:cs="仿宋_GB2312" w:hint="eastAsia"/>
                <w:sz w:val="24"/>
              </w:rPr>
            </w:pPr>
          </w:p>
          <w:p w14:paraId="2800AF71"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注：提供相关证明材料加盖投标人</w:t>
            </w:r>
            <w:bookmarkStart w:id="24" w:name="OLE_LINK16"/>
            <w:r>
              <w:rPr>
                <w:rFonts w:ascii="仿宋_GB2312" w:eastAsia="仿宋_GB2312" w:hAnsi="仿宋_GB2312" w:cs="仿宋_GB2312" w:hint="eastAsia"/>
                <w:sz w:val="24"/>
              </w:rPr>
              <w:t>公章</w:t>
            </w:r>
            <w:bookmarkEnd w:id="24"/>
            <w:r>
              <w:rPr>
                <w:rFonts w:ascii="仿宋_GB2312" w:eastAsia="仿宋_GB2312" w:hAnsi="仿宋_GB2312" w:cs="仿宋_GB2312" w:hint="eastAsia"/>
                <w:sz w:val="24"/>
              </w:rPr>
              <w:t>。</w:t>
            </w:r>
          </w:p>
        </w:tc>
        <w:tc>
          <w:tcPr>
            <w:tcW w:w="0" w:type="auto"/>
            <w:shd w:val="clear" w:color="auto" w:fill="auto"/>
            <w:vAlign w:val="center"/>
          </w:tcPr>
          <w:p w14:paraId="3D574F9A" w14:textId="77777777" w:rsidR="00236E4F" w:rsidRDefault="00236E4F">
            <w:pPr>
              <w:wordWrap w:val="0"/>
              <w:overflowPunct w:val="0"/>
              <w:topLinePunct/>
              <w:spacing w:line="440" w:lineRule="exact"/>
              <w:jc w:val="center"/>
              <w:textAlignment w:val="center"/>
              <w:rPr>
                <w:rFonts w:ascii="仿宋" w:eastAsia="仿宋" w:hAnsi="仿宋" w:cs="仿宋" w:hint="eastAsia"/>
                <w:b/>
                <w:bCs/>
                <w:sz w:val="24"/>
              </w:rPr>
            </w:pPr>
          </w:p>
        </w:tc>
      </w:tr>
      <w:tr w:rsidR="00236E4F" w14:paraId="1CE9D15B" w14:textId="77777777">
        <w:trPr>
          <w:trHeight w:val="1530"/>
          <w:jc w:val="center"/>
        </w:trPr>
        <w:tc>
          <w:tcPr>
            <w:tcW w:w="0" w:type="auto"/>
            <w:shd w:val="clear" w:color="auto" w:fill="auto"/>
            <w:vAlign w:val="center"/>
          </w:tcPr>
          <w:p w14:paraId="5DFC6CEE" w14:textId="77777777" w:rsidR="00236E4F" w:rsidRDefault="00000000">
            <w:pPr>
              <w:wordWrap w:val="0"/>
              <w:overflowPunct w:val="0"/>
              <w:topLinePunct/>
              <w:spacing w:line="440" w:lineRule="exact"/>
              <w:jc w:val="center"/>
              <w:textAlignment w:val="center"/>
              <w:rPr>
                <w:rFonts w:ascii="仿宋" w:eastAsia="仿宋" w:hAnsi="仿宋" w:cs="仿宋" w:hint="eastAsia"/>
                <w:b/>
                <w:sz w:val="24"/>
              </w:rPr>
            </w:pPr>
            <w:r>
              <w:rPr>
                <w:rFonts w:ascii="仿宋" w:eastAsia="仿宋" w:hAnsi="仿宋" w:cs="仿宋" w:hint="eastAsia"/>
                <w:b/>
                <w:sz w:val="24"/>
              </w:rPr>
              <w:t>5</w:t>
            </w:r>
          </w:p>
        </w:tc>
        <w:tc>
          <w:tcPr>
            <w:tcW w:w="1001" w:type="dxa"/>
            <w:shd w:val="clear" w:color="auto" w:fill="auto"/>
            <w:vAlign w:val="center"/>
          </w:tcPr>
          <w:p w14:paraId="37EBD415"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履约能力</w:t>
            </w:r>
          </w:p>
        </w:tc>
        <w:tc>
          <w:tcPr>
            <w:tcW w:w="1255" w:type="dxa"/>
            <w:shd w:val="clear" w:color="auto" w:fill="auto"/>
            <w:vAlign w:val="center"/>
          </w:tcPr>
          <w:p w14:paraId="6D33F980" w14:textId="77777777" w:rsidR="00236E4F" w:rsidRDefault="00000000">
            <w:pPr>
              <w:spacing w:line="300" w:lineRule="exact"/>
              <w:jc w:val="center"/>
              <w:rPr>
                <w:rFonts w:ascii="仿宋" w:eastAsia="仿宋" w:hAnsi="仿宋" w:cs="仿宋" w:hint="eastAsia"/>
                <w:b/>
                <w:sz w:val="24"/>
              </w:rPr>
            </w:pPr>
            <w:r>
              <w:rPr>
                <w:rFonts w:ascii="仿宋" w:eastAsia="仿宋" w:hAnsi="仿宋" w:cs="仿宋" w:hint="eastAsia"/>
                <w:sz w:val="24"/>
              </w:rPr>
              <w:t>8分</w:t>
            </w:r>
          </w:p>
        </w:tc>
        <w:tc>
          <w:tcPr>
            <w:tcW w:w="4297" w:type="dxa"/>
            <w:shd w:val="clear" w:color="auto" w:fill="auto"/>
            <w:vAlign w:val="center"/>
          </w:tcPr>
          <w:p w14:paraId="7DF79576"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投标人提供自2022年1月1日以来的本产品系统项目案例的（以合同签订时间为准），每提供一个得2分，最多得8分。</w:t>
            </w:r>
          </w:p>
          <w:p w14:paraId="4E30EFB0" w14:textId="77777777" w:rsidR="00236E4F" w:rsidRDefault="00236E4F">
            <w:pPr>
              <w:spacing w:line="300" w:lineRule="exact"/>
              <w:rPr>
                <w:rFonts w:ascii="仿宋_GB2312" w:eastAsia="仿宋_GB2312" w:hAnsi="仿宋_GB2312" w:cs="仿宋_GB2312" w:hint="eastAsia"/>
                <w:sz w:val="24"/>
              </w:rPr>
            </w:pPr>
          </w:p>
          <w:p w14:paraId="1E2DDAB6" w14:textId="77777777" w:rsidR="00236E4F" w:rsidRDefault="00000000">
            <w:pPr>
              <w:spacing w:line="300" w:lineRule="exact"/>
              <w:rPr>
                <w:rFonts w:ascii="仿宋_GB2312" w:eastAsia="仿宋_GB2312" w:hAnsi="仿宋_GB2312" w:cs="仿宋_GB2312" w:hint="eastAsia"/>
                <w:sz w:val="24"/>
              </w:rPr>
            </w:pPr>
            <w:r>
              <w:rPr>
                <w:rFonts w:ascii="仿宋_GB2312" w:eastAsia="仿宋_GB2312" w:hAnsi="仿宋_GB2312" w:cs="仿宋_GB2312" w:hint="eastAsia"/>
                <w:sz w:val="24"/>
              </w:rPr>
              <w:t>注：提供合同复印件并加盖鲜章。</w:t>
            </w:r>
          </w:p>
        </w:tc>
        <w:tc>
          <w:tcPr>
            <w:tcW w:w="0" w:type="auto"/>
            <w:shd w:val="clear" w:color="auto" w:fill="auto"/>
            <w:vAlign w:val="center"/>
          </w:tcPr>
          <w:p w14:paraId="602C41EB" w14:textId="77777777" w:rsidR="00236E4F" w:rsidRDefault="00236E4F">
            <w:pPr>
              <w:wordWrap w:val="0"/>
              <w:overflowPunct w:val="0"/>
              <w:topLinePunct/>
              <w:spacing w:line="440" w:lineRule="exact"/>
              <w:jc w:val="center"/>
              <w:textAlignment w:val="center"/>
              <w:rPr>
                <w:rFonts w:ascii="仿宋" w:eastAsia="仿宋" w:hAnsi="仿宋" w:cs="仿宋" w:hint="eastAsia"/>
                <w:b/>
                <w:bCs/>
                <w:sz w:val="24"/>
              </w:rPr>
            </w:pPr>
          </w:p>
        </w:tc>
      </w:tr>
    </w:tbl>
    <w:p w14:paraId="24B5EC51" w14:textId="77777777" w:rsidR="00236E4F" w:rsidRDefault="00236E4F">
      <w:pPr>
        <w:pStyle w:val="a4"/>
        <w:jc w:val="center"/>
      </w:pPr>
    </w:p>
    <w:sectPr w:rsidR="00236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EBF49" w14:textId="77777777" w:rsidR="00085CD8" w:rsidRDefault="00085CD8" w:rsidP="00DB5E92">
      <w:r>
        <w:separator/>
      </w:r>
    </w:p>
  </w:endnote>
  <w:endnote w:type="continuationSeparator" w:id="0">
    <w:p w14:paraId="092D4E39" w14:textId="77777777" w:rsidR="00085CD8" w:rsidRDefault="00085CD8" w:rsidP="00DB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4B98" w14:textId="77777777" w:rsidR="00085CD8" w:rsidRDefault="00085CD8" w:rsidP="00DB5E92">
      <w:r>
        <w:separator/>
      </w:r>
    </w:p>
  </w:footnote>
  <w:footnote w:type="continuationSeparator" w:id="0">
    <w:p w14:paraId="567DA6EB" w14:textId="77777777" w:rsidR="00085CD8" w:rsidRDefault="00085CD8" w:rsidP="00DB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3FFE01"/>
    <w:multiLevelType w:val="multilevel"/>
    <w:tmpl w:val="D73FFE01"/>
    <w:lvl w:ilvl="0">
      <w:start w:val="1"/>
      <w:numFmt w:val="chineseCounting"/>
      <w:pStyle w:val="1"/>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1" w15:restartNumberingAfterBreak="0">
    <w:nsid w:val="EE04FF49"/>
    <w:multiLevelType w:val="singleLevel"/>
    <w:tmpl w:val="EE04FF49"/>
    <w:lvl w:ilvl="0">
      <w:start w:val="1"/>
      <w:numFmt w:val="decimal"/>
      <w:suff w:val="space"/>
      <w:lvlText w:val="%1."/>
      <w:lvlJc w:val="left"/>
    </w:lvl>
  </w:abstractNum>
  <w:abstractNum w:abstractNumId="2" w15:restartNumberingAfterBreak="0">
    <w:nsid w:val="7E096F22"/>
    <w:multiLevelType w:val="multilevel"/>
    <w:tmpl w:val="7E096F22"/>
    <w:lvl w:ilvl="0">
      <w:start w:val="1"/>
      <w:numFmt w:val="decimal"/>
      <w:lvlText w:val="%1."/>
      <w:lvlJc w:val="left"/>
      <w:pPr>
        <w:ind w:left="420" w:hanging="420"/>
      </w:pPr>
    </w:lvl>
    <w:lvl w:ilvl="1">
      <w:start w:val="1"/>
      <w:numFmt w:val="lowerLetter"/>
      <w:lvlText w:val="%2)"/>
      <w:lvlJc w:val="left"/>
      <w:pPr>
        <w:ind w:left="840" w:hanging="420"/>
      </w:pPr>
      <w:rPr>
        <w:rFonts w:hint="default"/>
        <w:color w:val="0000FF"/>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1320067">
    <w:abstractNumId w:val="0"/>
  </w:num>
  <w:num w:numId="2" w16cid:durableId="399792610">
    <w:abstractNumId w:val="1"/>
  </w:num>
  <w:num w:numId="3" w16cid:durableId="2044015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RhZGE2ZGFjYjljMGNlZmUzZWU0YWQ2YzMzZDcwYWYifQ=="/>
  </w:docVars>
  <w:rsids>
    <w:rsidRoot w:val="043833B7"/>
    <w:rsid w:val="00044512"/>
    <w:rsid w:val="00085CD8"/>
    <w:rsid w:val="00090BFC"/>
    <w:rsid w:val="001B761E"/>
    <w:rsid w:val="00227247"/>
    <w:rsid w:val="00236E4F"/>
    <w:rsid w:val="002A7E86"/>
    <w:rsid w:val="00370B71"/>
    <w:rsid w:val="00463CE8"/>
    <w:rsid w:val="004A4D6D"/>
    <w:rsid w:val="006E7C6C"/>
    <w:rsid w:val="00AD41C5"/>
    <w:rsid w:val="00AE300B"/>
    <w:rsid w:val="00CC30CE"/>
    <w:rsid w:val="00CE372D"/>
    <w:rsid w:val="00D057DA"/>
    <w:rsid w:val="00DB5E92"/>
    <w:rsid w:val="00EF4542"/>
    <w:rsid w:val="00F13338"/>
    <w:rsid w:val="00F8025B"/>
    <w:rsid w:val="016E2F6B"/>
    <w:rsid w:val="03D64DF8"/>
    <w:rsid w:val="043833B7"/>
    <w:rsid w:val="04D1736D"/>
    <w:rsid w:val="05243941"/>
    <w:rsid w:val="05545FD4"/>
    <w:rsid w:val="05C23886"/>
    <w:rsid w:val="07C17B6D"/>
    <w:rsid w:val="08D00067"/>
    <w:rsid w:val="09622C8A"/>
    <w:rsid w:val="09E65669"/>
    <w:rsid w:val="0AEA2F37"/>
    <w:rsid w:val="0B903ADE"/>
    <w:rsid w:val="0EFA4090"/>
    <w:rsid w:val="105C48D7"/>
    <w:rsid w:val="10ED552F"/>
    <w:rsid w:val="110C1E59"/>
    <w:rsid w:val="13FF7A53"/>
    <w:rsid w:val="14162FE4"/>
    <w:rsid w:val="15205339"/>
    <w:rsid w:val="15793835"/>
    <w:rsid w:val="161F262E"/>
    <w:rsid w:val="164847F3"/>
    <w:rsid w:val="18910E95"/>
    <w:rsid w:val="193C5EEC"/>
    <w:rsid w:val="19B03EAA"/>
    <w:rsid w:val="1B754A9E"/>
    <w:rsid w:val="1F00466F"/>
    <w:rsid w:val="20831A0C"/>
    <w:rsid w:val="20C92CE4"/>
    <w:rsid w:val="22140B6D"/>
    <w:rsid w:val="22317971"/>
    <w:rsid w:val="24264B88"/>
    <w:rsid w:val="251B0465"/>
    <w:rsid w:val="25B30F15"/>
    <w:rsid w:val="25D7082F"/>
    <w:rsid w:val="25D725DE"/>
    <w:rsid w:val="266C4CE1"/>
    <w:rsid w:val="29373393"/>
    <w:rsid w:val="2B5841C1"/>
    <w:rsid w:val="2D32383D"/>
    <w:rsid w:val="2DC773DC"/>
    <w:rsid w:val="2E440A2C"/>
    <w:rsid w:val="2F177EEF"/>
    <w:rsid w:val="31F14A27"/>
    <w:rsid w:val="32E225C2"/>
    <w:rsid w:val="32F81DE5"/>
    <w:rsid w:val="33D4015C"/>
    <w:rsid w:val="34984D9D"/>
    <w:rsid w:val="35B2271F"/>
    <w:rsid w:val="376143FD"/>
    <w:rsid w:val="37712166"/>
    <w:rsid w:val="38726196"/>
    <w:rsid w:val="38975BFC"/>
    <w:rsid w:val="39893797"/>
    <w:rsid w:val="3A9929C9"/>
    <w:rsid w:val="3B5C013F"/>
    <w:rsid w:val="3B867253"/>
    <w:rsid w:val="3BB54D17"/>
    <w:rsid w:val="3BE13D5E"/>
    <w:rsid w:val="3C4936B2"/>
    <w:rsid w:val="3C990195"/>
    <w:rsid w:val="3D446D65"/>
    <w:rsid w:val="3D791D75"/>
    <w:rsid w:val="3EA45185"/>
    <w:rsid w:val="3EC84D62"/>
    <w:rsid w:val="428B67D2"/>
    <w:rsid w:val="432D1637"/>
    <w:rsid w:val="441A7E0D"/>
    <w:rsid w:val="44450C02"/>
    <w:rsid w:val="45660E30"/>
    <w:rsid w:val="45D17124"/>
    <w:rsid w:val="46A936CA"/>
    <w:rsid w:val="48E1714C"/>
    <w:rsid w:val="490E0A5B"/>
    <w:rsid w:val="4A965D14"/>
    <w:rsid w:val="4BBE3774"/>
    <w:rsid w:val="4C6A38FC"/>
    <w:rsid w:val="4D225F85"/>
    <w:rsid w:val="4DBA440F"/>
    <w:rsid w:val="4E2E2B54"/>
    <w:rsid w:val="4E5E4D9B"/>
    <w:rsid w:val="4E683E6B"/>
    <w:rsid w:val="50726F55"/>
    <w:rsid w:val="52FF75E9"/>
    <w:rsid w:val="53471F6C"/>
    <w:rsid w:val="53A707D1"/>
    <w:rsid w:val="541303D5"/>
    <w:rsid w:val="559E6B93"/>
    <w:rsid w:val="55BD4A9D"/>
    <w:rsid w:val="5B995664"/>
    <w:rsid w:val="5BD7618C"/>
    <w:rsid w:val="5C95407D"/>
    <w:rsid w:val="5D0B433F"/>
    <w:rsid w:val="5E3F5A4B"/>
    <w:rsid w:val="5FF27A39"/>
    <w:rsid w:val="603718EF"/>
    <w:rsid w:val="60EC4488"/>
    <w:rsid w:val="61CB22EF"/>
    <w:rsid w:val="639114B0"/>
    <w:rsid w:val="6470717E"/>
    <w:rsid w:val="647E189B"/>
    <w:rsid w:val="64DD4813"/>
    <w:rsid w:val="6760797E"/>
    <w:rsid w:val="6A7A2B04"/>
    <w:rsid w:val="6C517895"/>
    <w:rsid w:val="6C661592"/>
    <w:rsid w:val="6CB57E24"/>
    <w:rsid w:val="6CF941B4"/>
    <w:rsid w:val="6D45564C"/>
    <w:rsid w:val="6DFE57FA"/>
    <w:rsid w:val="6E4C47B8"/>
    <w:rsid w:val="6E8201DA"/>
    <w:rsid w:val="708C533F"/>
    <w:rsid w:val="727E6F0A"/>
    <w:rsid w:val="741B0EB4"/>
    <w:rsid w:val="744C5512"/>
    <w:rsid w:val="77530522"/>
    <w:rsid w:val="775F555C"/>
    <w:rsid w:val="78D83818"/>
    <w:rsid w:val="7973709D"/>
    <w:rsid w:val="79F0778D"/>
    <w:rsid w:val="7A2F6BD7"/>
    <w:rsid w:val="7AE33563"/>
    <w:rsid w:val="7BA75723"/>
    <w:rsid w:val="7BB045D8"/>
    <w:rsid w:val="7D407BDD"/>
    <w:rsid w:val="7D9030A3"/>
    <w:rsid w:val="7DE467BB"/>
    <w:rsid w:val="7E8D672A"/>
    <w:rsid w:val="7E9A50CB"/>
    <w:rsid w:val="7F761695"/>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D0C51"/>
  <w15:docId w15:val="{47CD695D-8022-4C29-8E58-7E99210C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numPr>
        <w:numId w:val="1"/>
      </w:numPr>
      <w:spacing w:before="340" w:after="330" w:line="576" w:lineRule="auto"/>
      <w:outlineLvl w:val="0"/>
    </w:pPr>
    <w:rPr>
      <w:b/>
      <w:kern w:val="44"/>
      <w:sz w:val="44"/>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semiHidden/>
    <w:unhideWhenUsed/>
    <w:qFormat/>
    <w:pPr>
      <w:keepNext/>
      <w:keepLines/>
      <w:numPr>
        <w:ilvl w:val="2"/>
        <w:numId w:val="1"/>
      </w:numPr>
      <w:spacing w:before="260" w:after="260" w:line="413" w:lineRule="auto"/>
      <w:outlineLvl w:val="2"/>
    </w:pPr>
    <w:rPr>
      <w:b/>
      <w:sz w:val="32"/>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next w:val="a"/>
    <w:qFormat/>
    <w:pPr>
      <w:spacing w:after="120"/>
    </w:pPr>
  </w:style>
  <w:style w:type="paragraph" w:styleId="a5">
    <w:name w:val="footer"/>
    <w:basedOn w:val="a"/>
    <w:uiPriority w:val="99"/>
    <w:unhideWhenUsed/>
    <w:qFormat/>
    <w:pPr>
      <w:tabs>
        <w:tab w:val="center" w:pos="4153"/>
        <w:tab w:val="right" w:pos="8306"/>
      </w:tabs>
      <w:snapToGrid w:val="0"/>
      <w:jc w:val="left"/>
    </w:pPr>
    <w:rPr>
      <w:rFonts w:eastAsia="仿宋_GB2312" w:cstheme="minorBidi"/>
      <w:sz w:val="18"/>
      <w:szCs w:val="18"/>
      <w14:ligatures w14:val="standardContextual"/>
    </w:rPr>
  </w:style>
  <w:style w:type="paragraph" w:styleId="a6">
    <w:name w:val="Body Text First Indent"/>
    <w:basedOn w:val="a4"/>
    <w:uiPriority w:val="99"/>
    <w:semiHidden/>
    <w:unhideWhenUsed/>
    <w:qFormat/>
    <w:pPr>
      <w:ind w:firstLineChars="100" w:firstLine="420"/>
    </w:pPr>
  </w:style>
  <w:style w:type="character" w:customStyle="1" w:styleId="10">
    <w:name w:val="标题 1 字符"/>
    <w:link w:val="1"/>
    <w:qFormat/>
    <w:rPr>
      <w:b/>
      <w:kern w:val="44"/>
      <w:sz w:val="44"/>
    </w:rPr>
  </w:style>
  <w:style w:type="paragraph" w:customStyle="1" w:styleId="TableText">
    <w:name w:val="Table Text"/>
    <w:basedOn w:val="a"/>
    <w:semiHidden/>
    <w:qFormat/>
    <w:rPr>
      <w:rFonts w:ascii="宋体" w:hAnsi="宋体" w:cs="宋体"/>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styleId="a7">
    <w:name w:val="header"/>
    <w:basedOn w:val="a"/>
    <w:link w:val="a8"/>
    <w:rsid w:val="00DB5E92"/>
    <w:pPr>
      <w:tabs>
        <w:tab w:val="center" w:pos="4153"/>
        <w:tab w:val="right" w:pos="8306"/>
      </w:tabs>
      <w:snapToGrid w:val="0"/>
      <w:jc w:val="center"/>
    </w:pPr>
    <w:rPr>
      <w:sz w:val="18"/>
      <w:szCs w:val="18"/>
    </w:rPr>
  </w:style>
  <w:style w:type="character" w:customStyle="1" w:styleId="a8">
    <w:name w:val="页眉 字符"/>
    <w:basedOn w:val="a0"/>
    <w:link w:val="a7"/>
    <w:rsid w:val="00DB5E92"/>
    <w:rPr>
      <w:rFonts w:ascii="Times New Roman" w:eastAsia="宋体" w:hAnsi="Times New Roman" w:cs="Times New Roman"/>
      <w:kern w:val="2"/>
      <w:sz w:val="18"/>
      <w:szCs w:val="18"/>
    </w:rPr>
  </w:style>
  <w:style w:type="table" w:styleId="a9">
    <w:name w:val="Table Grid"/>
    <w:basedOn w:val="a1"/>
    <w:uiPriority w:val="39"/>
    <w:qFormat/>
    <w:rsid w:val="00DB5E92"/>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34"/>
    <w:qFormat/>
    <w:rsid w:val="00DB5E92"/>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88F7-49AD-4961-B5FF-0A8474B2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WPS_1559622293</dc:creator>
  <cp:lastModifiedBy>子 欢</cp:lastModifiedBy>
  <cp:revision>10</cp:revision>
  <dcterms:created xsi:type="dcterms:W3CDTF">2025-07-23T07:05:00Z</dcterms:created>
  <dcterms:modified xsi:type="dcterms:W3CDTF">2025-07-31T03:47:00Z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E6B685596E60405AA8BE68D22E803B67_11</vt:lpwstr>
  </property>
  <property fmtid="{D5CDD505-2E9C-101B-9397-08002B2CF9AE}" pid="4" name="KSOTemplateDocerSaveRecord">
    <vt:lpwstr>eyJoZGlkIjoiZTk5ZjU0NDVkMjY2MTNmYmE5N2VjNGIyZGE4NjIyZGEiLCJ1c2VySWQiOiI1NzExNjE5ODAifQ==</vt:lpwstr>
  </property>
</Properties>
</file>