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82AD7">
      <w:pPr>
        <w:ind w:firstLine="560" w:firstLineChars="200"/>
        <w:rPr>
          <w:rFonts w:ascii="仿宋" w:hAnsi="仿宋" w:eastAsia="仿宋"/>
          <w:sz w:val="28"/>
          <w:szCs w:val="28"/>
        </w:rPr>
      </w:pPr>
      <w:bookmarkStart w:id="0" w:name="_GoBack"/>
      <w:bookmarkEnd w:id="0"/>
    </w:p>
    <w:p w14:paraId="49DEAE6C">
      <w:pPr>
        <w:outlineLvl w:val="0"/>
        <w:rPr>
          <w:rFonts w:hint="eastAsia" w:ascii="仿宋" w:hAnsi="仿宋" w:eastAsia="仿宋"/>
          <w:sz w:val="28"/>
          <w:szCs w:val="28"/>
          <w:lang w:eastAsia="zh-CN"/>
        </w:rPr>
      </w:pPr>
      <w:r>
        <w:rPr>
          <w:rFonts w:hint="eastAsia" w:ascii="仿宋" w:hAnsi="仿宋" w:eastAsia="仿宋"/>
          <w:sz w:val="28"/>
          <w:szCs w:val="28"/>
          <w:lang w:eastAsia="zh-CN"/>
        </w:rPr>
        <w:t>附件1：参选机构要求</w:t>
      </w:r>
    </w:p>
    <w:p w14:paraId="647CCCBE">
      <w:pPr>
        <w:outlineLvl w:val="0"/>
        <w:rPr>
          <w:rFonts w:hint="eastAsia" w:ascii="仿宋" w:hAnsi="仿宋" w:eastAsia="仿宋"/>
          <w:sz w:val="28"/>
          <w:szCs w:val="28"/>
          <w:lang w:eastAsia="zh-CN"/>
        </w:rPr>
      </w:pPr>
      <w:r>
        <w:rPr>
          <w:rFonts w:hint="eastAsia" w:ascii="仿宋" w:hAnsi="仿宋" w:eastAsia="仿宋"/>
          <w:sz w:val="28"/>
          <w:szCs w:val="28"/>
          <w:lang w:eastAsia="zh-CN"/>
        </w:rPr>
        <w:t>附件2：合作方案基本格式</w:t>
      </w:r>
    </w:p>
    <w:p w14:paraId="330916A5">
      <w:pPr>
        <w:outlineLvl w:val="0"/>
        <w:rPr>
          <w:rFonts w:hint="default" w:ascii="仿宋" w:hAnsi="仿宋" w:eastAsia="仿宋"/>
          <w:sz w:val="28"/>
          <w:szCs w:val="28"/>
          <w:lang w:val="en-US"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3：报价表</w:t>
      </w:r>
    </w:p>
    <w:p w14:paraId="537D969C">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4</w:t>
      </w:r>
      <w:r>
        <w:rPr>
          <w:rFonts w:hint="eastAsia" w:ascii="仿宋" w:hAnsi="仿宋" w:eastAsia="仿宋"/>
          <w:sz w:val="28"/>
          <w:szCs w:val="28"/>
          <w:lang w:eastAsia="zh-CN"/>
        </w:rPr>
        <w:t>: 参选方案文件书装订顺序</w:t>
      </w:r>
    </w:p>
    <w:p w14:paraId="121F51CB">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5</w:t>
      </w:r>
      <w:r>
        <w:rPr>
          <w:rFonts w:hint="eastAsia" w:ascii="仿宋" w:hAnsi="仿宋" w:eastAsia="仿宋"/>
          <w:sz w:val="28"/>
          <w:szCs w:val="28"/>
          <w:lang w:eastAsia="zh-CN"/>
        </w:rPr>
        <w:t>：偏离表</w:t>
      </w:r>
    </w:p>
    <w:p w14:paraId="14FA0604">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6</w:t>
      </w:r>
      <w:r>
        <w:rPr>
          <w:rFonts w:hint="eastAsia" w:ascii="仿宋" w:hAnsi="仿宋" w:eastAsia="仿宋"/>
          <w:sz w:val="28"/>
          <w:szCs w:val="28"/>
          <w:lang w:eastAsia="zh-CN"/>
        </w:rPr>
        <w:t>：法定代表人身份授权书</w:t>
      </w:r>
    </w:p>
    <w:p w14:paraId="3A7C7AE9">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7</w:t>
      </w:r>
      <w:r>
        <w:rPr>
          <w:rFonts w:hint="eastAsia" w:ascii="仿宋" w:hAnsi="仿宋" w:eastAsia="仿宋"/>
          <w:sz w:val="28"/>
          <w:szCs w:val="28"/>
          <w:lang w:eastAsia="zh-CN"/>
        </w:rPr>
        <w:t>：反商业贿赂承诺书</w:t>
      </w:r>
    </w:p>
    <w:p w14:paraId="67AB22F5">
      <w:pPr>
        <w:outlineLvl w:val="0"/>
        <w:rPr>
          <w:rFonts w:hint="default" w:ascii="仿宋" w:hAnsi="仿宋" w:eastAsia="仿宋"/>
          <w:sz w:val="28"/>
          <w:szCs w:val="28"/>
          <w:lang w:val="en-US"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8：参选机构遵守遴选纪律承诺书</w:t>
      </w:r>
    </w:p>
    <w:p w14:paraId="3EC619D1">
      <w:pPr>
        <w:outlineLvl w:val="0"/>
        <w:rPr>
          <w:rFonts w:hint="eastAsia" w:ascii="仿宋" w:hAnsi="仿宋" w:eastAsia="仿宋"/>
          <w:sz w:val="28"/>
          <w:szCs w:val="28"/>
          <w:lang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sz w:val="28"/>
          <w:szCs w:val="28"/>
          <w:lang w:eastAsia="zh-CN"/>
        </w:rPr>
        <w:t>附件</w:t>
      </w:r>
      <w:r>
        <w:rPr>
          <w:rFonts w:hint="eastAsia" w:ascii="仿宋" w:hAnsi="仿宋" w:eastAsia="仿宋"/>
          <w:sz w:val="28"/>
          <w:szCs w:val="28"/>
          <w:lang w:val="en-US" w:eastAsia="zh-CN"/>
        </w:rPr>
        <w:t>9</w:t>
      </w:r>
      <w:r>
        <w:rPr>
          <w:rFonts w:hint="eastAsia" w:ascii="仿宋" w:hAnsi="仿宋" w:eastAsia="仿宋"/>
          <w:sz w:val="28"/>
          <w:szCs w:val="28"/>
          <w:lang w:eastAsia="zh-CN"/>
        </w:rPr>
        <w:t>：评审办法（综合评分明细表）</w:t>
      </w:r>
    </w:p>
    <w:p w14:paraId="55CDBBC5">
      <w:pPr>
        <w:outlineLvl w:val="0"/>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p>
    <w:p w14:paraId="0C02826D">
      <w:pPr>
        <w:adjustRightInd w:val="0"/>
        <w:snapToGrid w:val="0"/>
        <w:spacing w:line="480" w:lineRule="auto"/>
        <w:ind w:firstLine="640"/>
        <w:jc w:val="center"/>
        <w:outlineLvl w:val="0"/>
        <w:rPr>
          <w:rFonts w:hint="eastAsia" w:ascii="仿宋" w:hAnsi="仿宋" w:eastAsia="仿宋"/>
          <w:b/>
          <w:sz w:val="32"/>
          <w:szCs w:val="32"/>
        </w:rPr>
      </w:pPr>
      <w:r>
        <w:rPr>
          <w:rFonts w:hint="eastAsia" w:ascii="仿宋" w:hAnsi="仿宋" w:eastAsia="仿宋"/>
          <w:b/>
          <w:sz w:val="32"/>
          <w:szCs w:val="32"/>
        </w:rPr>
        <w:t>参选机构要求</w:t>
      </w:r>
    </w:p>
    <w:p w14:paraId="44515B36">
      <w:p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一、总体要求</w:t>
      </w:r>
    </w:p>
    <w:p w14:paraId="00C4400E">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为提升规培学生生活便利性，拟引入第三方合作机构，在四川省妇幼保健院抚琴院区（成都市金牛区抚琴西路338号）开展共享洗衣机项目。第三方合作机构负责洗衣机的采购、安装、日常维护及运营管理，设备需符合国家电器安全标准，支持扫码支付等智能操作功能。我院提供场地、水电等基础设施。首批试点投放4台洗衣机、2台烘干机，后期根据实际使用需求动态调整设备数量。</w:t>
      </w:r>
    </w:p>
    <w:p w14:paraId="31ABC14C">
      <w:p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二、资质要求</w:t>
      </w:r>
    </w:p>
    <w:p w14:paraId="2E3E6D95">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1.提供三证合一的营业执照（经有效年检，副本复印件）；</w:t>
      </w:r>
    </w:p>
    <w:p w14:paraId="2F28F5FA">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2.法定代表人身份授权书（原件，格式见附件6）,法定代表人和授权代表有效的身份证复印件；</w:t>
      </w:r>
    </w:p>
    <w:p w14:paraId="3B0E6D16">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3.具有良好的商业信誉和健全的财务会计制度（提供承诺函）；</w:t>
      </w:r>
    </w:p>
    <w:p w14:paraId="09F6FC1B">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4.具有履行合同所必需的设备和专业技术能力（提供承诺函）；</w:t>
      </w:r>
    </w:p>
    <w:p w14:paraId="5539F095">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5.近三年内，参选机构无重大行贿犯罪记录，无重大负面新闻（提供承诺函原件）；</w:t>
      </w:r>
    </w:p>
    <w:p w14:paraId="1841BA22">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6.近三年内，参选机构未在经营活动中因违法行为（包括消防安全等问题）受到刑事处罚、处以罚款或者没收财产5万元以上、责令停产停业、吊销许可证或者执照等行政处罚（提供承诺函原件）；</w:t>
      </w:r>
    </w:p>
    <w:p w14:paraId="652C2B3C">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7.反商业贿赂承诺书（附件7）；</w:t>
      </w:r>
    </w:p>
    <w:p w14:paraId="26812ABB">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8.参选机构遵守遴选纪律承诺书（提供承诺函原件，附件8）；</w:t>
      </w:r>
    </w:p>
    <w:p w14:paraId="3693203D">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注：①3—8均提供承诺函原件并加盖鲜章；②参选机构应按遴选公告的规定和要求附上所有的资格证明文件，要求提供复印件的必须加盖单位印章，并在必要时提供原件备查。若提供的资格证明文件不全或不实，将导致其合作资格被取消。③本次遴选活动不接受联合体投标，且不允许分包或转包。</w:t>
      </w:r>
    </w:p>
    <w:p w14:paraId="076943DF">
      <w:pPr>
        <w:numPr>
          <w:ilvl w:val="0"/>
          <w:numId w:val="1"/>
        </w:num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技术服务要求</w:t>
      </w:r>
    </w:p>
    <w:p w14:paraId="05D560E9">
      <w:p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（一）设备技术参数​</w:t>
      </w:r>
    </w:p>
    <w:p w14:paraId="5A41463A">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1.洗衣机：所提供设备需为市场知名品牌，具备杀菌除螨功能，除菌率≥99.99%；采用一级能效标准，洗净比高，搭载变频电机；具备防漏电、防溢水、断电记忆功能。</w:t>
      </w:r>
    </w:p>
    <w:p w14:paraId="690F80E8">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2.烘干机：所提供设备需为市场知名品牌，具备杀菌除螨功能、支持开门即时停机安全保护机制、内置4G通讯控制模块；设备采用直排式干衣技术，干衣温度须具备多档位可调功能；整机防水等级须达到IPX4标准。</w:t>
      </w:r>
    </w:p>
    <w:p w14:paraId="6F7FDEB3">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3.支付方式：设备支持微信、支付宝、银联等主流移动支付，兼容在线退款。</w:t>
      </w:r>
    </w:p>
    <w:p w14:paraId="40514CB8">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4.远程监控：实时查看设备状态、故障报警、远程重启及程序更新。</w:t>
      </w:r>
    </w:p>
    <w:p w14:paraId="5E12474D">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5.用户功能：预约洗衣、进度查询、线上报修。</w:t>
      </w:r>
    </w:p>
    <w:p w14:paraId="10B582DE">
      <w:pPr>
        <w:spacing w:line="360" w:lineRule="auto"/>
        <w:ind w:firstLine="562" w:firstLineChars="200"/>
        <w:jc w:val="both"/>
        <w:rPr>
          <w:rFonts w:hint="eastAsia" w:ascii="仿宋" w:hAnsi="仿宋" w:eastAsia="仿宋"/>
          <w:sz w:val="28"/>
          <w:szCs w:val="28"/>
          <w:highlight w:val="none"/>
          <w:lang w:val="en-US" w:eastAsia="zh-CN"/>
        </w:rPr>
      </w:pPr>
      <w:r>
        <w:rPr>
          <w:rFonts w:hint="eastAsia" w:ascii="仿宋" w:hAnsi="仿宋" w:eastAsia="仿宋"/>
          <w:b/>
          <w:bCs/>
          <w:sz w:val="28"/>
          <w:szCs w:val="28"/>
          <w:highlight w:val="none"/>
          <w:lang w:val="en-US" w:eastAsia="zh-CN"/>
        </w:rPr>
        <w:t>（二）运营服务要求​</w:t>
      </w:r>
      <w:r>
        <w:rPr>
          <w:rFonts w:hint="eastAsia" w:ascii="仿宋" w:hAnsi="仿宋" w:eastAsia="仿宋"/>
          <w:sz w:val="28"/>
          <w:szCs w:val="28"/>
          <w:highlight w:val="none"/>
          <w:lang w:val="en-US" w:eastAsia="zh-CN"/>
        </w:rPr>
        <w:t>​</w:t>
      </w:r>
    </w:p>
    <w:p w14:paraId="700A84D9">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1.故障处理：30分钟响应，1小时到场，12小时内解决故障。</w:t>
      </w:r>
    </w:p>
    <w:p w14:paraId="3734749F">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2.巡检消毒：定期进行人工消毒除菌，消毒记录存档。</w:t>
      </w:r>
    </w:p>
    <w:p w14:paraId="7BB7BC0A">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3.人员配置：专职运维团队驻场（含维修、保洁、客服），24小时服务热线。</w:t>
      </w:r>
    </w:p>
    <w:p w14:paraId="565FC698">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★4.参选机构在本项目服务过程中，因设备质量、收费价格、安全等问题引发的纠纷、投诉及不良事件，均由参选机构全权负责处理并承担全部责任。</w:t>
      </w:r>
    </w:p>
    <w:p w14:paraId="204777D9">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★5.参选机构应向医院缴纳履约保障金1万元，此费用在合同生效后7日内一次性缴纳，在整个合同有效期内，未发生任何导致履约保证金被扣除的违约情形，经医院确认后将履约保证金无息全额退还。</w:t>
      </w:r>
    </w:p>
    <w:p w14:paraId="53233649">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6.参选机构向医院缴纳综合管理费用，此费用应在协议签订后30日内一次性缴纳。</w:t>
      </w:r>
    </w:p>
    <w:p w14:paraId="20444B1A">
      <w:p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注：以上11项均提供承诺函原件或证明材料复印件并加盖公章（格式由参选方自拟）。</w:t>
      </w:r>
    </w:p>
    <w:p w14:paraId="41353BF7">
      <w:pPr>
        <w:spacing w:line="360" w:lineRule="auto"/>
        <w:ind w:firstLine="562" w:firstLineChars="200"/>
        <w:jc w:val="both"/>
        <w:rPr>
          <w:rFonts w:hint="default"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四、合作期限</w:t>
      </w:r>
    </w:p>
    <w:p w14:paraId="16CEAEAE">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项目服务期限：1年。</w:t>
      </w:r>
    </w:p>
    <w:p w14:paraId="287FB2B2">
      <w:p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五、服务地点</w:t>
      </w:r>
    </w:p>
    <w:p w14:paraId="387E22DC">
      <w:pPr>
        <w:spacing w:line="360" w:lineRule="auto"/>
        <w:ind w:firstLine="560" w:firstLineChars="200"/>
        <w:jc w:val="both"/>
        <w:rPr>
          <w:rFonts w:hint="eastAsia" w:ascii="仿宋" w:hAnsi="仿宋" w:eastAsia="仿宋"/>
          <w:sz w:val="28"/>
          <w:szCs w:val="28"/>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sz w:val="28"/>
          <w:szCs w:val="28"/>
          <w:highlight w:val="none"/>
          <w:lang w:val="en-US" w:eastAsia="zh-CN"/>
        </w:rPr>
        <w:t>当前主服务地点为抚琴院区（地址：成都市金牛区抚琴西路338号），后期或按医院规划调整至天府院区（地址：成都市双流区岐黄二路1515号）。</w:t>
      </w:r>
    </w:p>
    <w:p w14:paraId="447D3BF9">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rPr>
        <w:t>2</w:t>
      </w:r>
      <w:r>
        <w:rPr>
          <w:rFonts w:ascii="仿宋" w:hAnsi="仿宋" w:eastAsia="仿宋"/>
          <w:sz w:val="28"/>
          <w:szCs w:val="28"/>
        </w:rPr>
        <w:t>：</w:t>
      </w:r>
    </w:p>
    <w:p w14:paraId="54DFB438">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合作方案基本格式</w:t>
      </w:r>
    </w:p>
    <w:p w14:paraId="28A9BFE4">
      <w:pPr>
        <w:ind w:firstLine="560" w:firstLineChars="200"/>
        <w:rPr>
          <w:rFonts w:ascii="仿宋" w:hAnsi="仿宋" w:eastAsia="仿宋" w:cs="仿宋"/>
          <w:color w:val="000000"/>
          <w:sz w:val="28"/>
        </w:rPr>
      </w:pPr>
      <w:r>
        <w:rPr>
          <w:rFonts w:hint="eastAsia" w:ascii="仿宋" w:hAnsi="仿宋" w:eastAsia="仿宋" w:cs="仿宋"/>
          <w:color w:val="000000"/>
          <w:sz w:val="28"/>
        </w:rPr>
        <w:t>至少需包括(不限于)以下内容</w:t>
      </w:r>
    </w:p>
    <w:p w14:paraId="68D2BFAB">
      <w:pPr>
        <w:ind w:firstLine="560" w:firstLineChars="200"/>
        <w:rPr>
          <w:rFonts w:hint="eastAsia" w:ascii="仿宋" w:hAnsi="仿宋" w:eastAsia="仿宋" w:cs="仿宋"/>
          <w:color w:val="000000"/>
          <w:sz w:val="28"/>
          <w:lang w:eastAsia="zh-CN"/>
        </w:rPr>
      </w:pPr>
      <w:r>
        <w:rPr>
          <w:rFonts w:hint="eastAsia" w:ascii="仿宋" w:hAnsi="仿宋" w:eastAsia="仿宋" w:cs="仿宋"/>
          <w:color w:val="000000"/>
          <w:sz w:val="28"/>
          <w:lang w:val="en-US" w:eastAsia="zh-CN"/>
        </w:rPr>
        <w:t>1.</w:t>
      </w:r>
      <w:r>
        <w:rPr>
          <w:rFonts w:hint="eastAsia" w:ascii="仿宋" w:hAnsi="仿宋" w:eastAsia="仿宋" w:cs="仿宋"/>
          <w:color w:val="000000"/>
          <w:sz w:val="28"/>
        </w:rPr>
        <w:t>满足医院合作模式,提供完整运行流程及质量控制流程</w:t>
      </w:r>
      <w:r>
        <w:rPr>
          <w:rFonts w:hint="eastAsia" w:ascii="仿宋" w:hAnsi="仿宋" w:eastAsia="仿宋" w:cs="仿宋"/>
          <w:color w:val="000000"/>
          <w:sz w:val="28"/>
          <w:lang w:eastAsia="zh-CN"/>
        </w:rPr>
        <w:t>。</w:t>
      </w:r>
    </w:p>
    <w:p w14:paraId="1733C4AE">
      <w:pPr>
        <w:ind w:firstLine="560" w:firstLineChars="200"/>
        <w:rPr>
          <w:rFonts w:ascii="仿宋" w:hAnsi="仿宋" w:eastAsia="仿宋" w:cs="仿宋"/>
          <w:color w:val="000000"/>
          <w:sz w:val="28"/>
        </w:rPr>
      </w:pPr>
      <w:r>
        <w:rPr>
          <w:rFonts w:hint="eastAsia" w:ascii="仿宋" w:hAnsi="仿宋" w:eastAsia="仿宋" w:cs="仿宋"/>
          <w:color w:val="000000"/>
          <w:sz w:val="28"/>
          <w:lang w:val="en-US" w:eastAsia="zh-CN"/>
        </w:rPr>
        <w:t>2</w:t>
      </w:r>
      <w:r>
        <w:rPr>
          <w:rFonts w:hint="eastAsia" w:ascii="仿宋" w:hAnsi="仿宋" w:eastAsia="仿宋" w:cs="仿宋"/>
          <w:color w:val="000000"/>
          <w:sz w:val="28"/>
        </w:rPr>
        <w:t>.</w:t>
      </w:r>
      <w:r>
        <w:rPr>
          <w:rFonts w:ascii="仿宋" w:hAnsi="仿宋" w:eastAsia="仿宋" w:cs="仿宋"/>
          <w:color w:val="000000"/>
          <w:sz w:val="28"/>
        </w:rPr>
        <w:t>业绩展示。</w:t>
      </w:r>
    </w:p>
    <w:p w14:paraId="7F6D7E7D">
      <w:pPr>
        <w:ind w:firstLine="560" w:firstLineChars="200"/>
        <w:rPr>
          <w:rFonts w:hint="eastAsia" w:ascii="仿宋" w:hAnsi="仿宋" w:eastAsia="仿宋" w:cs="仿宋"/>
          <w:color w:val="000000"/>
          <w:sz w:val="28"/>
        </w:rPr>
      </w:pPr>
      <w:r>
        <w:rPr>
          <w:rFonts w:hint="eastAsia" w:ascii="仿宋" w:hAnsi="仿宋" w:eastAsia="仿宋" w:cs="仿宋"/>
          <w:color w:val="000000"/>
          <w:sz w:val="28"/>
          <w:lang w:val="en-US" w:eastAsia="zh-CN"/>
        </w:rPr>
        <w:t>3.</w:t>
      </w:r>
      <w:r>
        <w:rPr>
          <w:rFonts w:ascii="仿宋" w:hAnsi="仿宋" w:eastAsia="仿宋" w:cs="仿宋"/>
          <w:color w:val="000000"/>
          <w:sz w:val="28"/>
        </w:rPr>
        <w:t>应急保障措施</w:t>
      </w:r>
      <w:r>
        <w:rPr>
          <w:rFonts w:hint="eastAsia" w:ascii="仿宋" w:hAnsi="仿宋" w:eastAsia="仿宋" w:cs="仿宋"/>
          <w:color w:val="000000"/>
          <w:sz w:val="28"/>
        </w:rPr>
        <w:t>。</w:t>
      </w:r>
    </w:p>
    <w:p w14:paraId="3DC3912B">
      <w:pPr>
        <w:ind w:firstLine="560" w:firstLineChars="200"/>
        <w:rPr>
          <w:rFonts w:hint="eastAsia" w:ascii="仿宋" w:hAnsi="仿宋" w:eastAsia="仿宋" w:cs="仿宋"/>
          <w:color w:val="000000"/>
          <w:sz w:val="28"/>
          <w:lang w:eastAsia="zh-CN"/>
        </w:rPr>
      </w:pPr>
      <w:r>
        <w:rPr>
          <w:rFonts w:hint="eastAsia" w:ascii="仿宋" w:hAnsi="仿宋" w:eastAsia="仿宋" w:cs="仿宋"/>
          <w:color w:val="000000"/>
          <w:sz w:val="28"/>
          <w:lang w:val="en-US" w:eastAsia="zh-CN"/>
        </w:rPr>
        <w:t>4.</w:t>
      </w:r>
      <w:r>
        <w:rPr>
          <w:rFonts w:hint="eastAsia" w:ascii="仿宋" w:hAnsi="仿宋" w:eastAsia="仿宋" w:cs="仿宋"/>
          <w:color w:val="000000"/>
          <w:sz w:val="28"/>
        </w:rPr>
        <w:t>售后服务方案</w:t>
      </w:r>
      <w:r>
        <w:rPr>
          <w:rFonts w:hint="eastAsia" w:ascii="仿宋" w:hAnsi="仿宋" w:eastAsia="仿宋" w:cs="仿宋"/>
          <w:color w:val="000000"/>
          <w:sz w:val="28"/>
          <w:lang w:eastAsia="zh-CN"/>
        </w:rPr>
        <w:t>，</w:t>
      </w:r>
      <w:r>
        <w:rPr>
          <w:rFonts w:hint="eastAsia" w:ascii="仿宋" w:hAnsi="仿宋" w:eastAsia="仿宋" w:cs="仿宋"/>
          <w:color w:val="000000"/>
          <w:sz w:val="28"/>
        </w:rPr>
        <w:t>包含售后服务承诺</w:t>
      </w:r>
      <w:r>
        <w:rPr>
          <w:rFonts w:hint="default" w:ascii="仿宋" w:hAnsi="仿宋" w:eastAsia="仿宋" w:cs="仿宋"/>
          <w:color w:val="000000"/>
          <w:sz w:val="28"/>
        </w:rPr>
        <w:t>、售后服务响应时间、投诉处理方案</w:t>
      </w:r>
      <w:r>
        <w:rPr>
          <w:rFonts w:hint="eastAsia" w:ascii="仿宋" w:hAnsi="仿宋" w:eastAsia="仿宋" w:cs="仿宋"/>
          <w:color w:val="000000"/>
          <w:sz w:val="28"/>
          <w:lang w:eastAsia="zh-CN"/>
        </w:rPr>
        <w:t>等。</w:t>
      </w:r>
    </w:p>
    <w:p w14:paraId="64AF417B">
      <w:pPr>
        <w:ind w:firstLine="560" w:firstLineChars="200"/>
        <w:rPr>
          <w:rFonts w:hint="eastAsia" w:ascii="仿宋" w:hAnsi="仿宋" w:eastAsia="仿宋" w:cs="仿宋"/>
          <w:color w:val="000000"/>
          <w:sz w:val="28"/>
        </w:rPr>
      </w:pPr>
      <w:r>
        <w:rPr>
          <w:rFonts w:hint="eastAsia" w:ascii="仿宋" w:hAnsi="仿宋" w:eastAsia="仿宋" w:cs="仿宋"/>
          <w:color w:val="000000"/>
          <w:sz w:val="28"/>
          <w:lang w:val="en-US" w:eastAsia="zh-CN"/>
        </w:rPr>
        <w:t>5.</w:t>
      </w:r>
      <w:r>
        <w:rPr>
          <w:rFonts w:hint="eastAsia" w:ascii="仿宋" w:hAnsi="仿宋" w:eastAsia="仿宋" w:cs="仿宋"/>
          <w:color w:val="000000"/>
          <w:sz w:val="28"/>
          <w:lang w:eastAsia="zh-CN"/>
        </w:rPr>
        <w:t>项目服务费收费方案（</w:t>
      </w:r>
      <w:r>
        <w:rPr>
          <w:rFonts w:hint="eastAsia" w:ascii="仿宋" w:hAnsi="仿宋" w:eastAsia="仿宋" w:cs="仿宋"/>
          <w:color w:val="000000"/>
          <w:sz w:val="28"/>
        </w:rPr>
        <w:t>项目服务费由参选机构向用户收取）</w:t>
      </w:r>
      <w:r>
        <w:rPr>
          <w:rFonts w:hint="eastAsia" w:ascii="仿宋" w:hAnsi="仿宋" w:eastAsia="仿宋" w:cs="仿宋"/>
          <w:color w:val="000000"/>
          <w:sz w:val="28"/>
          <w:lang w:eastAsia="zh-CN"/>
        </w:rPr>
        <w:t>。</w:t>
      </w:r>
    </w:p>
    <w:p w14:paraId="39EEF7E3">
      <w:pPr>
        <w:pStyle w:val="6"/>
        <w:rPr>
          <w:highlight w:val="yellow"/>
        </w:rPr>
      </w:pPr>
    </w:p>
    <w:p w14:paraId="33827AE8">
      <w:pPr>
        <w:pStyle w:val="6"/>
      </w:pPr>
    </w:p>
    <w:p w14:paraId="762554AD">
      <w:pPr>
        <w:pStyle w:val="6"/>
      </w:pPr>
    </w:p>
    <w:p w14:paraId="4FEC00B1">
      <w:pPr>
        <w:pStyle w:val="6"/>
      </w:pPr>
    </w:p>
    <w:p w14:paraId="08A9760D">
      <w:pPr>
        <w:pStyle w:val="6"/>
      </w:pPr>
    </w:p>
    <w:p w14:paraId="1145CBF7">
      <w:pPr>
        <w:pStyle w:val="6"/>
      </w:pPr>
    </w:p>
    <w:p w14:paraId="16116D0C">
      <w:pPr>
        <w:pStyle w:val="6"/>
      </w:pPr>
    </w:p>
    <w:p w14:paraId="113DB43D">
      <w:pPr>
        <w:pStyle w:val="6"/>
      </w:pPr>
    </w:p>
    <w:p w14:paraId="2CC70D8B">
      <w:pPr>
        <w:pStyle w:val="6"/>
      </w:pPr>
    </w:p>
    <w:p w14:paraId="4E312214">
      <w:pPr>
        <w:pStyle w:val="6"/>
      </w:pPr>
    </w:p>
    <w:p w14:paraId="3ECCFDF1">
      <w:pPr>
        <w:pStyle w:val="6"/>
      </w:pPr>
    </w:p>
    <w:p w14:paraId="333A0D08">
      <w:pPr>
        <w:pStyle w:val="6"/>
      </w:pPr>
    </w:p>
    <w:p w14:paraId="536AA8E6">
      <w:pPr>
        <w:pStyle w:val="6"/>
      </w:pPr>
    </w:p>
    <w:p w14:paraId="01E6FF9C">
      <w:pPr>
        <w:pStyle w:val="6"/>
      </w:pPr>
    </w:p>
    <w:p w14:paraId="26421CC3">
      <w:pPr>
        <w:pStyle w:val="6"/>
      </w:pPr>
    </w:p>
    <w:p w14:paraId="00BFF359">
      <w:pPr>
        <w:pStyle w:val="6"/>
      </w:pPr>
    </w:p>
    <w:p w14:paraId="0E400643">
      <w:pPr>
        <w:pStyle w:val="6"/>
      </w:pPr>
    </w:p>
    <w:p w14:paraId="49343341">
      <w:pPr>
        <w:pStyle w:val="6"/>
      </w:pPr>
    </w:p>
    <w:p w14:paraId="27225CD0">
      <w:pPr>
        <w:pStyle w:val="6"/>
      </w:pPr>
    </w:p>
    <w:p w14:paraId="695787AD">
      <w:pPr>
        <w:pStyle w:val="6"/>
      </w:pPr>
    </w:p>
    <w:p w14:paraId="42F1B094">
      <w:pPr>
        <w:pStyle w:val="6"/>
      </w:pPr>
    </w:p>
    <w:p w14:paraId="5A4DACEF">
      <w:pPr>
        <w:pStyle w:val="6"/>
      </w:pPr>
    </w:p>
    <w:p w14:paraId="62E83B4C">
      <w:pPr>
        <w:pStyle w:val="6"/>
      </w:pPr>
    </w:p>
    <w:p w14:paraId="12C48F61">
      <w:pPr>
        <w:pStyle w:val="6"/>
      </w:pPr>
    </w:p>
    <w:p w14:paraId="44E08C41">
      <w:pPr>
        <w:pStyle w:val="6"/>
      </w:pPr>
    </w:p>
    <w:p w14:paraId="264887E2">
      <w:pPr>
        <w:pStyle w:val="6"/>
      </w:pPr>
    </w:p>
    <w:p w14:paraId="0A830E7A">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rPr>
        <w:t>3</w:t>
      </w:r>
      <w:r>
        <w:rPr>
          <w:rFonts w:ascii="仿宋" w:hAnsi="仿宋" w:eastAsia="仿宋"/>
          <w:sz w:val="28"/>
          <w:szCs w:val="28"/>
        </w:rPr>
        <w:t>：</w:t>
      </w:r>
    </w:p>
    <w:p w14:paraId="01D178CC">
      <w:pPr>
        <w:ind w:firstLine="640" w:firstLineChars="200"/>
        <w:jc w:val="center"/>
        <w:rPr>
          <w:rFonts w:ascii="宋体" w:hAnsi="宋体" w:eastAsia="宋体"/>
          <w:sz w:val="32"/>
          <w:szCs w:val="32"/>
        </w:rPr>
      </w:pPr>
      <w:r>
        <w:rPr>
          <w:rFonts w:hint="eastAsia" w:ascii="宋体" w:hAnsi="宋体" w:eastAsia="宋体"/>
          <w:sz w:val="32"/>
          <w:szCs w:val="32"/>
        </w:rPr>
        <w:t>报价表</w:t>
      </w:r>
    </w:p>
    <w:p w14:paraId="3459DA56">
      <w:pPr>
        <w:rPr>
          <w:rFonts w:ascii="仿宋" w:hAnsi="仿宋" w:eastAsia="仿宋"/>
          <w:color w:val="auto"/>
          <w:sz w:val="32"/>
          <w:szCs w:val="32"/>
        </w:rPr>
      </w:pPr>
    </w:p>
    <w:tbl>
      <w:tblPr>
        <w:tblStyle w:val="19"/>
        <w:tblpPr w:leftFromText="180" w:rightFromText="180" w:vertAnchor="text" w:horzAnchor="margin" w:tblpY="110"/>
        <w:tblW w:w="9011"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7"/>
        <w:gridCol w:w="2655"/>
        <w:gridCol w:w="2349"/>
      </w:tblGrid>
      <w:tr w14:paraId="23D16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007" w:type="dxa"/>
            <w:noWrap w:val="0"/>
            <w:vAlign w:val="center"/>
          </w:tcPr>
          <w:p w14:paraId="4DABE187">
            <w:pPr>
              <w:ind w:firstLine="482" w:firstLineChars="200"/>
              <w:jc w:val="center"/>
              <w:rPr>
                <w:rFonts w:ascii="仿宋" w:hAnsi="仿宋" w:eastAsia="仿宋"/>
                <w:b/>
                <w:bCs/>
                <w:color w:val="auto"/>
                <w:sz w:val="24"/>
                <w:szCs w:val="32"/>
              </w:rPr>
            </w:pPr>
            <w:r>
              <w:rPr>
                <w:rFonts w:hint="eastAsia" w:ascii="仿宋" w:hAnsi="仿宋" w:eastAsia="仿宋"/>
                <w:b/>
                <w:bCs/>
                <w:color w:val="auto"/>
                <w:sz w:val="24"/>
                <w:szCs w:val="32"/>
              </w:rPr>
              <w:t>项目</w:t>
            </w:r>
          </w:p>
        </w:tc>
        <w:tc>
          <w:tcPr>
            <w:tcW w:w="2655" w:type="dxa"/>
            <w:noWrap w:val="0"/>
            <w:vAlign w:val="center"/>
          </w:tcPr>
          <w:p w14:paraId="68AECC5C">
            <w:pPr>
              <w:ind w:firstLine="482" w:firstLineChars="200"/>
              <w:jc w:val="center"/>
              <w:rPr>
                <w:rFonts w:ascii="仿宋" w:hAnsi="仿宋" w:eastAsia="仿宋"/>
                <w:b/>
                <w:bCs/>
                <w:color w:val="auto"/>
                <w:sz w:val="24"/>
                <w:szCs w:val="32"/>
              </w:rPr>
            </w:pPr>
            <w:r>
              <w:rPr>
                <w:rFonts w:hint="eastAsia" w:ascii="仿宋" w:hAnsi="仿宋" w:eastAsia="仿宋"/>
                <w:b/>
                <w:bCs/>
                <w:color w:val="auto"/>
                <w:sz w:val="24"/>
                <w:szCs w:val="32"/>
                <w:lang w:eastAsia="zh-CN"/>
              </w:rPr>
              <w:t>费用（</w:t>
            </w:r>
            <w:r>
              <w:rPr>
                <w:rFonts w:hint="eastAsia" w:ascii="仿宋" w:hAnsi="仿宋" w:eastAsia="仿宋"/>
                <w:b/>
                <w:bCs/>
                <w:color w:val="auto"/>
                <w:sz w:val="24"/>
                <w:szCs w:val="32"/>
              </w:rPr>
              <w:t>价格</w:t>
            </w:r>
            <w:r>
              <w:rPr>
                <w:rFonts w:hint="eastAsia" w:ascii="仿宋" w:hAnsi="仿宋" w:eastAsia="仿宋"/>
                <w:b/>
                <w:bCs/>
                <w:color w:val="auto"/>
                <w:sz w:val="24"/>
                <w:szCs w:val="32"/>
                <w:lang w:eastAsia="zh-CN"/>
              </w:rPr>
              <w:t>）</w:t>
            </w:r>
          </w:p>
        </w:tc>
        <w:tc>
          <w:tcPr>
            <w:tcW w:w="2349" w:type="dxa"/>
            <w:noWrap w:val="0"/>
            <w:vAlign w:val="center"/>
          </w:tcPr>
          <w:p w14:paraId="650901E3">
            <w:pPr>
              <w:ind w:firstLine="482" w:firstLineChars="200"/>
              <w:jc w:val="center"/>
              <w:rPr>
                <w:rFonts w:ascii="仿宋" w:hAnsi="仿宋" w:eastAsia="仿宋"/>
                <w:b/>
                <w:bCs/>
                <w:color w:val="auto"/>
                <w:sz w:val="24"/>
                <w:szCs w:val="32"/>
              </w:rPr>
            </w:pPr>
            <w:r>
              <w:rPr>
                <w:rFonts w:hint="eastAsia" w:ascii="仿宋" w:hAnsi="仿宋" w:eastAsia="仿宋"/>
                <w:b/>
                <w:bCs/>
                <w:color w:val="auto"/>
                <w:sz w:val="24"/>
                <w:szCs w:val="32"/>
              </w:rPr>
              <w:t>备注</w:t>
            </w:r>
          </w:p>
        </w:tc>
      </w:tr>
      <w:tr w14:paraId="7BB34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4007" w:type="dxa"/>
            <w:noWrap w:val="0"/>
            <w:vAlign w:val="center"/>
          </w:tcPr>
          <w:p w14:paraId="4F58E18C">
            <w:pPr>
              <w:ind w:firstLine="482" w:firstLineChars="200"/>
              <w:jc w:val="center"/>
              <w:rPr>
                <w:rFonts w:hint="eastAsia" w:ascii="仿宋" w:hAnsi="仿宋" w:eastAsia="仿宋"/>
                <w:b/>
                <w:bCs/>
                <w:color w:val="auto"/>
                <w:sz w:val="24"/>
                <w:szCs w:val="32"/>
                <w:highlight w:val="none"/>
                <w:lang w:eastAsia="zh-CN"/>
              </w:rPr>
            </w:pPr>
            <w:r>
              <w:rPr>
                <w:rFonts w:hint="eastAsia" w:ascii="仿宋" w:hAnsi="仿宋" w:eastAsia="仿宋"/>
                <w:b/>
                <w:bCs/>
                <w:color w:val="auto"/>
                <w:sz w:val="24"/>
                <w:szCs w:val="32"/>
                <w:highlight w:val="none"/>
                <w:lang w:eastAsia="zh-CN"/>
              </w:rPr>
              <w:t>年度综合管理固定费用</w:t>
            </w:r>
          </w:p>
          <w:p w14:paraId="694F7398">
            <w:pPr>
              <w:ind w:firstLine="480" w:firstLineChars="200"/>
              <w:jc w:val="center"/>
              <w:rPr>
                <w:rFonts w:ascii="仿宋" w:hAnsi="仿宋" w:eastAsia="仿宋"/>
                <w:color w:val="auto"/>
                <w:sz w:val="24"/>
                <w:szCs w:val="32"/>
                <w:highlight w:val="none"/>
              </w:rPr>
            </w:pPr>
            <w:r>
              <w:rPr>
                <w:rFonts w:hint="eastAsia" w:ascii="仿宋" w:hAnsi="仿宋" w:eastAsia="仿宋"/>
                <w:color w:val="auto"/>
                <w:sz w:val="24"/>
                <w:szCs w:val="32"/>
                <w:highlight w:val="none"/>
              </w:rPr>
              <w:t>（包括水电、保安、保洁、管理）</w:t>
            </w:r>
          </w:p>
        </w:tc>
        <w:tc>
          <w:tcPr>
            <w:tcW w:w="2655" w:type="dxa"/>
            <w:noWrap w:val="0"/>
            <w:vAlign w:val="center"/>
          </w:tcPr>
          <w:p w14:paraId="50174625">
            <w:pPr>
              <w:ind w:firstLine="480" w:firstLineChars="200"/>
              <w:jc w:val="center"/>
              <w:rPr>
                <w:rFonts w:ascii="仿宋" w:hAnsi="仿宋" w:eastAsia="仿宋"/>
                <w:color w:val="auto"/>
                <w:sz w:val="24"/>
                <w:szCs w:val="32"/>
                <w:highlight w:val="none"/>
              </w:rPr>
            </w:pPr>
            <w:r>
              <w:rPr>
                <w:rFonts w:hint="eastAsia" w:ascii="仿宋" w:hAnsi="仿宋" w:eastAsia="仿宋"/>
                <w:color w:val="auto"/>
                <w:sz w:val="24"/>
                <w:szCs w:val="32"/>
                <w:highlight w:val="none"/>
              </w:rPr>
              <w:t>（元/年）</w:t>
            </w:r>
          </w:p>
        </w:tc>
        <w:tc>
          <w:tcPr>
            <w:tcW w:w="2349" w:type="dxa"/>
            <w:noWrap w:val="0"/>
            <w:vAlign w:val="center"/>
          </w:tcPr>
          <w:p w14:paraId="56191D44">
            <w:pPr>
              <w:jc w:val="both"/>
              <w:rPr>
                <w:rFonts w:hint="eastAsia" w:ascii="仿宋" w:hAnsi="仿宋" w:eastAsia="仿宋" w:cs="Times New Roman"/>
                <w:color w:val="auto"/>
                <w:sz w:val="24"/>
                <w:szCs w:val="32"/>
                <w:highlight w:val="none"/>
              </w:rPr>
            </w:pPr>
            <w:r>
              <w:rPr>
                <w:rFonts w:hint="eastAsia" w:ascii="仿宋" w:hAnsi="仿宋" w:eastAsia="仿宋" w:cs="Times New Roman"/>
                <w:color w:val="auto"/>
                <w:sz w:val="24"/>
                <w:szCs w:val="32"/>
                <w:highlight w:val="none"/>
                <w:lang w:val="en-US" w:eastAsia="zh-CN"/>
              </w:rPr>
              <w:t>参选机构报价不得低于15000元/年，此报价要求属于实质性响应条款，若未能满足该项要求，将被判定为无效投标</w:t>
            </w:r>
          </w:p>
          <w:p w14:paraId="39E74C56">
            <w:pPr>
              <w:ind w:firstLine="0" w:firstLineChars="0"/>
              <w:jc w:val="left"/>
              <w:rPr>
                <w:rFonts w:hint="default" w:ascii="仿宋" w:hAnsi="仿宋" w:eastAsia="仿宋"/>
                <w:color w:val="auto"/>
                <w:sz w:val="24"/>
                <w:szCs w:val="32"/>
                <w:highlight w:val="yellow"/>
                <w:lang w:val="en-US" w:eastAsia="zh-CN"/>
              </w:rPr>
            </w:pPr>
          </w:p>
        </w:tc>
      </w:tr>
      <w:tr w14:paraId="78875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4007" w:type="dxa"/>
            <w:noWrap w:val="0"/>
            <w:vAlign w:val="center"/>
          </w:tcPr>
          <w:p w14:paraId="658CA6AD">
            <w:pPr>
              <w:jc w:val="both"/>
              <w:rPr>
                <w:rFonts w:hint="default" w:ascii="仿宋" w:hAnsi="仿宋" w:eastAsia="仿宋"/>
                <w:color w:val="auto"/>
                <w:sz w:val="24"/>
                <w:szCs w:val="32"/>
                <w:highlight w:val="none"/>
                <w:lang w:val="en-US" w:eastAsia="zh-CN"/>
              </w:rPr>
            </w:pPr>
            <w:r>
              <w:rPr>
                <w:rFonts w:hint="eastAsia" w:ascii="仿宋" w:hAnsi="仿宋" w:eastAsia="仿宋"/>
                <w:b/>
                <w:bCs/>
                <w:color w:val="auto"/>
                <w:sz w:val="24"/>
                <w:szCs w:val="32"/>
                <w:highlight w:val="none"/>
                <w:lang w:eastAsia="zh-CN"/>
              </w:rPr>
              <w:t>后续新增单台设备年度综合管理固定费用</w:t>
            </w:r>
            <w:r>
              <w:rPr>
                <w:rFonts w:hint="eastAsia" w:ascii="仿宋" w:hAnsi="仿宋" w:eastAsia="仿宋"/>
                <w:color w:val="auto"/>
                <w:sz w:val="24"/>
                <w:szCs w:val="32"/>
                <w:highlight w:val="none"/>
              </w:rPr>
              <w:t>（包括水电、保安、保洁、管理）</w:t>
            </w:r>
          </w:p>
        </w:tc>
        <w:tc>
          <w:tcPr>
            <w:tcW w:w="2655" w:type="dxa"/>
            <w:noWrap w:val="0"/>
            <w:vAlign w:val="center"/>
          </w:tcPr>
          <w:p w14:paraId="36779D44">
            <w:pPr>
              <w:ind w:firstLine="480" w:firstLineChars="200"/>
              <w:jc w:val="center"/>
              <w:rPr>
                <w:rFonts w:hint="default" w:eastAsia="仿宋"/>
                <w:color w:val="auto"/>
                <w:highlight w:val="none"/>
                <w:lang w:val="en-US" w:eastAsia="zh-CN"/>
              </w:rPr>
            </w:pPr>
            <w:r>
              <w:rPr>
                <w:rFonts w:hint="eastAsia" w:ascii="仿宋" w:hAnsi="仿宋" w:eastAsia="仿宋"/>
                <w:color w:val="auto"/>
                <w:sz w:val="24"/>
                <w:szCs w:val="32"/>
                <w:highlight w:val="none"/>
                <w:lang w:val="en-US" w:eastAsia="zh-CN"/>
              </w:rPr>
              <w:t xml:space="preserve">  </w:t>
            </w:r>
            <w:r>
              <w:rPr>
                <w:rFonts w:hint="eastAsia" w:ascii="仿宋" w:hAnsi="仿宋" w:eastAsia="仿宋"/>
                <w:color w:val="auto"/>
                <w:sz w:val="24"/>
                <w:szCs w:val="32"/>
                <w:highlight w:val="none"/>
              </w:rPr>
              <w:t>（元/</w:t>
            </w:r>
            <w:r>
              <w:rPr>
                <w:rFonts w:hint="eastAsia" w:ascii="仿宋" w:hAnsi="仿宋" w:eastAsia="仿宋"/>
                <w:color w:val="auto"/>
                <w:sz w:val="24"/>
                <w:szCs w:val="32"/>
                <w:highlight w:val="none"/>
                <w:lang w:eastAsia="zh-CN"/>
              </w:rPr>
              <w:t>台</w:t>
            </w:r>
            <w:r>
              <w:rPr>
                <w:rFonts w:hint="eastAsia" w:ascii="仿宋" w:hAnsi="仿宋" w:eastAsia="仿宋"/>
                <w:color w:val="auto"/>
                <w:sz w:val="24"/>
                <w:szCs w:val="32"/>
                <w:highlight w:val="none"/>
                <w:lang w:val="en-US" w:eastAsia="zh-CN"/>
              </w:rPr>
              <w:t>/</w:t>
            </w:r>
            <w:r>
              <w:rPr>
                <w:rFonts w:hint="eastAsia" w:ascii="仿宋" w:hAnsi="仿宋" w:eastAsia="仿宋"/>
                <w:color w:val="auto"/>
                <w:sz w:val="24"/>
                <w:szCs w:val="32"/>
                <w:highlight w:val="none"/>
              </w:rPr>
              <w:t>年）</w:t>
            </w:r>
          </w:p>
        </w:tc>
        <w:tc>
          <w:tcPr>
            <w:tcW w:w="2349" w:type="dxa"/>
            <w:noWrap w:val="0"/>
            <w:vAlign w:val="center"/>
          </w:tcPr>
          <w:p w14:paraId="3581BA11">
            <w:pPr>
              <w:ind w:firstLine="0" w:firstLineChars="0"/>
              <w:jc w:val="left"/>
              <w:rPr>
                <w:rFonts w:hint="eastAsia" w:ascii="仿宋" w:hAnsi="仿宋" w:eastAsia="仿宋"/>
                <w:color w:val="auto"/>
                <w:sz w:val="24"/>
                <w:szCs w:val="32"/>
                <w:highlight w:val="yellow"/>
                <w:lang w:val="en-US" w:eastAsia="zh-CN"/>
              </w:rPr>
            </w:pPr>
            <w:r>
              <w:rPr>
                <w:rFonts w:hint="eastAsia" w:ascii="仿宋" w:hAnsi="仿宋" w:eastAsia="仿宋"/>
                <w:color w:val="auto"/>
                <w:sz w:val="24"/>
                <w:szCs w:val="32"/>
                <w:highlight w:val="none"/>
                <w:lang w:eastAsia="zh-CN"/>
              </w:rPr>
              <w:t>首批投放</w:t>
            </w:r>
            <w:r>
              <w:rPr>
                <w:rFonts w:hint="eastAsia" w:ascii="仿宋" w:hAnsi="仿宋" w:eastAsia="仿宋"/>
                <w:color w:val="auto"/>
                <w:sz w:val="24"/>
                <w:szCs w:val="32"/>
                <w:highlight w:val="none"/>
                <w:lang w:val="en-US" w:eastAsia="zh-CN"/>
              </w:rPr>
              <w:t>6台设备，后期如增加设备，每台均需向医院缴纳综合管理费不低于3000</w:t>
            </w:r>
            <w:r>
              <w:rPr>
                <w:rFonts w:hint="eastAsia" w:ascii="仿宋" w:hAnsi="仿宋" w:eastAsia="仿宋"/>
                <w:color w:val="auto"/>
                <w:sz w:val="24"/>
                <w:szCs w:val="32"/>
                <w:highlight w:val="none"/>
              </w:rPr>
              <w:t>元/</w:t>
            </w:r>
            <w:r>
              <w:rPr>
                <w:rFonts w:hint="eastAsia" w:ascii="仿宋" w:hAnsi="仿宋" w:eastAsia="仿宋"/>
                <w:color w:val="auto"/>
                <w:sz w:val="24"/>
                <w:szCs w:val="32"/>
                <w:highlight w:val="none"/>
                <w:lang w:eastAsia="zh-CN"/>
              </w:rPr>
              <w:t>台</w:t>
            </w:r>
            <w:r>
              <w:rPr>
                <w:rFonts w:hint="eastAsia" w:ascii="仿宋" w:hAnsi="仿宋" w:eastAsia="仿宋"/>
                <w:color w:val="auto"/>
                <w:sz w:val="24"/>
                <w:szCs w:val="32"/>
                <w:highlight w:val="none"/>
                <w:lang w:val="en-US" w:eastAsia="zh-CN"/>
              </w:rPr>
              <w:t>/</w:t>
            </w:r>
            <w:r>
              <w:rPr>
                <w:rFonts w:hint="eastAsia" w:ascii="仿宋" w:hAnsi="仿宋" w:eastAsia="仿宋"/>
                <w:color w:val="auto"/>
                <w:sz w:val="24"/>
                <w:szCs w:val="32"/>
                <w:highlight w:val="none"/>
              </w:rPr>
              <w:t>年</w:t>
            </w:r>
            <w:r>
              <w:rPr>
                <w:rFonts w:hint="eastAsia" w:ascii="仿宋" w:hAnsi="仿宋" w:eastAsia="仿宋"/>
                <w:color w:val="auto"/>
                <w:sz w:val="24"/>
                <w:szCs w:val="32"/>
                <w:highlight w:val="none"/>
                <w:lang w:eastAsia="zh-CN"/>
              </w:rPr>
              <w:t>，</w:t>
            </w:r>
            <w:r>
              <w:rPr>
                <w:rFonts w:hint="eastAsia" w:ascii="仿宋" w:hAnsi="仿宋" w:eastAsia="仿宋" w:cs="Times New Roman"/>
                <w:color w:val="auto"/>
                <w:sz w:val="24"/>
                <w:szCs w:val="32"/>
                <w:highlight w:val="none"/>
                <w:lang w:val="en-US" w:eastAsia="zh-CN"/>
              </w:rPr>
              <w:t>若未能满足该项要求，将被判定为无效投标</w:t>
            </w:r>
          </w:p>
        </w:tc>
      </w:tr>
    </w:tbl>
    <w:p w14:paraId="7B9B06AE">
      <w:pPr>
        <w:ind w:firstLine="560" w:firstLineChars="200"/>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备注：上述费用为参选机构向医院缴纳费用；报价是参选机构完成本项目全部工作内容的费用，包括完成本项目所涉及的人工劳务、设备投入、材料、知识产权、利润、风险、税金等一切费用。</w:t>
      </w:r>
    </w:p>
    <w:p w14:paraId="18C1E980">
      <w:pPr>
        <w:ind w:firstLine="560" w:firstLineChars="200"/>
        <w:rPr>
          <w:rFonts w:hint="eastAsia" w:ascii="仿宋" w:hAnsi="仿宋" w:eastAsia="仿宋" w:cs="仿宋"/>
          <w:b w:val="0"/>
          <w:bCs w:val="0"/>
          <w:color w:val="auto"/>
          <w:sz w:val="28"/>
          <w:lang w:val="en-US" w:eastAsia="zh-CN"/>
        </w:rPr>
      </w:pPr>
      <w:r>
        <w:rPr>
          <w:rFonts w:hint="eastAsia" w:ascii="仿宋" w:hAnsi="仿宋" w:eastAsia="仿宋" w:cs="仿宋"/>
          <w:b w:val="0"/>
          <w:bCs w:val="0"/>
          <w:color w:val="auto"/>
          <w:sz w:val="28"/>
          <w:lang w:val="en-US" w:eastAsia="zh-CN"/>
        </w:rPr>
        <w:t>后续如减少设备，将不进行年度综合管理固定费用的退还。</w:t>
      </w:r>
    </w:p>
    <w:p w14:paraId="63AF37B6">
      <w:pPr>
        <w:pStyle w:val="6"/>
        <w:rPr>
          <w:b/>
          <w:bCs/>
        </w:rPr>
      </w:pPr>
    </w:p>
    <w:p w14:paraId="00EED1BB">
      <w:pPr>
        <w:rPr>
          <w:rFonts w:hint="eastAsia"/>
          <w:lang w:val="en-US" w:eastAsia="zh-CN"/>
        </w:rPr>
      </w:pPr>
    </w:p>
    <w:p w14:paraId="067491D1">
      <w:pPr>
        <w:rPr>
          <w:rFonts w:hint="eastAsia"/>
          <w:lang w:val="en-US" w:eastAsia="zh-CN"/>
        </w:rPr>
      </w:pPr>
    </w:p>
    <w:p w14:paraId="218D5E38">
      <w:pPr>
        <w:pStyle w:val="2"/>
        <w:rPr>
          <w:rFonts w:hint="eastAsia"/>
          <w:lang w:val="en-US" w:eastAsia="zh-CN"/>
        </w:rPr>
      </w:pPr>
    </w:p>
    <w:p w14:paraId="12416A5D">
      <w:pPr>
        <w:rPr>
          <w:rFonts w:hint="eastAsia"/>
          <w:lang w:val="en-US" w:eastAsia="zh-CN"/>
        </w:rPr>
      </w:pPr>
    </w:p>
    <w:p w14:paraId="2D62EB99">
      <w:pPr>
        <w:pStyle w:val="2"/>
        <w:rPr>
          <w:rFonts w:hint="eastAsia"/>
          <w:lang w:val="en-US" w:eastAsia="zh-CN"/>
        </w:rPr>
      </w:pPr>
    </w:p>
    <w:p w14:paraId="002F8C72">
      <w:pPr>
        <w:rPr>
          <w:rFonts w:hint="eastAsia"/>
          <w:lang w:val="en-US" w:eastAsia="zh-CN"/>
        </w:rPr>
      </w:pPr>
    </w:p>
    <w:p w14:paraId="1F97A05F">
      <w:pPr>
        <w:pStyle w:val="2"/>
        <w:rPr>
          <w:rFonts w:hint="eastAsia"/>
          <w:lang w:val="en-US" w:eastAsia="zh-CN"/>
        </w:rPr>
      </w:pPr>
    </w:p>
    <w:p w14:paraId="1D16A109">
      <w:pPr>
        <w:rPr>
          <w:rFonts w:hint="eastAsia"/>
          <w:lang w:val="en-US" w:eastAsia="zh-CN"/>
        </w:rPr>
      </w:pPr>
    </w:p>
    <w:p w14:paraId="6F5E5355">
      <w:pPr>
        <w:pStyle w:val="2"/>
        <w:rPr>
          <w:rFonts w:hint="eastAsia"/>
          <w:lang w:val="en-US" w:eastAsia="zh-CN"/>
        </w:rPr>
      </w:pPr>
    </w:p>
    <w:p w14:paraId="4EE193E1">
      <w:pPr>
        <w:rPr>
          <w:rFonts w:hint="eastAsia"/>
          <w:lang w:val="en-US" w:eastAsia="zh-CN"/>
        </w:rPr>
      </w:pPr>
    </w:p>
    <w:p w14:paraId="5F45BAEE">
      <w:pPr>
        <w:rPr>
          <w:rFonts w:hint="eastAsia"/>
          <w:lang w:val="en-US" w:eastAsia="zh-CN"/>
        </w:rPr>
      </w:pPr>
    </w:p>
    <w:p w14:paraId="22DAA74E">
      <w:pPr>
        <w:rPr>
          <w:rFonts w:hint="eastAsia"/>
          <w:lang w:val="en-US" w:eastAsia="zh-CN"/>
        </w:rPr>
      </w:pPr>
    </w:p>
    <w:p w14:paraId="3CEAE766">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lang w:val="en-US" w:eastAsia="zh-CN"/>
        </w:rPr>
        <w:t>4</w:t>
      </w:r>
      <w:r>
        <w:rPr>
          <w:rFonts w:ascii="仿宋" w:hAnsi="仿宋" w:eastAsia="仿宋"/>
          <w:sz w:val="28"/>
          <w:szCs w:val="28"/>
        </w:rPr>
        <w:t>：</w:t>
      </w:r>
    </w:p>
    <w:p w14:paraId="2483D41F">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参选方案文件书装订顺序</w:t>
      </w:r>
    </w:p>
    <w:p w14:paraId="7BB35CE8">
      <w:pPr>
        <w:ind w:firstLine="618" w:firstLineChars="221"/>
        <w:rPr>
          <w:rFonts w:ascii="仿宋" w:hAnsi="仿宋" w:eastAsia="仿宋"/>
          <w:sz w:val="28"/>
          <w:szCs w:val="28"/>
        </w:rPr>
      </w:pPr>
    </w:p>
    <w:p w14:paraId="57144563">
      <w:pPr>
        <w:ind w:firstLine="618" w:firstLineChars="221"/>
        <w:rPr>
          <w:rFonts w:hint="eastAsia" w:ascii="仿宋" w:hAnsi="仿宋" w:eastAsia="仿宋"/>
          <w:sz w:val="28"/>
          <w:szCs w:val="28"/>
          <w:lang w:eastAsia="zh-CN"/>
        </w:rPr>
      </w:pP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封面（</w:t>
      </w:r>
      <w:r>
        <w:rPr>
          <w:rFonts w:hint="eastAsia" w:ascii="仿宋" w:hAnsi="仿宋" w:eastAsia="仿宋"/>
          <w:sz w:val="28"/>
          <w:szCs w:val="28"/>
        </w:rPr>
        <w:t>注明</w:t>
      </w:r>
      <w:r>
        <w:rPr>
          <w:rFonts w:hint="eastAsia" w:ascii="仿宋" w:hAnsi="仿宋" w:eastAsia="仿宋"/>
          <w:b/>
          <w:sz w:val="28"/>
          <w:szCs w:val="28"/>
        </w:rPr>
        <w:t>项目名称及包号</w:t>
      </w:r>
      <w:r>
        <w:rPr>
          <w:rFonts w:hint="eastAsia" w:ascii="仿宋" w:hAnsi="仿宋" w:eastAsia="仿宋"/>
          <w:sz w:val="28"/>
          <w:szCs w:val="28"/>
        </w:rPr>
        <w:t>、公司名称</w:t>
      </w:r>
      <w:r>
        <w:rPr>
          <w:rFonts w:ascii="仿宋" w:hAnsi="仿宋" w:eastAsia="仿宋"/>
          <w:sz w:val="28"/>
          <w:szCs w:val="28"/>
        </w:rPr>
        <w:t>、联系人、联系</w:t>
      </w:r>
      <w:r>
        <w:rPr>
          <w:rFonts w:hint="eastAsia" w:ascii="仿宋" w:hAnsi="仿宋" w:eastAsia="仿宋"/>
          <w:sz w:val="28"/>
          <w:szCs w:val="28"/>
        </w:rPr>
        <w:t>电话、加盖公司印章</w:t>
      </w:r>
      <w:r>
        <w:rPr>
          <w:rFonts w:ascii="仿宋" w:hAnsi="仿宋" w:eastAsia="仿宋"/>
          <w:sz w:val="28"/>
          <w:szCs w:val="28"/>
        </w:rPr>
        <w:t>）</w:t>
      </w:r>
      <w:r>
        <w:rPr>
          <w:rFonts w:hint="eastAsia" w:ascii="仿宋" w:hAnsi="仿宋" w:eastAsia="仿宋"/>
          <w:sz w:val="28"/>
          <w:szCs w:val="28"/>
          <w:lang w:eastAsia="zh-CN"/>
        </w:rPr>
        <w:t>。</w:t>
      </w:r>
    </w:p>
    <w:p w14:paraId="18EEFBCB">
      <w:pPr>
        <w:ind w:firstLine="560" w:firstLineChars="200"/>
        <w:rPr>
          <w:rFonts w:hint="eastAsia" w:ascii="仿宋" w:hAnsi="仿宋" w:eastAsia="仿宋"/>
          <w:sz w:val="28"/>
          <w:szCs w:val="28"/>
          <w:lang w:eastAsia="zh-CN"/>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目录</w:t>
      </w:r>
      <w:r>
        <w:rPr>
          <w:rFonts w:hint="eastAsia" w:ascii="仿宋" w:hAnsi="仿宋" w:eastAsia="仿宋"/>
          <w:sz w:val="28"/>
          <w:szCs w:val="28"/>
          <w:lang w:eastAsia="zh-CN"/>
        </w:rPr>
        <w:t>。</w:t>
      </w:r>
    </w:p>
    <w:p w14:paraId="153610BB">
      <w:pPr>
        <w:ind w:firstLine="560" w:firstLineChars="200"/>
        <w:rPr>
          <w:rFonts w:hint="eastAsia" w:ascii="仿宋" w:hAnsi="仿宋" w:eastAsia="仿宋"/>
          <w:sz w:val="28"/>
          <w:szCs w:val="28"/>
          <w:lang w:eastAsia="zh-CN"/>
        </w:rPr>
      </w:pPr>
      <w:r>
        <w:rPr>
          <w:rFonts w:hint="eastAsia" w:ascii="仿宋" w:hAnsi="仿宋" w:eastAsia="仿宋"/>
          <w:sz w:val="28"/>
          <w:szCs w:val="28"/>
        </w:rPr>
        <w:t>3.有效的资质证</w:t>
      </w:r>
      <w:r>
        <w:rPr>
          <w:rFonts w:hint="eastAsia" w:ascii="仿宋" w:hAnsi="仿宋" w:eastAsia="仿宋"/>
          <w:sz w:val="28"/>
          <w:szCs w:val="28"/>
          <w:lang w:val="en-US" w:eastAsia="zh-CN"/>
        </w:rPr>
        <w:t>明</w:t>
      </w:r>
      <w:r>
        <w:rPr>
          <w:rFonts w:hint="eastAsia" w:ascii="仿宋" w:hAnsi="仿宋" w:eastAsia="仿宋"/>
          <w:sz w:val="28"/>
          <w:szCs w:val="28"/>
        </w:rPr>
        <w:t>文件（</w:t>
      </w:r>
      <w:r>
        <w:rPr>
          <w:rFonts w:hint="eastAsia" w:ascii="仿宋" w:hAnsi="仿宋" w:eastAsia="仿宋"/>
          <w:sz w:val="28"/>
          <w:szCs w:val="28"/>
          <w:lang w:val="en-US" w:eastAsia="zh-CN"/>
        </w:rPr>
        <w:t>按附件1 二、资质要求 顺序装订</w:t>
      </w:r>
      <w:r>
        <w:rPr>
          <w:rFonts w:hint="eastAsia" w:ascii="仿宋" w:hAnsi="仿宋" w:eastAsia="仿宋"/>
          <w:sz w:val="28"/>
          <w:szCs w:val="28"/>
        </w:rPr>
        <w:t>）</w:t>
      </w:r>
      <w:r>
        <w:rPr>
          <w:rFonts w:hint="eastAsia" w:ascii="仿宋" w:hAnsi="仿宋" w:eastAsia="仿宋"/>
          <w:sz w:val="28"/>
          <w:szCs w:val="28"/>
          <w:lang w:eastAsia="zh-CN"/>
        </w:rPr>
        <w:t>。</w:t>
      </w:r>
    </w:p>
    <w:p w14:paraId="7CE9F81A">
      <w:pPr>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val="en-US" w:eastAsia="zh-CN"/>
        </w:rPr>
        <w:t>4</w:t>
      </w:r>
      <w:r>
        <w:rPr>
          <w:rFonts w:hint="eastAsia" w:ascii="仿宋" w:hAnsi="仿宋" w:eastAsia="仿宋"/>
          <w:sz w:val="28"/>
          <w:szCs w:val="28"/>
        </w:rPr>
        <w:t>.</w:t>
      </w:r>
      <w:r>
        <w:rPr>
          <w:rFonts w:ascii="仿宋" w:hAnsi="仿宋" w:eastAsia="仿宋"/>
          <w:color w:val="000000" w:themeColor="text1"/>
          <w:sz w:val="28"/>
          <w:szCs w:val="28"/>
          <w14:textFill>
            <w14:solidFill>
              <w14:schemeClr w14:val="tx1"/>
            </w14:solidFill>
          </w14:textFill>
        </w:rPr>
        <w:t>偏离表（格式见附件</w:t>
      </w:r>
      <w:r>
        <w:rPr>
          <w:rFonts w:hint="eastAsia" w:ascii="仿宋" w:hAnsi="仿宋" w:eastAsia="仿宋"/>
          <w:color w:val="000000" w:themeColor="text1"/>
          <w:sz w:val="28"/>
          <w:szCs w:val="28"/>
          <w:lang w:val="en-US" w:eastAsia="zh-CN"/>
          <w14:textFill>
            <w14:solidFill>
              <w14:schemeClr w14:val="tx1"/>
            </w14:solidFill>
          </w14:textFill>
        </w:rPr>
        <w:t>5</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w:t>
      </w:r>
    </w:p>
    <w:p w14:paraId="4FB63881">
      <w:pPr>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5.偏离表响应内容承诺函或证明材料（按附件1</w:t>
      </w:r>
      <w:r>
        <w:rPr>
          <w:rFonts w:hint="eastAsia" w:ascii="仿宋" w:hAnsi="仿宋" w:eastAsia="仿宋"/>
          <w:color w:val="000000" w:themeColor="text1"/>
          <w:sz w:val="28"/>
          <w:szCs w:val="28"/>
          <w:lang w:val="en-US" w:eastAsia="zh-CN"/>
          <w14:textFill>
            <w14:solidFill>
              <w14:schemeClr w14:val="tx1"/>
            </w14:solidFill>
          </w14:textFill>
        </w:rPr>
        <w:t xml:space="preserve"> 三、</w:t>
      </w:r>
      <w:r>
        <w:rPr>
          <w:rFonts w:hint="eastAsia" w:ascii="仿宋" w:hAnsi="仿宋" w:eastAsia="仿宋"/>
          <w:color w:val="000000" w:themeColor="text1"/>
          <w:sz w:val="28"/>
          <w:szCs w:val="28"/>
          <w:lang w:eastAsia="zh-CN"/>
          <w14:textFill>
            <w14:solidFill>
              <w14:schemeClr w14:val="tx1"/>
            </w14:solidFill>
          </w14:textFill>
        </w:rPr>
        <w:t>技术服务要求</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顺序装订）。</w:t>
      </w:r>
    </w:p>
    <w:p w14:paraId="35047583">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6</w:t>
      </w:r>
      <w:r>
        <w:rPr>
          <w:rFonts w:hint="eastAsia" w:ascii="仿宋" w:hAnsi="仿宋" w:eastAsia="仿宋"/>
          <w:sz w:val="28"/>
          <w:szCs w:val="28"/>
        </w:rPr>
        <w:t>.参选机构基本情况及其他证明文件等</w:t>
      </w:r>
      <w:r>
        <w:rPr>
          <w:rFonts w:hint="eastAsia" w:ascii="仿宋" w:hAnsi="仿宋" w:eastAsia="仿宋"/>
          <w:sz w:val="28"/>
          <w:szCs w:val="28"/>
          <w:lang w:eastAsia="zh-CN"/>
        </w:rPr>
        <w:t>。</w:t>
      </w:r>
    </w:p>
    <w:p w14:paraId="41A41965">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7</w:t>
      </w:r>
      <w:r>
        <w:rPr>
          <w:rFonts w:hint="eastAsia" w:ascii="仿宋" w:hAnsi="仿宋" w:eastAsia="仿宋"/>
          <w:sz w:val="28"/>
          <w:szCs w:val="28"/>
        </w:rPr>
        <w:t>.合作方案（格式见附件</w:t>
      </w:r>
      <w:r>
        <w:rPr>
          <w:rFonts w:hint="eastAsia" w:ascii="仿宋" w:hAnsi="仿宋" w:eastAsia="仿宋"/>
          <w:sz w:val="28"/>
          <w:szCs w:val="28"/>
          <w:lang w:val="en-US" w:eastAsia="zh-CN"/>
        </w:rPr>
        <w:t>2</w:t>
      </w:r>
      <w:r>
        <w:rPr>
          <w:rFonts w:hint="eastAsia" w:ascii="仿宋" w:hAnsi="仿宋" w:eastAsia="仿宋"/>
          <w:sz w:val="28"/>
          <w:szCs w:val="28"/>
        </w:rPr>
        <w:t>）</w:t>
      </w:r>
      <w:r>
        <w:rPr>
          <w:rFonts w:hint="eastAsia" w:ascii="仿宋" w:hAnsi="仿宋" w:eastAsia="仿宋"/>
          <w:sz w:val="28"/>
          <w:szCs w:val="28"/>
          <w:lang w:eastAsia="zh-CN"/>
        </w:rPr>
        <w:t>。</w:t>
      </w:r>
    </w:p>
    <w:p w14:paraId="3FF6A796">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8.报价表</w:t>
      </w:r>
      <w:r>
        <w:rPr>
          <w:rFonts w:hint="eastAsia" w:ascii="仿宋" w:hAnsi="仿宋" w:eastAsia="仿宋"/>
          <w:sz w:val="28"/>
          <w:szCs w:val="28"/>
        </w:rPr>
        <w:t>（格式见附件</w:t>
      </w:r>
      <w:r>
        <w:rPr>
          <w:rFonts w:hint="eastAsia" w:ascii="仿宋" w:hAnsi="仿宋" w:eastAsia="仿宋"/>
          <w:sz w:val="28"/>
          <w:szCs w:val="28"/>
          <w:lang w:val="en-US" w:eastAsia="zh-CN"/>
        </w:rPr>
        <w:t>3</w:t>
      </w:r>
      <w:r>
        <w:rPr>
          <w:rFonts w:hint="eastAsia" w:ascii="仿宋" w:hAnsi="仿宋" w:eastAsia="仿宋"/>
          <w:sz w:val="28"/>
          <w:szCs w:val="28"/>
        </w:rPr>
        <w:t>）</w:t>
      </w:r>
      <w:r>
        <w:rPr>
          <w:rFonts w:hint="eastAsia" w:ascii="仿宋" w:hAnsi="仿宋" w:eastAsia="仿宋"/>
          <w:sz w:val="28"/>
          <w:szCs w:val="28"/>
          <w:lang w:eastAsia="zh-CN"/>
        </w:rPr>
        <w:t>。</w:t>
      </w:r>
    </w:p>
    <w:p w14:paraId="16EFD545">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9</w:t>
      </w:r>
      <w:r>
        <w:rPr>
          <w:rFonts w:hint="eastAsia" w:ascii="仿宋" w:hAnsi="仿宋" w:eastAsia="仿宋"/>
          <w:sz w:val="28"/>
          <w:szCs w:val="28"/>
        </w:rPr>
        <w:t>.封底</w:t>
      </w:r>
      <w:r>
        <w:rPr>
          <w:rFonts w:hint="eastAsia" w:ascii="仿宋" w:hAnsi="仿宋" w:eastAsia="仿宋"/>
          <w:sz w:val="28"/>
          <w:szCs w:val="28"/>
          <w:lang w:eastAsia="zh-CN"/>
        </w:rPr>
        <w:t>。</w:t>
      </w:r>
    </w:p>
    <w:p w14:paraId="13C835DA">
      <w:pPr>
        <w:ind w:firstLine="560" w:firstLineChars="200"/>
        <w:rPr>
          <w:rFonts w:hint="eastAsia" w:ascii="仿宋" w:hAnsi="仿宋" w:eastAsia="仿宋"/>
          <w:sz w:val="28"/>
          <w:szCs w:val="28"/>
        </w:rPr>
      </w:pPr>
      <w:r>
        <w:rPr>
          <w:rFonts w:hint="eastAsia" w:ascii="仿宋" w:hAnsi="仿宋" w:eastAsia="仿宋"/>
          <w:sz w:val="28"/>
          <w:szCs w:val="28"/>
        </w:rPr>
        <w:t>注：请务必按以上顺序装订资料，如有非中文资料，请同时提供中文翻译件。</w:t>
      </w:r>
    </w:p>
    <w:p w14:paraId="1502A5CF">
      <w:pPr>
        <w:ind w:firstLine="560" w:firstLineChars="200"/>
        <w:rPr>
          <w:rFonts w:hint="eastAsia" w:ascii="仿宋" w:hAnsi="仿宋" w:eastAsia="仿宋"/>
          <w:sz w:val="28"/>
          <w:szCs w:val="28"/>
        </w:rPr>
      </w:pPr>
    </w:p>
    <w:p w14:paraId="3B56BC1E">
      <w:pPr>
        <w:rPr>
          <w:rFonts w:ascii="仿宋" w:hAnsi="仿宋" w:eastAsia="仿宋"/>
          <w:sz w:val="28"/>
          <w:szCs w:val="28"/>
        </w:rPr>
      </w:pPr>
    </w:p>
    <w:p w14:paraId="369A37BD">
      <w:pPr>
        <w:pStyle w:val="6"/>
        <w:rPr>
          <w:rFonts w:ascii="仿宋" w:hAnsi="仿宋" w:eastAsia="仿宋"/>
          <w:sz w:val="28"/>
          <w:szCs w:val="28"/>
        </w:rPr>
      </w:pPr>
    </w:p>
    <w:p w14:paraId="4887035F">
      <w:pPr>
        <w:pStyle w:val="6"/>
        <w:rPr>
          <w:rFonts w:ascii="仿宋" w:hAnsi="仿宋" w:eastAsia="仿宋"/>
          <w:sz w:val="28"/>
          <w:szCs w:val="28"/>
        </w:rPr>
      </w:pPr>
    </w:p>
    <w:p w14:paraId="479F544F">
      <w:pPr>
        <w:pStyle w:val="6"/>
        <w:rPr>
          <w:rFonts w:ascii="仿宋" w:hAnsi="仿宋" w:eastAsia="仿宋"/>
          <w:sz w:val="28"/>
          <w:szCs w:val="28"/>
        </w:rPr>
      </w:pPr>
    </w:p>
    <w:p w14:paraId="7636BD85">
      <w:pPr>
        <w:pStyle w:val="6"/>
        <w:rPr>
          <w:rFonts w:ascii="仿宋" w:hAnsi="仿宋" w:eastAsia="仿宋"/>
          <w:sz w:val="28"/>
          <w:szCs w:val="28"/>
        </w:rPr>
      </w:pPr>
    </w:p>
    <w:p w14:paraId="439A43CE">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lang w:val="en-US" w:eastAsia="zh-CN"/>
        </w:rPr>
        <w:t>5</w:t>
      </w:r>
      <w:r>
        <w:rPr>
          <w:rFonts w:ascii="仿宋" w:hAnsi="仿宋" w:eastAsia="仿宋"/>
          <w:sz w:val="28"/>
          <w:szCs w:val="28"/>
        </w:rPr>
        <w:t>：</w:t>
      </w:r>
    </w:p>
    <w:p w14:paraId="41E2A657">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偏离表</w:t>
      </w:r>
    </w:p>
    <w:tbl>
      <w:tblPr>
        <w:tblStyle w:val="1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51"/>
        <w:gridCol w:w="2302"/>
        <w:gridCol w:w="2302"/>
        <w:gridCol w:w="2873"/>
      </w:tblGrid>
      <w:tr w14:paraId="6DCEA1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546654">
            <w:pPr>
              <w:spacing w:line="360" w:lineRule="auto"/>
              <w:jc w:val="center"/>
              <w:rPr>
                <w:rFonts w:ascii="黑体" w:hAnsi="宋体" w:eastAsia="黑体"/>
                <w:szCs w:val="21"/>
              </w:rPr>
            </w:pPr>
            <w:r>
              <w:rPr>
                <w:rFonts w:ascii="黑体" w:hAnsi="宋体" w:eastAsia="黑体"/>
                <w:szCs w:val="21"/>
              </w:rPr>
              <w:t>序号</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14:paraId="13B7431E">
            <w:pPr>
              <w:spacing w:line="360" w:lineRule="auto"/>
              <w:jc w:val="center"/>
              <w:rPr>
                <w:rFonts w:ascii="黑体" w:hAnsi="宋体" w:eastAsia="黑体"/>
                <w:szCs w:val="21"/>
              </w:rPr>
            </w:pPr>
            <w:r>
              <w:rPr>
                <w:rFonts w:hint="eastAsia" w:ascii="黑体" w:hAnsi="宋体" w:eastAsia="黑体"/>
                <w:szCs w:val="21"/>
              </w:rPr>
              <w:t>遴选</w:t>
            </w:r>
            <w:r>
              <w:rPr>
                <w:rFonts w:ascii="黑体" w:hAnsi="宋体" w:eastAsia="黑体"/>
                <w:szCs w:val="21"/>
              </w:rPr>
              <w:t>要求</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14:paraId="2390CD01">
            <w:pPr>
              <w:spacing w:line="360" w:lineRule="auto"/>
              <w:jc w:val="center"/>
              <w:rPr>
                <w:rFonts w:ascii="黑体" w:hAnsi="宋体" w:eastAsia="黑体"/>
                <w:szCs w:val="21"/>
              </w:rPr>
            </w:pPr>
            <w:r>
              <w:rPr>
                <w:rFonts w:ascii="黑体" w:hAnsi="宋体" w:eastAsia="黑体"/>
                <w:szCs w:val="21"/>
              </w:rPr>
              <w:t>响应</w:t>
            </w:r>
            <w:r>
              <w:rPr>
                <w:rFonts w:hint="eastAsia" w:ascii="黑体" w:hAnsi="宋体" w:eastAsia="黑体"/>
                <w:szCs w:val="21"/>
              </w:rPr>
              <w:t>内容</w:t>
            </w:r>
          </w:p>
        </w:tc>
        <w:tc>
          <w:tcPr>
            <w:tcW w:w="351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14:paraId="415FDE8F">
            <w:pPr>
              <w:spacing w:line="360" w:lineRule="auto"/>
              <w:jc w:val="center"/>
              <w:rPr>
                <w:rFonts w:ascii="黑体" w:hAnsi="宋体" w:eastAsia="黑体"/>
                <w:szCs w:val="21"/>
              </w:rPr>
            </w:pPr>
            <w:r>
              <w:rPr>
                <w:rFonts w:ascii="黑体" w:hAnsi="宋体" w:eastAsia="黑体"/>
                <w:szCs w:val="21"/>
              </w:rPr>
              <w:t>偏离及其影响</w:t>
            </w:r>
          </w:p>
        </w:tc>
      </w:tr>
      <w:tr w14:paraId="08F6364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50828DB6">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14:paraId="700E393B">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14:paraId="2BD7985E">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14:paraId="0A73F207">
            <w:pPr>
              <w:rPr>
                <w:rFonts w:ascii="仿宋" w:hAnsi="仿宋" w:eastAsia="仿宋"/>
                <w:sz w:val="32"/>
                <w:szCs w:val="32"/>
              </w:rPr>
            </w:pPr>
          </w:p>
        </w:tc>
      </w:tr>
      <w:tr w14:paraId="19EF82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14:paraId="608BEEAD">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12F93135">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07D069EF">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6B7A9A7A">
            <w:pPr>
              <w:rPr>
                <w:rFonts w:ascii="仿宋" w:hAnsi="仿宋" w:eastAsia="仿宋"/>
                <w:sz w:val="32"/>
                <w:szCs w:val="32"/>
              </w:rPr>
            </w:pPr>
          </w:p>
        </w:tc>
      </w:tr>
      <w:tr w14:paraId="10C7D39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14:paraId="009EA7D5">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3ABE09A0">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5EA493BC">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5F81E825">
            <w:pPr>
              <w:rPr>
                <w:rFonts w:ascii="仿宋" w:hAnsi="仿宋" w:eastAsia="仿宋"/>
                <w:sz w:val="32"/>
                <w:szCs w:val="32"/>
              </w:rPr>
            </w:pPr>
          </w:p>
        </w:tc>
      </w:tr>
      <w:tr w14:paraId="346D0EE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14:paraId="4F9BEFCE">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35B0E00D">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5D739A55">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6842218E">
            <w:pPr>
              <w:rPr>
                <w:rFonts w:ascii="仿宋" w:hAnsi="仿宋" w:eastAsia="仿宋"/>
                <w:sz w:val="32"/>
                <w:szCs w:val="32"/>
              </w:rPr>
            </w:pPr>
          </w:p>
        </w:tc>
      </w:tr>
      <w:tr w14:paraId="6EF1135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14:paraId="662D7096">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44CEBD05">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21AA3788">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2CAAEDAC">
            <w:pPr>
              <w:rPr>
                <w:rFonts w:ascii="仿宋" w:hAnsi="仿宋" w:eastAsia="仿宋"/>
                <w:sz w:val="32"/>
                <w:szCs w:val="32"/>
              </w:rPr>
            </w:pPr>
          </w:p>
        </w:tc>
      </w:tr>
      <w:tr w14:paraId="12A8BB6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1D1C1B14">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14:paraId="6DEB0BD6">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14:paraId="029DD1A8">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14:paraId="09419CA0">
            <w:pPr>
              <w:rPr>
                <w:rFonts w:ascii="仿宋" w:hAnsi="仿宋" w:eastAsia="仿宋"/>
                <w:sz w:val="32"/>
                <w:szCs w:val="32"/>
              </w:rPr>
            </w:pPr>
          </w:p>
        </w:tc>
      </w:tr>
    </w:tbl>
    <w:p w14:paraId="3A634E10">
      <w:pPr>
        <w:rPr>
          <w:rFonts w:ascii="楷体_GB2312" w:hAnsi="宋体" w:eastAsia="楷体_GB2312"/>
          <w:sz w:val="28"/>
          <w:szCs w:val="28"/>
        </w:rPr>
      </w:pPr>
      <w:r>
        <w:rPr>
          <w:rFonts w:ascii="楷体_GB2312" w:hAnsi="宋体" w:eastAsia="楷体_GB2312"/>
          <w:sz w:val="28"/>
          <w:szCs w:val="28"/>
        </w:rPr>
        <w:t>注：1、此表要求</w:t>
      </w:r>
      <w:r>
        <w:rPr>
          <w:rFonts w:hint="eastAsia" w:ascii="楷体_GB2312" w:hAnsi="宋体" w:eastAsia="楷体_GB2312"/>
          <w:sz w:val="28"/>
          <w:szCs w:val="28"/>
        </w:rPr>
        <w:t>响应内容</w:t>
      </w:r>
      <w:r>
        <w:rPr>
          <w:rFonts w:ascii="楷体_GB2312" w:hAnsi="宋体" w:eastAsia="楷体_GB2312"/>
          <w:sz w:val="28"/>
          <w:szCs w:val="28"/>
        </w:rPr>
        <w:t>与</w:t>
      </w:r>
      <w:r>
        <w:rPr>
          <w:rFonts w:hint="eastAsia" w:ascii="楷体_GB2312" w:hAnsi="宋体" w:eastAsia="楷体_GB2312"/>
          <w:b/>
          <w:bCs/>
          <w:sz w:val="28"/>
          <w:szCs w:val="28"/>
          <w:lang w:eastAsia="zh-CN"/>
        </w:rPr>
        <w:t>“附件</w:t>
      </w:r>
      <w:r>
        <w:rPr>
          <w:rFonts w:hint="eastAsia" w:ascii="楷体_GB2312" w:hAnsi="宋体" w:eastAsia="楷体_GB2312"/>
          <w:b/>
          <w:bCs/>
          <w:sz w:val="28"/>
          <w:szCs w:val="28"/>
          <w:lang w:val="en-US" w:eastAsia="zh-CN"/>
        </w:rPr>
        <w:t>1 三、技术服务要求</w:t>
      </w:r>
      <w:r>
        <w:rPr>
          <w:rFonts w:hint="eastAsia" w:ascii="楷体_GB2312" w:hAnsi="宋体" w:eastAsia="楷体_GB2312"/>
          <w:b/>
          <w:bCs/>
          <w:sz w:val="28"/>
          <w:szCs w:val="28"/>
          <w:lang w:eastAsia="zh-CN"/>
        </w:rPr>
        <w:t>”</w:t>
      </w:r>
      <w:r>
        <w:rPr>
          <w:rFonts w:ascii="楷体_GB2312" w:hAnsi="宋体" w:eastAsia="楷体_GB2312"/>
          <w:sz w:val="28"/>
          <w:szCs w:val="28"/>
        </w:rPr>
        <w:t>一一对应、逐一列出</w:t>
      </w:r>
      <w:r>
        <w:rPr>
          <w:rFonts w:hint="eastAsia" w:ascii="楷体_GB2312" w:hAnsi="宋体" w:eastAsia="楷体_GB2312"/>
          <w:sz w:val="28"/>
          <w:szCs w:val="28"/>
          <w:lang w:val="en-US" w:eastAsia="zh-CN"/>
        </w:rPr>
        <w:t>并附证明材料或承诺函加盖公章</w:t>
      </w:r>
      <w:r>
        <w:rPr>
          <w:rFonts w:ascii="楷体_GB2312" w:hAnsi="宋体" w:eastAsia="楷体_GB2312"/>
          <w:sz w:val="28"/>
          <w:szCs w:val="28"/>
        </w:rPr>
        <w:t>；2．</w:t>
      </w:r>
      <w:r>
        <w:rPr>
          <w:rFonts w:hint="eastAsia" w:ascii="楷体_GB2312" w:hAnsi="宋体" w:eastAsia="楷体_GB2312"/>
          <w:sz w:val="28"/>
          <w:szCs w:val="28"/>
        </w:rPr>
        <w:t>据实填写偏离及其影响的内容，</w:t>
      </w:r>
      <w:r>
        <w:rPr>
          <w:rFonts w:ascii="楷体_GB2312" w:hAnsi="宋体" w:eastAsia="楷体_GB2312"/>
          <w:sz w:val="28"/>
          <w:szCs w:val="28"/>
        </w:rPr>
        <w:t>不得虚假响应，否则</w:t>
      </w:r>
      <w:r>
        <w:rPr>
          <w:rFonts w:hint="eastAsia" w:ascii="楷体_GB2312" w:hAnsi="宋体" w:eastAsia="楷体_GB2312"/>
          <w:sz w:val="28"/>
          <w:szCs w:val="28"/>
        </w:rPr>
        <w:t>视为</w:t>
      </w:r>
      <w:r>
        <w:rPr>
          <w:rFonts w:ascii="楷体_GB2312" w:hAnsi="宋体" w:eastAsia="楷体_GB2312"/>
          <w:sz w:val="28"/>
          <w:szCs w:val="28"/>
        </w:rPr>
        <w:t>无效并按规定追究其相关责任。</w:t>
      </w:r>
    </w:p>
    <w:p w14:paraId="5475CA84">
      <w:pPr>
        <w:ind w:firstLine="3360" w:firstLineChars="1050"/>
        <w:rPr>
          <w:rFonts w:ascii="仿宋" w:hAnsi="仿宋" w:eastAsia="仿宋"/>
          <w:sz w:val="32"/>
          <w:szCs w:val="32"/>
        </w:rPr>
      </w:pPr>
    </w:p>
    <w:p w14:paraId="5C8111E2">
      <w:pPr>
        <w:ind w:firstLine="4620" w:firstLineChars="1650"/>
        <w:rPr>
          <w:rFonts w:ascii="楷体_GB2312" w:hAnsi="宋体" w:eastAsia="楷体_GB2312"/>
          <w:sz w:val="28"/>
          <w:szCs w:val="28"/>
        </w:rPr>
      </w:pPr>
      <w:r>
        <w:rPr>
          <w:rFonts w:ascii="楷体_GB2312" w:hAnsi="宋体" w:eastAsia="楷体_GB2312"/>
          <w:sz w:val="28"/>
          <w:szCs w:val="28"/>
        </w:rPr>
        <w:t>法定代表人或授权代表签字：</w:t>
      </w:r>
    </w:p>
    <w:p w14:paraId="0F96034B">
      <w:pPr>
        <w:ind w:firstLine="4620" w:firstLineChars="1650"/>
        <w:rPr>
          <w:rFonts w:ascii="楷体_GB2312" w:hAnsi="宋体" w:eastAsia="楷体_GB2312"/>
          <w:sz w:val="28"/>
          <w:szCs w:val="28"/>
        </w:rPr>
      </w:pPr>
      <w:r>
        <w:rPr>
          <w:rFonts w:ascii="楷体_GB2312" w:hAnsi="宋体" w:eastAsia="楷体_GB2312"/>
          <w:sz w:val="28"/>
          <w:szCs w:val="28"/>
        </w:rPr>
        <w:t>日期:</w:t>
      </w:r>
    </w:p>
    <w:p w14:paraId="02704B55">
      <w:pPr>
        <w:jc w:val="left"/>
        <w:rPr>
          <w:rFonts w:ascii="仿宋" w:hAnsi="仿宋" w:eastAsia="仿宋"/>
          <w:sz w:val="28"/>
          <w:szCs w:val="28"/>
        </w:rPr>
      </w:pPr>
    </w:p>
    <w:p w14:paraId="769AF65A">
      <w:pPr>
        <w:jc w:val="left"/>
        <w:rPr>
          <w:rFonts w:ascii="仿宋" w:hAnsi="仿宋" w:eastAsia="仿宋"/>
          <w:sz w:val="28"/>
          <w:szCs w:val="28"/>
        </w:rPr>
      </w:pPr>
    </w:p>
    <w:p w14:paraId="65D657D1">
      <w:pPr>
        <w:jc w:val="left"/>
        <w:rPr>
          <w:rFonts w:ascii="仿宋" w:hAnsi="仿宋" w:eastAsia="仿宋"/>
          <w:sz w:val="28"/>
          <w:szCs w:val="28"/>
        </w:rPr>
      </w:pPr>
    </w:p>
    <w:p w14:paraId="665F37E3">
      <w:pPr>
        <w:jc w:val="left"/>
        <w:rPr>
          <w:rFonts w:ascii="仿宋" w:hAnsi="仿宋" w:eastAsia="仿宋"/>
          <w:sz w:val="28"/>
          <w:szCs w:val="28"/>
        </w:rPr>
      </w:pPr>
    </w:p>
    <w:p w14:paraId="1D77F714">
      <w:pPr>
        <w:jc w:val="left"/>
        <w:rPr>
          <w:rFonts w:ascii="仿宋" w:hAnsi="仿宋" w:eastAsia="仿宋"/>
          <w:sz w:val="28"/>
          <w:szCs w:val="28"/>
        </w:rPr>
      </w:pPr>
    </w:p>
    <w:p w14:paraId="72B53331">
      <w:pPr>
        <w:jc w:val="left"/>
        <w:rPr>
          <w:rFonts w:ascii="仿宋" w:hAnsi="仿宋" w:eastAsia="仿宋"/>
          <w:sz w:val="28"/>
          <w:szCs w:val="28"/>
        </w:rPr>
      </w:pPr>
    </w:p>
    <w:p w14:paraId="0BCDBBFF">
      <w:pPr>
        <w:outlineLvl w:val="0"/>
        <w:rPr>
          <w:rFonts w:hint="eastAsia" w:ascii="仿宋" w:hAnsi="仿宋" w:eastAsia="仿宋"/>
          <w:sz w:val="28"/>
          <w:szCs w:val="28"/>
        </w:rPr>
      </w:pPr>
    </w:p>
    <w:p w14:paraId="2A6EF1CC">
      <w:pPr>
        <w:outlineLvl w:val="0"/>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6</w:t>
      </w:r>
      <w:r>
        <w:rPr>
          <w:rFonts w:hint="eastAsia" w:ascii="仿宋" w:hAnsi="仿宋" w:eastAsia="仿宋"/>
          <w:sz w:val="28"/>
          <w:szCs w:val="28"/>
        </w:rPr>
        <w:t>:</w:t>
      </w:r>
    </w:p>
    <w:p w14:paraId="17E2D139">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法定代表人身份授权书</w:t>
      </w:r>
    </w:p>
    <w:p w14:paraId="0ECDBDBE">
      <w:pPr>
        <w:ind w:firstLine="560" w:firstLineChars="200"/>
        <w:rPr>
          <w:rFonts w:ascii="仿宋" w:hAnsi="仿宋" w:eastAsia="仿宋" w:cs="仿宋"/>
          <w:sz w:val="28"/>
          <w:szCs w:val="28"/>
        </w:rPr>
      </w:pPr>
    </w:p>
    <w:p w14:paraId="641D279F">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授权声明：</w:t>
      </w:r>
    </w:p>
    <w:p w14:paraId="77043B28">
      <w:pPr>
        <w:tabs>
          <w:tab w:val="left" w:pos="720"/>
          <w:tab w:val="left" w:pos="6300"/>
        </w:tabs>
        <w:spacing w:line="360" w:lineRule="auto"/>
        <w:rPr>
          <w:rFonts w:ascii="仿宋" w:hAnsi="仿宋" w:eastAsia="仿宋" w:cs="仿宋"/>
          <w:sz w:val="28"/>
          <w:szCs w:val="28"/>
        </w:rPr>
      </w:pPr>
      <w:r>
        <w:rPr>
          <w:rFonts w:hint="eastAsia" w:ascii="仿宋" w:hAnsi="仿宋" w:eastAsia="仿宋" w:cs="仿宋"/>
          <w:sz w:val="28"/>
          <w:szCs w:val="28"/>
        </w:rPr>
        <w:t>（法定代表人姓名、职务）授权（被授权人姓名、职务）为</w:t>
      </w:r>
      <w:r>
        <w:rPr>
          <w:rFonts w:hint="eastAsia" w:ascii="仿宋" w:hAnsi="仿宋" w:eastAsia="仿宋" w:cs="仿宋"/>
          <w:sz w:val="28"/>
          <w:szCs w:val="28"/>
          <w:lang w:val="zh-CN"/>
        </w:rPr>
        <w:t>我方</w:t>
      </w:r>
      <w:r>
        <w:rPr>
          <w:rFonts w:hint="eastAsia" w:ascii="仿宋" w:hAnsi="仿宋" w:eastAsia="仿宋" w:cs="仿宋"/>
          <w:sz w:val="28"/>
          <w:szCs w:val="28"/>
          <w:u w:val="single"/>
          <w:lang w:val="zh-CN"/>
        </w:rPr>
        <w:t xml:space="preserve"> “                                          ”</w:t>
      </w:r>
      <w:r>
        <w:rPr>
          <w:rFonts w:hint="eastAsia" w:ascii="仿宋" w:hAnsi="仿宋" w:eastAsia="仿宋" w:cs="仿宋"/>
          <w:sz w:val="28"/>
          <w:szCs w:val="28"/>
          <w:lang w:val="zh-CN"/>
        </w:rPr>
        <w:t>项目遴选活动的合法代表，以我方名义全权处理该项目有关遴选、签订合同以及执行合同等一切事宜。</w:t>
      </w:r>
    </w:p>
    <w:p w14:paraId="1D0C4B72">
      <w:pPr>
        <w:ind w:firstLine="560" w:firstLineChars="200"/>
        <w:rPr>
          <w:rFonts w:ascii="仿宋" w:hAnsi="仿宋" w:eastAsia="仿宋" w:cs="仿宋"/>
          <w:sz w:val="28"/>
          <w:szCs w:val="28"/>
        </w:rPr>
      </w:pPr>
      <w:r>
        <w:rPr>
          <w:rFonts w:hint="eastAsia" w:ascii="仿宋" w:hAnsi="仿宋" w:eastAsia="仿宋" w:cs="仿宋"/>
          <w:sz w:val="28"/>
          <w:szCs w:val="28"/>
        </w:rPr>
        <w:t>特此声明。</w:t>
      </w:r>
    </w:p>
    <w:p w14:paraId="50159BDA">
      <w:pPr>
        <w:ind w:firstLine="560" w:firstLineChars="200"/>
        <w:rPr>
          <w:rFonts w:ascii="仿宋" w:hAnsi="仿宋" w:eastAsia="仿宋" w:cs="仿宋"/>
          <w:sz w:val="28"/>
          <w:szCs w:val="28"/>
        </w:rPr>
      </w:pPr>
      <w:r>
        <w:rPr>
          <w:rFonts w:hint="eastAsia" w:ascii="仿宋" w:hAnsi="仿宋" w:eastAsia="仿宋" w:cs="仿宋"/>
          <w:sz w:val="28"/>
          <w:szCs w:val="28"/>
        </w:rPr>
        <w:t>法定代表人签字：</w:t>
      </w:r>
    </w:p>
    <w:p w14:paraId="2DA8A8F6">
      <w:pPr>
        <w:ind w:firstLine="560" w:firstLineChars="200"/>
        <w:rPr>
          <w:rFonts w:ascii="仿宋" w:hAnsi="仿宋" w:eastAsia="仿宋" w:cs="仿宋"/>
          <w:sz w:val="28"/>
          <w:szCs w:val="28"/>
        </w:rPr>
      </w:pPr>
      <w:r>
        <w:rPr>
          <w:rFonts w:hint="eastAsia" w:ascii="仿宋" w:hAnsi="仿宋" w:eastAsia="仿宋" w:cs="仿宋"/>
          <w:sz w:val="28"/>
          <w:szCs w:val="28"/>
        </w:rPr>
        <w:t>授权代表签字：</w:t>
      </w:r>
    </w:p>
    <w:p w14:paraId="51FAC895">
      <w:pPr>
        <w:ind w:firstLine="560" w:firstLineChars="200"/>
        <w:rPr>
          <w:rFonts w:ascii="仿宋" w:hAnsi="仿宋" w:eastAsia="仿宋" w:cs="仿宋"/>
          <w:sz w:val="28"/>
          <w:szCs w:val="28"/>
        </w:rPr>
      </w:pPr>
      <w:r>
        <w:rPr>
          <w:rFonts w:hint="eastAsia" w:ascii="仿宋" w:hAnsi="仿宋" w:eastAsia="仿宋" w:cs="仿宋"/>
          <w:sz w:val="28"/>
          <w:szCs w:val="28"/>
        </w:rPr>
        <w:t>投标人名称：（加盖公章）</w:t>
      </w:r>
    </w:p>
    <w:p w14:paraId="5EB66DBF">
      <w:pPr>
        <w:ind w:firstLine="560" w:firstLineChars="200"/>
        <w:rPr>
          <w:rFonts w:ascii="仿宋" w:hAnsi="仿宋" w:eastAsia="仿宋" w:cs="仿宋"/>
          <w:sz w:val="28"/>
          <w:szCs w:val="28"/>
        </w:rPr>
      </w:pPr>
      <w:r>
        <w:rPr>
          <w:rFonts w:hint="eastAsia" w:ascii="仿宋" w:hAnsi="仿宋" w:eastAsia="仿宋" w:cs="仿宋"/>
          <w:sz w:val="28"/>
          <w:szCs w:val="28"/>
        </w:rPr>
        <w:t>日期：</w:t>
      </w:r>
    </w:p>
    <w:p w14:paraId="76BDDB6F">
      <w:pPr>
        <w:ind w:firstLine="560" w:firstLineChars="200"/>
        <w:rPr>
          <w:rFonts w:ascii="仿宋" w:hAnsi="仿宋" w:eastAsia="仿宋" w:cs="仿宋"/>
          <w:sz w:val="28"/>
          <w:szCs w:val="28"/>
        </w:rPr>
      </w:pPr>
      <w:r>
        <w:rPr>
          <w:rFonts w:hint="eastAsia" w:ascii="仿宋" w:hAnsi="仿宋" w:eastAsia="仿宋" w:cs="仿宋"/>
          <w:sz w:val="28"/>
          <w:szCs w:val="28"/>
        </w:rPr>
        <w:t>说明：上述证明文件附有法定代表人、被授权代表身份证复印件（加盖公章）时才能生效。</w:t>
      </w:r>
    </w:p>
    <w:p w14:paraId="5B38E1C1">
      <w:pPr>
        <w:ind w:firstLine="560" w:firstLineChars="200"/>
        <w:rPr>
          <w:rFonts w:ascii="仿宋" w:hAnsi="仿宋" w:eastAsia="仿宋" w:cs="仿宋"/>
          <w:sz w:val="28"/>
          <w:szCs w:val="28"/>
        </w:rPr>
      </w:pPr>
    </w:p>
    <w:p w14:paraId="4DF2187F">
      <w:pPr>
        <w:ind w:firstLine="560" w:firstLineChars="200"/>
        <w:rPr>
          <w:rFonts w:ascii="仿宋" w:hAnsi="仿宋" w:eastAsia="仿宋" w:cs="仿宋"/>
          <w:sz w:val="28"/>
          <w:szCs w:val="28"/>
        </w:rPr>
      </w:pPr>
    </w:p>
    <w:p w14:paraId="1345483B">
      <w:pPr>
        <w:ind w:firstLine="560" w:firstLineChars="200"/>
        <w:rPr>
          <w:rFonts w:ascii="仿宋" w:hAnsi="仿宋" w:eastAsia="仿宋" w:cs="仿宋"/>
          <w:sz w:val="28"/>
          <w:szCs w:val="28"/>
        </w:rPr>
      </w:pPr>
    </w:p>
    <w:p w14:paraId="7403E95B">
      <w:pPr>
        <w:ind w:firstLine="560" w:firstLineChars="200"/>
        <w:rPr>
          <w:rFonts w:ascii="仿宋" w:hAnsi="仿宋" w:eastAsia="仿宋"/>
          <w:sz w:val="28"/>
          <w:szCs w:val="28"/>
        </w:rPr>
      </w:pPr>
    </w:p>
    <w:p w14:paraId="7DDB9B86">
      <w:pPr>
        <w:rPr>
          <w:rFonts w:ascii="仿宋" w:hAnsi="仿宋" w:eastAsia="仿宋"/>
          <w:sz w:val="28"/>
          <w:szCs w:val="28"/>
        </w:rPr>
      </w:pPr>
    </w:p>
    <w:p w14:paraId="10EB65F9">
      <w:pPr>
        <w:rPr>
          <w:rFonts w:ascii="仿宋" w:hAnsi="仿宋" w:eastAsia="仿宋"/>
          <w:sz w:val="28"/>
          <w:szCs w:val="28"/>
        </w:rPr>
      </w:pPr>
    </w:p>
    <w:p w14:paraId="523CB8DF">
      <w:pPr>
        <w:outlineLvl w:val="0"/>
        <w:rPr>
          <w:rFonts w:hint="eastAsia" w:ascii="仿宋" w:hAnsi="仿宋" w:eastAsia="仿宋"/>
          <w:sz w:val="28"/>
          <w:szCs w:val="28"/>
        </w:rPr>
      </w:pPr>
    </w:p>
    <w:p w14:paraId="587E36BE">
      <w:pPr>
        <w:outlineLvl w:val="0"/>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7</w:t>
      </w:r>
      <w:r>
        <w:rPr>
          <w:rFonts w:hint="eastAsia" w:ascii="仿宋" w:hAnsi="仿宋" w:eastAsia="仿宋"/>
          <w:sz w:val="28"/>
          <w:szCs w:val="28"/>
        </w:rPr>
        <w:t>：</w:t>
      </w:r>
    </w:p>
    <w:p w14:paraId="05D0C111">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反商业贿赂承诺书</w:t>
      </w:r>
    </w:p>
    <w:p w14:paraId="1D540A2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为维护卫生行业的整体形象，保证合作的合法开展，维护贵院医疗、管理工作的正常秩序，保障广大患者的健康和利益，本厂家、商家、公司特郑重承诺如下：</w:t>
      </w:r>
    </w:p>
    <w:p w14:paraId="1B4989C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一、严格按照《招标投标法》《药品管理法》《反不正当竞争法》等有关法律、法规、规章、政策的规定，规范遴选工作以及达成协议后的合作工作，保证做到合法遴选、正当竞争、廉洁经营。</w:t>
      </w:r>
    </w:p>
    <w:p w14:paraId="4F4AF30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二、本厂家、商家、公司保证在遴选工作及合作工作中承诺做到：</w:t>
      </w:r>
    </w:p>
    <w:p w14:paraId="18A09A5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.不与其他参选机构相互串通遴选报价，损害贵院的合法权益；</w:t>
      </w:r>
    </w:p>
    <w:p w14:paraId="5DAD1E5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.不与其他参选机构串通遴选，损害国家利益、社会公共利益或他人的合法权益；</w:t>
      </w:r>
    </w:p>
    <w:p w14:paraId="4B0C804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.不以向项目遴选方或者评审小组成员行贿的手段谋取中选；</w:t>
      </w:r>
    </w:p>
    <w:p w14:paraId="73919ED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.遴选报价不违反相关法律的规定，也不以他人名义参加遴选或者以其他方式弄虚作假，骗取中选；</w:t>
      </w:r>
    </w:p>
    <w:p w14:paraId="36FA586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.保证不以其他任何方式扰乱贵院的遴选工作；</w:t>
      </w:r>
    </w:p>
    <w:p w14:paraId="6E7B912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.保证不在遴选中采取账外暗中给予回扣的手段腐蚀、贿赂相关人员；</w:t>
      </w:r>
    </w:p>
    <w:p w14:paraId="2684FB8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.保证不以任何名义包括以宣传费、临床促销费、开单费、处方费、广告费、免费度假、考察旅游、房屋装修等任何名义给予贵院有关人员以财物或者其他利益；</w:t>
      </w:r>
    </w:p>
    <w:p w14:paraId="073F87E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.保证不干扰贵院的正常工作秩序；</w:t>
      </w:r>
    </w:p>
    <w:p w14:paraId="671EA1E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.保证不以其他任何不正当竞争手段推销药品、医疗器械、设备、物资。</w:t>
      </w:r>
    </w:p>
    <w:p w14:paraId="04DA2F3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三、本厂家、商家、公司保证竭力维护贵院的声誉，不做任何有损贵院形象的事情。</w:t>
      </w:r>
    </w:p>
    <w:p w14:paraId="607F029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四、本厂家、商家、公司保证加强对遴选、促销等工作的领导、监督和检查；加强对本厂家、商家、公司工作人员进行相关法律、法规、规章、政策等的教育工作，切实要求本厂家、商家、公司相关工作人员不得采取各类回扣手段腐蚀、贿赂相关人员。</w:t>
      </w:r>
    </w:p>
    <w:p w14:paraId="5EF573E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五、对本厂家、商家、公司及本厂家、商家、公司工作人员采取以上手段遴选、促销等，干扰贵院正常工作秩序，损害贵院形象的，本厂家、商家、公司保证：</w:t>
      </w:r>
    </w:p>
    <w:p w14:paraId="409850D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.对尚处在遴选阶段的，贵院有权取消本厂家、商家、公司的遴选资格；已经中选的，贵院有权取消中选；对已经获得准入资格的，贵院有权随时取消本厂家、商家、公司的准入资格；</w:t>
      </w:r>
    </w:p>
    <w:p w14:paraId="51020B7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.对本厂家、商家、公司相关工作人员作出严肃处理；</w:t>
      </w:r>
    </w:p>
    <w:p w14:paraId="158DC31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.对由于本厂家、商家、公司或本厂家、商家、公司工作人员的上述行为给贵院造成经济或名誉损失的，由本厂家、商家、公司负责，并愿意承担全部民事赔偿责任。</w:t>
      </w:r>
    </w:p>
    <w:p w14:paraId="7060C06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六、遴选项目名称：</w:t>
      </w:r>
    </w:p>
    <w:p w14:paraId="5DD7E942">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8"/>
          <w:szCs w:val="28"/>
        </w:rPr>
      </w:pPr>
    </w:p>
    <w:p w14:paraId="17F64A7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本《承诺书》一式二份（一份由承诺人自存；一份随竞价书传递）</w:t>
      </w:r>
    </w:p>
    <w:p w14:paraId="0FD828ED">
      <w:pPr>
        <w:keepNext w:val="0"/>
        <w:keepLines w:val="0"/>
        <w:pageBreakBefore w:val="0"/>
        <w:widowControl w:val="0"/>
        <w:kinsoku/>
        <w:wordWrap/>
        <w:overflowPunct/>
        <w:topLinePunct w:val="0"/>
        <w:autoSpaceDE/>
        <w:autoSpaceDN/>
        <w:bidi w:val="0"/>
        <w:adjustRightInd/>
        <w:snapToGrid/>
        <w:spacing w:line="600" w:lineRule="exact"/>
        <w:ind w:firstLine="2660" w:firstLineChars="950"/>
        <w:jc w:val="center"/>
        <w:textAlignment w:val="auto"/>
        <w:rPr>
          <w:rFonts w:ascii="仿宋" w:hAnsi="仿宋" w:eastAsia="仿宋"/>
          <w:sz w:val="28"/>
          <w:szCs w:val="28"/>
        </w:rPr>
      </w:pPr>
      <w:r>
        <w:rPr>
          <w:rFonts w:hint="eastAsia" w:ascii="仿宋" w:hAnsi="仿宋" w:eastAsia="仿宋"/>
          <w:sz w:val="28"/>
          <w:szCs w:val="28"/>
        </w:rPr>
        <w:t>承诺企业名称（公章）</w:t>
      </w:r>
    </w:p>
    <w:p w14:paraId="6EEBF800">
      <w:pPr>
        <w:keepNext w:val="0"/>
        <w:keepLines w:val="0"/>
        <w:pageBreakBefore w:val="0"/>
        <w:widowControl w:val="0"/>
        <w:kinsoku/>
        <w:wordWrap/>
        <w:overflowPunct/>
        <w:topLinePunct w:val="0"/>
        <w:autoSpaceDE/>
        <w:autoSpaceDN/>
        <w:bidi w:val="0"/>
        <w:adjustRightInd/>
        <w:snapToGrid/>
        <w:spacing w:line="600" w:lineRule="exact"/>
        <w:ind w:firstLine="2660" w:firstLineChars="950"/>
        <w:jc w:val="center"/>
        <w:textAlignment w:val="auto"/>
        <w:rPr>
          <w:rFonts w:ascii="仿宋" w:hAnsi="仿宋" w:eastAsia="仿宋"/>
          <w:sz w:val="28"/>
          <w:szCs w:val="28"/>
        </w:rPr>
      </w:pPr>
      <w:r>
        <w:rPr>
          <w:rFonts w:hint="eastAsia" w:ascii="仿宋" w:hAnsi="仿宋" w:eastAsia="仿宋"/>
          <w:sz w:val="28"/>
          <w:szCs w:val="28"/>
        </w:rPr>
        <w:t>法人代表或委托代理人（承诺人）</w:t>
      </w:r>
    </w:p>
    <w:p w14:paraId="21217430">
      <w:pPr>
        <w:outlineLvl w:val="0"/>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8</w:t>
      </w:r>
      <w:r>
        <w:rPr>
          <w:rFonts w:hint="eastAsia" w:ascii="仿宋" w:hAnsi="仿宋" w:eastAsia="仿宋"/>
          <w:sz w:val="28"/>
          <w:szCs w:val="28"/>
        </w:rPr>
        <w:t>：</w:t>
      </w:r>
    </w:p>
    <w:p w14:paraId="3EF06193">
      <w:pPr>
        <w:adjustRightInd w:val="0"/>
        <w:snapToGrid w:val="0"/>
        <w:spacing w:line="480" w:lineRule="auto"/>
        <w:ind w:firstLine="640"/>
        <w:jc w:val="center"/>
        <w:outlineLvl w:val="0"/>
        <w:rPr>
          <w:rFonts w:hint="eastAsia" w:ascii="仿宋" w:hAnsi="仿宋" w:eastAsia="仿宋" w:cs="Times New Roman"/>
          <w:b/>
          <w:sz w:val="32"/>
          <w:szCs w:val="28"/>
          <w:highlight w:val="none"/>
        </w:rPr>
      </w:pPr>
      <w:r>
        <w:rPr>
          <w:rFonts w:hint="eastAsia" w:ascii="仿宋" w:hAnsi="仿宋" w:eastAsia="仿宋" w:cs="Times New Roman"/>
          <w:b/>
          <w:sz w:val="32"/>
          <w:szCs w:val="28"/>
          <w:highlight w:val="none"/>
          <w:lang w:eastAsia="zh-CN"/>
        </w:rPr>
        <w:t>参选机构</w:t>
      </w:r>
      <w:r>
        <w:rPr>
          <w:rFonts w:hint="eastAsia" w:ascii="仿宋" w:hAnsi="仿宋" w:eastAsia="仿宋" w:cs="Times New Roman"/>
          <w:b/>
          <w:sz w:val="32"/>
          <w:szCs w:val="28"/>
          <w:highlight w:val="none"/>
        </w:rPr>
        <w:t>遵守</w:t>
      </w:r>
      <w:r>
        <w:rPr>
          <w:rFonts w:hint="eastAsia" w:ascii="仿宋" w:hAnsi="仿宋" w:eastAsia="仿宋" w:cs="Times New Roman"/>
          <w:b/>
          <w:sz w:val="32"/>
          <w:szCs w:val="28"/>
          <w:highlight w:val="none"/>
          <w:lang w:eastAsia="zh-CN"/>
        </w:rPr>
        <w:t>遴选</w:t>
      </w:r>
      <w:r>
        <w:rPr>
          <w:rFonts w:hint="eastAsia" w:ascii="仿宋" w:hAnsi="仿宋" w:eastAsia="仿宋" w:cs="Times New Roman"/>
          <w:b/>
          <w:sz w:val="32"/>
          <w:szCs w:val="28"/>
          <w:highlight w:val="none"/>
        </w:rPr>
        <w:t>纪律承诺书</w:t>
      </w:r>
    </w:p>
    <w:p w14:paraId="389CD15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p>
    <w:p w14:paraId="2D2514E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rPr>
      </w:pPr>
      <w:r>
        <w:rPr>
          <w:rFonts w:hint="eastAsia" w:ascii="仿宋" w:hAnsi="仿宋" w:eastAsia="仿宋" w:cs="仿宋"/>
          <w:sz w:val="28"/>
          <w:szCs w:val="28"/>
        </w:rPr>
        <w:t>致四川省妇幼保健院：</w:t>
      </w:r>
    </w:p>
    <w:p w14:paraId="16A423D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我单位作为本次</w:t>
      </w:r>
      <w:r>
        <w:rPr>
          <w:rFonts w:hint="eastAsia" w:ascii="仿宋" w:hAnsi="仿宋" w:eastAsia="仿宋" w:cs="仿宋"/>
          <w:sz w:val="28"/>
          <w:szCs w:val="28"/>
          <w:lang w:eastAsia="zh-CN"/>
        </w:rPr>
        <w:t>遴选</w:t>
      </w:r>
      <w:r>
        <w:rPr>
          <w:rFonts w:hint="eastAsia" w:ascii="仿宋" w:hAnsi="仿宋" w:eastAsia="仿宋" w:cs="仿宋"/>
          <w:sz w:val="28"/>
          <w:szCs w:val="28"/>
        </w:rPr>
        <w:t>项目的</w:t>
      </w:r>
      <w:r>
        <w:rPr>
          <w:rFonts w:hint="eastAsia" w:ascii="仿宋" w:hAnsi="仿宋" w:eastAsia="仿宋" w:cs="仿宋"/>
          <w:sz w:val="28"/>
          <w:szCs w:val="28"/>
          <w:lang w:eastAsia="zh-CN"/>
        </w:rPr>
        <w:t>参选机构</w:t>
      </w:r>
      <w:r>
        <w:rPr>
          <w:rFonts w:hint="eastAsia" w:ascii="仿宋" w:hAnsi="仿宋" w:eastAsia="仿宋" w:cs="仿宋"/>
          <w:sz w:val="28"/>
          <w:szCs w:val="28"/>
        </w:rPr>
        <w:t>，根据响应文件要求，现郑重承诺如下：</w:t>
      </w:r>
    </w:p>
    <w:p w14:paraId="17DBFA3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活动，我单位不存在与单位负责人为同一人或者存在直接控股、管理关系的其他</w:t>
      </w:r>
      <w:r>
        <w:rPr>
          <w:rFonts w:hint="eastAsia" w:ascii="仿宋" w:hAnsi="仿宋" w:eastAsia="仿宋" w:cs="仿宋"/>
          <w:sz w:val="28"/>
          <w:szCs w:val="28"/>
          <w:lang w:eastAsia="zh-CN"/>
        </w:rPr>
        <w:t>参选机构</w:t>
      </w:r>
      <w:r>
        <w:rPr>
          <w:rFonts w:hint="eastAsia" w:ascii="仿宋" w:hAnsi="仿宋" w:eastAsia="仿宋" w:cs="仿宋"/>
          <w:sz w:val="28"/>
          <w:szCs w:val="28"/>
        </w:rPr>
        <w:t>参与同一合同项下的</w:t>
      </w:r>
      <w:r>
        <w:rPr>
          <w:rFonts w:hint="eastAsia" w:ascii="仿宋" w:hAnsi="仿宋" w:eastAsia="仿宋" w:cs="仿宋"/>
          <w:sz w:val="28"/>
          <w:szCs w:val="28"/>
          <w:lang w:eastAsia="zh-CN"/>
        </w:rPr>
        <w:t>遴选</w:t>
      </w:r>
      <w:r>
        <w:rPr>
          <w:rFonts w:hint="eastAsia" w:ascii="仿宋" w:hAnsi="仿宋" w:eastAsia="仿宋" w:cs="仿宋"/>
          <w:sz w:val="28"/>
          <w:szCs w:val="28"/>
        </w:rPr>
        <w:t>活动的行为。</w:t>
      </w:r>
    </w:p>
    <w:p w14:paraId="2DEDE70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活动，不得直接或者间接从</w:t>
      </w:r>
      <w:r>
        <w:rPr>
          <w:rFonts w:hint="eastAsia" w:ascii="仿宋" w:hAnsi="仿宋" w:eastAsia="仿宋" w:cs="仿宋"/>
          <w:sz w:val="28"/>
          <w:szCs w:val="28"/>
          <w:lang w:eastAsia="zh-CN"/>
        </w:rPr>
        <w:t>遴选</w:t>
      </w:r>
      <w:r>
        <w:rPr>
          <w:rFonts w:hint="eastAsia" w:ascii="仿宋" w:hAnsi="仿宋" w:eastAsia="仿宋" w:cs="仿宋"/>
          <w:sz w:val="28"/>
          <w:szCs w:val="28"/>
        </w:rPr>
        <w:t>人处获得其他</w:t>
      </w:r>
      <w:r>
        <w:rPr>
          <w:rFonts w:hint="eastAsia" w:ascii="仿宋" w:hAnsi="仿宋" w:eastAsia="仿宋" w:cs="仿宋"/>
          <w:sz w:val="28"/>
          <w:szCs w:val="28"/>
          <w:lang w:eastAsia="zh-CN"/>
        </w:rPr>
        <w:t>参选机构</w:t>
      </w:r>
      <w:r>
        <w:rPr>
          <w:rFonts w:hint="eastAsia" w:ascii="仿宋" w:hAnsi="仿宋" w:eastAsia="仿宋" w:cs="仿宋"/>
          <w:sz w:val="28"/>
          <w:szCs w:val="28"/>
        </w:rPr>
        <w:t>的相关情况并修改其投标文件或者响应文件。</w:t>
      </w:r>
    </w:p>
    <w:p w14:paraId="58DCF3A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活动，不得按照</w:t>
      </w:r>
      <w:r>
        <w:rPr>
          <w:rFonts w:hint="eastAsia" w:ascii="仿宋" w:hAnsi="仿宋" w:eastAsia="仿宋" w:cs="仿宋"/>
          <w:sz w:val="28"/>
          <w:szCs w:val="28"/>
          <w:lang w:eastAsia="zh-CN"/>
        </w:rPr>
        <w:t>遴选</w:t>
      </w:r>
      <w:r>
        <w:rPr>
          <w:rFonts w:hint="eastAsia" w:ascii="仿宋" w:hAnsi="仿宋" w:eastAsia="仿宋" w:cs="仿宋"/>
          <w:sz w:val="28"/>
          <w:szCs w:val="28"/>
        </w:rPr>
        <w:t>人的授意撤换、修改投标文件或者响应文件。</w:t>
      </w:r>
    </w:p>
    <w:p w14:paraId="21A6D37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活动，不得和本次</w:t>
      </w:r>
      <w:r>
        <w:rPr>
          <w:rFonts w:hint="eastAsia" w:ascii="仿宋" w:hAnsi="仿宋" w:eastAsia="仿宋" w:cs="仿宋"/>
          <w:sz w:val="28"/>
          <w:szCs w:val="28"/>
          <w:lang w:eastAsia="zh-CN"/>
        </w:rPr>
        <w:t>遴选参选机构</w:t>
      </w:r>
      <w:r>
        <w:rPr>
          <w:rFonts w:hint="eastAsia" w:ascii="仿宋" w:hAnsi="仿宋" w:eastAsia="仿宋" w:cs="仿宋"/>
          <w:sz w:val="28"/>
          <w:szCs w:val="28"/>
        </w:rPr>
        <w:t>之间协商报价、技术方案等投标文件或者响应文件的实质性内容。</w:t>
      </w:r>
    </w:p>
    <w:p w14:paraId="3DE43D1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五、本次</w:t>
      </w:r>
      <w:r>
        <w:rPr>
          <w:rFonts w:hint="eastAsia" w:ascii="仿宋" w:hAnsi="仿宋" w:eastAsia="仿宋" w:cs="仿宋"/>
          <w:sz w:val="28"/>
          <w:szCs w:val="28"/>
          <w:lang w:eastAsia="zh-CN"/>
        </w:rPr>
        <w:t>遴选</w:t>
      </w:r>
      <w:r>
        <w:rPr>
          <w:rFonts w:hint="eastAsia" w:ascii="仿宋" w:hAnsi="仿宋" w:eastAsia="仿宋" w:cs="仿宋"/>
          <w:sz w:val="28"/>
          <w:szCs w:val="28"/>
        </w:rPr>
        <w:t>活动中，不存在属于同一集团、协会、商会等组织成员的</w:t>
      </w:r>
      <w:r>
        <w:rPr>
          <w:rFonts w:hint="eastAsia" w:ascii="仿宋" w:hAnsi="仿宋" w:eastAsia="仿宋" w:cs="仿宋"/>
          <w:sz w:val="28"/>
          <w:szCs w:val="28"/>
          <w:lang w:eastAsia="zh-CN"/>
        </w:rPr>
        <w:t>参选机构</w:t>
      </w:r>
      <w:r>
        <w:rPr>
          <w:rFonts w:hint="eastAsia" w:ascii="仿宋" w:hAnsi="仿宋" w:eastAsia="仿宋" w:cs="仿宋"/>
          <w:sz w:val="28"/>
          <w:szCs w:val="28"/>
        </w:rPr>
        <w:t>按照该组织要求协同参加本次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w:t>
      </w:r>
    </w:p>
    <w:p w14:paraId="455BA71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活动，不存在与其他</w:t>
      </w:r>
      <w:r>
        <w:rPr>
          <w:rFonts w:hint="eastAsia" w:ascii="仿宋" w:hAnsi="仿宋" w:eastAsia="仿宋" w:cs="仿宋"/>
          <w:sz w:val="28"/>
          <w:szCs w:val="28"/>
          <w:lang w:eastAsia="zh-CN"/>
        </w:rPr>
        <w:t>参选机构</w:t>
      </w:r>
      <w:r>
        <w:rPr>
          <w:rFonts w:hint="eastAsia" w:ascii="仿宋" w:hAnsi="仿宋" w:eastAsia="仿宋" w:cs="仿宋"/>
          <w:sz w:val="28"/>
          <w:szCs w:val="28"/>
        </w:rPr>
        <w:t>之间事先约定由某一特定</w:t>
      </w:r>
      <w:r>
        <w:rPr>
          <w:rFonts w:hint="eastAsia" w:ascii="仿宋" w:hAnsi="仿宋" w:eastAsia="仿宋" w:cs="仿宋"/>
          <w:sz w:val="28"/>
          <w:szCs w:val="28"/>
          <w:lang w:eastAsia="zh-CN"/>
        </w:rPr>
        <w:t>参选机构</w:t>
      </w:r>
      <w:r>
        <w:rPr>
          <w:rFonts w:hint="eastAsia" w:ascii="仿宋" w:hAnsi="仿宋" w:eastAsia="仿宋" w:cs="仿宋"/>
          <w:sz w:val="28"/>
          <w:szCs w:val="28"/>
        </w:rPr>
        <w:t>中标、成交。</w:t>
      </w:r>
    </w:p>
    <w:p w14:paraId="2F2165F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活动，不存在与其他</w:t>
      </w:r>
      <w:r>
        <w:rPr>
          <w:rFonts w:hint="eastAsia" w:ascii="仿宋" w:hAnsi="仿宋" w:eastAsia="仿宋" w:cs="仿宋"/>
          <w:sz w:val="28"/>
          <w:szCs w:val="28"/>
          <w:lang w:eastAsia="zh-CN"/>
        </w:rPr>
        <w:t>参选机构</w:t>
      </w:r>
      <w:r>
        <w:rPr>
          <w:rFonts w:hint="eastAsia" w:ascii="仿宋" w:hAnsi="仿宋" w:eastAsia="仿宋" w:cs="仿宋"/>
          <w:sz w:val="28"/>
          <w:szCs w:val="28"/>
        </w:rPr>
        <w:t>商定部分</w:t>
      </w:r>
      <w:r>
        <w:rPr>
          <w:rFonts w:hint="eastAsia" w:ascii="仿宋" w:hAnsi="仿宋" w:eastAsia="仿宋" w:cs="仿宋"/>
          <w:sz w:val="28"/>
          <w:szCs w:val="28"/>
          <w:lang w:eastAsia="zh-CN"/>
        </w:rPr>
        <w:t>参选机构</w:t>
      </w:r>
      <w:r>
        <w:rPr>
          <w:rFonts w:hint="eastAsia" w:ascii="仿宋" w:hAnsi="仿宋" w:eastAsia="仿宋" w:cs="仿宋"/>
          <w:sz w:val="28"/>
          <w:szCs w:val="28"/>
        </w:rPr>
        <w:t>放弃参加</w:t>
      </w:r>
      <w:r>
        <w:rPr>
          <w:rFonts w:hint="eastAsia" w:ascii="仿宋" w:hAnsi="仿宋" w:eastAsia="仿宋" w:cs="仿宋"/>
          <w:sz w:val="28"/>
          <w:szCs w:val="28"/>
          <w:lang w:eastAsia="zh-CN"/>
        </w:rPr>
        <w:t>遴选</w:t>
      </w:r>
      <w:r>
        <w:rPr>
          <w:rFonts w:hint="eastAsia" w:ascii="仿宋" w:hAnsi="仿宋" w:eastAsia="仿宋" w:cs="仿宋"/>
          <w:sz w:val="28"/>
          <w:szCs w:val="28"/>
        </w:rPr>
        <w:t>活动或者放弃中标、成交。</w:t>
      </w:r>
    </w:p>
    <w:p w14:paraId="0557EC9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活动，不存在我单位的投标文件或者响应文件由其他参与本项目的单位或个人编制或委托办理投标事宜。</w:t>
      </w:r>
    </w:p>
    <w:p w14:paraId="2CCCF51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活动，不存在我单位与</w:t>
      </w:r>
      <w:r>
        <w:rPr>
          <w:rFonts w:hint="eastAsia" w:ascii="仿宋" w:hAnsi="仿宋" w:eastAsia="仿宋" w:cs="仿宋"/>
          <w:sz w:val="28"/>
          <w:szCs w:val="28"/>
          <w:lang w:eastAsia="zh-CN"/>
        </w:rPr>
        <w:t>遴选</w:t>
      </w:r>
      <w:r>
        <w:rPr>
          <w:rFonts w:hint="eastAsia" w:ascii="仿宋" w:hAnsi="仿宋" w:eastAsia="仿宋" w:cs="仿宋"/>
          <w:sz w:val="28"/>
          <w:szCs w:val="28"/>
        </w:rPr>
        <w:t>人之间、</w:t>
      </w:r>
      <w:r>
        <w:rPr>
          <w:rFonts w:hint="eastAsia" w:ascii="仿宋" w:hAnsi="仿宋" w:eastAsia="仿宋" w:cs="仿宋"/>
          <w:sz w:val="28"/>
          <w:szCs w:val="28"/>
          <w:lang w:eastAsia="zh-CN"/>
        </w:rPr>
        <w:t>参选机构</w:t>
      </w:r>
      <w:r>
        <w:rPr>
          <w:rFonts w:hint="eastAsia" w:ascii="仿宋" w:hAnsi="仿宋" w:eastAsia="仿宋" w:cs="仿宋"/>
          <w:sz w:val="28"/>
          <w:szCs w:val="28"/>
        </w:rPr>
        <w:t>相互之间，为谋求特定</w:t>
      </w:r>
      <w:r>
        <w:rPr>
          <w:rFonts w:hint="eastAsia" w:ascii="仿宋" w:hAnsi="仿宋" w:eastAsia="仿宋" w:cs="仿宋"/>
          <w:sz w:val="28"/>
          <w:szCs w:val="28"/>
          <w:lang w:eastAsia="zh-CN"/>
        </w:rPr>
        <w:t>参选机构</w:t>
      </w:r>
      <w:r>
        <w:rPr>
          <w:rFonts w:hint="eastAsia" w:ascii="仿宋" w:hAnsi="仿宋" w:eastAsia="仿宋" w:cs="仿宋"/>
          <w:sz w:val="28"/>
          <w:szCs w:val="28"/>
        </w:rPr>
        <w:t>中标、成交或者排斥其他</w:t>
      </w:r>
      <w:r>
        <w:rPr>
          <w:rFonts w:hint="eastAsia" w:ascii="仿宋" w:hAnsi="仿宋" w:eastAsia="仿宋" w:cs="仿宋"/>
          <w:sz w:val="28"/>
          <w:szCs w:val="28"/>
          <w:lang w:eastAsia="zh-CN"/>
        </w:rPr>
        <w:t>参选机构</w:t>
      </w:r>
      <w:r>
        <w:rPr>
          <w:rFonts w:hint="eastAsia" w:ascii="仿宋" w:hAnsi="仿宋" w:eastAsia="仿宋" w:cs="仿宋"/>
          <w:sz w:val="28"/>
          <w:szCs w:val="28"/>
        </w:rPr>
        <w:t>的其他串通行为。</w:t>
      </w:r>
    </w:p>
    <w:p w14:paraId="57B549A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十、与我方存在直接控股关系的单位为：</w:t>
      </w:r>
      <w:r>
        <w:rPr>
          <w:rFonts w:hint="eastAsia" w:ascii="仿宋" w:hAnsi="仿宋" w:eastAsia="仿宋" w:cs="仿宋"/>
          <w:sz w:val="28"/>
          <w:szCs w:val="28"/>
          <w:u w:val="single"/>
        </w:rPr>
        <w:t>XXXXXX</w:t>
      </w:r>
      <w:r>
        <w:rPr>
          <w:rFonts w:hint="eastAsia" w:ascii="仿宋" w:hAnsi="仿宋" w:eastAsia="仿宋" w:cs="仿宋"/>
          <w:sz w:val="28"/>
          <w:szCs w:val="28"/>
        </w:rPr>
        <w:t>；存在管理关系单位为：</w:t>
      </w:r>
      <w:r>
        <w:rPr>
          <w:rFonts w:hint="eastAsia" w:ascii="仿宋" w:hAnsi="仿宋" w:eastAsia="仿宋" w:cs="仿宋"/>
          <w:sz w:val="28"/>
          <w:szCs w:val="28"/>
          <w:u w:val="single"/>
        </w:rPr>
        <w:t>XXXXXX</w:t>
      </w:r>
      <w:r>
        <w:rPr>
          <w:rFonts w:hint="eastAsia" w:ascii="仿宋" w:hAnsi="仿宋" w:eastAsia="仿宋" w:cs="仿宋"/>
          <w:sz w:val="28"/>
          <w:szCs w:val="28"/>
        </w:rPr>
        <w:t>。</w:t>
      </w:r>
    </w:p>
    <w:p w14:paraId="6759EB6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14:paraId="7D1C472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p>
    <w:p w14:paraId="67CB18F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参选机构</w:t>
      </w:r>
      <w:r>
        <w:rPr>
          <w:rFonts w:hint="eastAsia" w:ascii="仿宋" w:hAnsi="仿宋" w:eastAsia="仿宋" w:cs="仿宋"/>
          <w:sz w:val="28"/>
          <w:szCs w:val="28"/>
        </w:rPr>
        <w:t>名称（单位公章）：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313D3E7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法定代表人/单位负责人或授权代表</w:t>
      </w:r>
    </w:p>
    <w:p w14:paraId="13755641">
      <w:pPr>
        <w:adjustRightInd w:val="0"/>
        <w:snapToGrid w:val="0"/>
        <w:spacing w:line="480" w:lineRule="auto"/>
        <w:jc w:val="both"/>
        <w:outlineLvl w:val="0"/>
        <w:rPr>
          <w:rFonts w:hint="eastAsia" w:ascii="仿宋" w:hAnsi="仿宋" w:eastAsia="仿宋"/>
          <w:sz w:val="28"/>
          <w:szCs w:val="28"/>
        </w:rPr>
      </w:pPr>
    </w:p>
    <w:p w14:paraId="3EEFCFA7">
      <w:pPr>
        <w:adjustRightInd w:val="0"/>
        <w:snapToGrid w:val="0"/>
        <w:spacing w:line="480" w:lineRule="auto"/>
        <w:jc w:val="both"/>
        <w:outlineLvl w:val="0"/>
        <w:rPr>
          <w:rFonts w:hint="eastAsia" w:ascii="仿宋" w:hAnsi="仿宋" w:eastAsia="仿宋"/>
          <w:sz w:val="28"/>
          <w:szCs w:val="28"/>
        </w:rPr>
      </w:pPr>
    </w:p>
    <w:p w14:paraId="319789C0">
      <w:pPr>
        <w:adjustRightInd w:val="0"/>
        <w:snapToGrid w:val="0"/>
        <w:spacing w:line="480" w:lineRule="auto"/>
        <w:jc w:val="both"/>
        <w:outlineLvl w:val="0"/>
        <w:rPr>
          <w:rFonts w:hint="eastAsia" w:ascii="仿宋" w:hAnsi="仿宋" w:eastAsia="仿宋"/>
          <w:sz w:val="28"/>
          <w:szCs w:val="28"/>
        </w:rPr>
      </w:pPr>
    </w:p>
    <w:p w14:paraId="4DCB7EE4">
      <w:pPr>
        <w:adjustRightInd w:val="0"/>
        <w:snapToGrid w:val="0"/>
        <w:spacing w:line="480" w:lineRule="auto"/>
        <w:jc w:val="both"/>
        <w:outlineLvl w:val="0"/>
        <w:rPr>
          <w:rFonts w:hint="eastAsia" w:ascii="仿宋" w:hAnsi="仿宋" w:eastAsia="仿宋"/>
          <w:sz w:val="28"/>
          <w:szCs w:val="28"/>
        </w:rPr>
      </w:pPr>
    </w:p>
    <w:p w14:paraId="4E11FAEB">
      <w:pPr>
        <w:adjustRightInd w:val="0"/>
        <w:snapToGrid w:val="0"/>
        <w:spacing w:line="480" w:lineRule="auto"/>
        <w:jc w:val="both"/>
        <w:outlineLvl w:val="0"/>
        <w:rPr>
          <w:rFonts w:hint="eastAsia" w:ascii="仿宋" w:hAnsi="仿宋" w:eastAsia="仿宋"/>
          <w:sz w:val="28"/>
          <w:szCs w:val="28"/>
        </w:rPr>
      </w:pPr>
    </w:p>
    <w:p w14:paraId="3ACDA979">
      <w:pPr>
        <w:adjustRightInd w:val="0"/>
        <w:snapToGrid w:val="0"/>
        <w:spacing w:line="480" w:lineRule="auto"/>
        <w:jc w:val="both"/>
        <w:outlineLvl w:val="0"/>
        <w:rPr>
          <w:rFonts w:hint="eastAsia" w:ascii="仿宋" w:hAnsi="仿宋" w:eastAsia="仿宋"/>
          <w:sz w:val="28"/>
          <w:szCs w:val="28"/>
        </w:rPr>
      </w:pPr>
    </w:p>
    <w:p w14:paraId="54D66DE2">
      <w:pPr>
        <w:adjustRightInd w:val="0"/>
        <w:snapToGrid w:val="0"/>
        <w:spacing w:line="480" w:lineRule="auto"/>
        <w:jc w:val="both"/>
        <w:outlineLvl w:val="0"/>
        <w:rPr>
          <w:rFonts w:hint="eastAsia" w:ascii="仿宋" w:hAnsi="仿宋" w:eastAsia="仿宋"/>
          <w:sz w:val="28"/>
          <w:szCs w:val="28"/>
        </w:rPr>
      </w:pPr>
    </w:p>
    <w:p w14:paraId="110C1120">
      <w:pPr>
        <w:adjustRightInd w:val="0"/>
        <w:snapToGrid w:val="0"/>
        <w:spacing w:line="480" w:lineRule="auto"/>
        <w:jc w:val="both"/>
        <w:outlineLvl w:val="0"/>
        <w:rPr>
          <w:rFonts w:hint="eastAsia" w:ascii="仿宋" w:hAnsi="仿宋" w:eastAsia="仿宋"/>
          <w:sz w:val="28"/>
          <w:szCs w:val="28"/>
        </w:rPr>
      </w:pPr>
    </w:p>
    <w:p w14:paraId="670E9C0E">
      <w:pPr>
        <w:adjustRightInd w:val="0"/>
        <w:snapToGrid w:val="0"/>
        <w:spacing w:line="480" w:lineRule="auto"/>
        <w:jc w:val="both"/>
        <w:outlineLvl w:val="0"/>
        <w:rPr>
          <w:rFonts w:hint="eastAsia" w:ascii="仿宋" w:hAnsi="仿宋" w:eastAsia="仿宋"/>
          <w:b/>
          <w:sz w:val="32"/>
          <w:szCs w:val="28"/>
        </w:rPr>
      </w:pPr>
      <w:r>
        <w:rPr>
          <w:rFonts w:hint="eastAsia" w:ascii="仿宋" w:hAnsi="仿宋" w:eastAsia="仿宋"/>
          <w:sz w:val="28"/>
          <w:szCs w:val="28"/>
        </w:rPr>
        <w:t>附件</w:t>
      </w:r>
      <w:r>
        <w:rPr>
          <w:rFonts w:hint="eastAsia" w:ascii="仿宋" w:hAnsi="仿宋" w:eastAsia="仿宋"/>
          <w:sz w:val="28"/>
          <w:szCs w:val="28"/>
          <w:lang w:val="en-US" w:eastAsia="zh-CN"/>
        </w:rPr>
        <w:t>9</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b/>
          <w:sz w:val="32"/>
          <w:szCs w:val="28"/>
        </w:rPr>
        <w:t>评审办法（综合评分明细表）</w:t>
      </w:r>
    </w:p>
    <w:tbl>
      <w:tblPr>
        <w:tblStyle w:val="18"/>
        <w:tblpPr w:leftFromText="180" w:rightFromText="180" w:vertAnchor="text" w:horzAnchor="page" w:tblpX="1080" w:tblpY="892"/>
        <w:tblOverlap w:val="never"/>
        <w:tblW w:w="9238" w:type="dxa"/>
        <w:tblInd w:w="0" w:type="dxa"/>
        <w:tblLayout w:type="fixed"/>
        <w:tblCellMar>
          <w:top w:w="0" w:type="dxa"/>
          <w:left w:w="108" w:type="dxa"/>
          <w:bottom w:w="0" w:type="dxa"/>
          <w:right w:w="108" w:type="dxa"/>
        </w:tblCellMar>
      </w:tblPr>
      <w:tblGrid>
        <w:gridCol w:w="682"/>
        <w:gridCol w:w="1668"/>
        <w:gridCol w:w="717"/>
        <w:gridCol w:w="3135"/>
        <w:gridCol w:w="735"/>
        <w:gridCol w:w="2301"/>
      </w:tblGrid>
      <w:tr w14:paraId="4B15E4C7">
        <w:tblPrEx>
          <w:tblCellMar>
            <w:top w:w="0" w:type="dxa"/>
            <w:left w:w="108" w:type="dxa"/>
            <w:bottom w:w="0" w:type="dxa"/>
            <w:right w:w="108" w:type="dxa"/>
          </w:tblCellMar>
        </w:tblPrEx>
        <w:trPr>
          <w:trHeight w:val="842"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3CC21AD6">
            <w:pPr>
              <w:widowControl/>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序号</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14:paraId="1809A19D">
            <w:pPr>
              <w:widowControl/>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评分因素及权重</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595DB480">
            <w:pPr>
              <w:widowControl/>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分值</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1B42BD61">
            <w:pPr>
              <w:widowControl/>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评分标准</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B3A91FC">
            <w:pPr>
              <w:widowControl/>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得分</w:t>
            </w:r>
          </w:p>
        </w:tc>
        <w:tc>
          <w:tcPr>
            <w:tcW w:w="2301" w:type="dxa"/>
            <w:tcBorders>
              <w:top w:val="single" w:color="000000" w:sz="4" w:space="0"/>
              <w:left w:val="single" w:color="000000" w:sz="4" w:space="0"/>
              <w:bottom w:val="single" w:color="000000" w:sz="4" w:space="0"/>
              <w:right w:val="single" w:color="000000" w:sz="4" w:space="0"/>
            </w:tcBorders>
            <w:noWrap w:val="0"/>
            <w:vAlign w:val="center"/>
          </w:tcPr>
          <w:p w14:paraId="2DF8D0EC">
            <w:pPr>
              <w:widowControl/>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备注</w:t>
            </w:r>
          </w:p>
        </w:tc>
      </w:tr>
      <w:tr w14:paraId="5350828E">
        <w:tblPrEx>
          <w:tblCellMar>
            <w:top w:w="0" w:type="dxa"/>
            <w:left w:w="108" w:type="dxa"/>
            <w:bottom w:w="0" w:type="dxa"/>
            <w:right w:w="108" w:type="dxa"/>
          </w:tblCellMar>
        </w:tblPrEx>
        <w:trPr>
          <w:trHeight w:val="2300" w:hRule="atLeast"/>
        </w:trPr>
        <w:tc>
          <w:tcPr>
            <w:tcW w:w="682" w:type="dxa"/>
            <w:vMerge w:val="restart"/>
            <w:tcBorders>
              <w:top w:val="single" w:color="000000" w:sz="4" w:space="0"/>
              <w:left w:val="single" w:color="000000" w:sz="4" w:space="0"/>
              <w:right w:val="single" w:color="000000" w:sz="4" w:space="0"/>
            </w:tcBorders>
            <w:noWrap/>
            <w:vAlign w:val="center"/>
          </w:tcPr>
          <w:p w14:paraId="62C39FFA">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668" w:type="dxa"/>
            <w:vMerge w:val="restart"/>
            <w:tcBorders>
              <w:top w:val="single" w:color="000000" w:sz="4" w:space="0"/>
              <w:left w:val="single" w:color="000000" w:sz="4" w:space="0"/>
              <w:right w:val="single" w:color="000000" w:sz="4" w:space="0"/>
            </w:tcBorders>
            <w:noWrap/>
            <w:vAlign w:val="center"/>
          </w:tcPr>
          <w:p w14:paraId="22D79A96">
            <w:pPr>
              <w:widowControl/>
              <w:jc w:val="center"/>
              <w:textAlignment w:val="center"/>
              <w:rPr>
                <w:rFonts w:hint="eastAsia" w:ascii="仿宋" w:hAnsi="仿宋" w:eastAsia="仿宋" w:cs="仿宋"/>
                <w:b w:val="0"/>
                <w:bCs w:val="0"/>
                <w:color w:val="auto"/>
                <w:kern w:val="0"/>
                <w:sz w:val="24"/>
                <w:szCs w:val="24"/>
                <w:lang w:bidi="ar"/>
              </w:rPr>
            </w:pPr>
            <w:r>
              <w:rPr>
                <w:rFonts w:hint="eastAsia" w:ascii="仿宋" w:hAnsi="仿宋" w:eastAsia="仿宋" w:cs="仿宋"/>
                <w:b w:val="0"/>
                <w:bCs w:val="0"/>
                <w:color w:val="auto"/>
                <w:kern w:val="0"/>
                <w:sz w:val="24"/>
                <w:szCs w:val="24"/>
                <w:lang w:bidi="ar"/>
              </w:rPr>
              <w:t>价格</w:t>
            </w:r>
          </w:p>
          <w:p w14:paraId="26A19F41">
            <w:pPr>
              <w:pStyle w:val="2"/>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bidi="ar"/>
              </w:rPr>
              <w:t>（</w:t>
            </w:r>
            <w:r>
              <w:rPr>
                <w:rFonts w:hint="eastAsia" w:ascii="仿宋" w:hAnsi="仿宋" w:eastAsia="仿宋" w:cs="仿宋"/>
                <w:b w:val="0"/>
                <w:bCs w:val="0"/>
                <w:color w:val="auto"/>
                <w:kern w:val="0"/>
                <w:sz w:val="24"/>
                <w:szCs w:val="24"/>
                <w:lang w:val="en-US" w:eastAsia="zh-CN" w:bidi="ar"/>
              </w:rPr>
              <w:t>30</w:t>
            </w:r>
            <w:r>
              <w:rPr>
                <w:rFonts w:hint="eastAsia" w:ascii="仿宋" w:hAnsi="仿宋" w:eastAsia="仿宋" w:cs="仿宋"/>
                <w:b w:val="0"/>
                <w:bCs w:val="0"/>
                <w:color w:val="auto"/>
                <w:kern w:val="0"/>
                <w:sz w:val="24"/>
                <w:szCs w:val="24"/>
                <w:lang w:bidi="ar"/>
              </w:rPr>
              <w:t>%）</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5EF571E7">
            <w:pPr>
              <w:widowControl/>
              <w:jc w:val="center"/>
              <w:textAlignment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kern w:val="0"/>
                <w:sz w:val="24"/>
                <w:szCs w:val="24"/>
                <w:lang w:val="en-US" w:eastAsia="zh-CN" w:bidi="ar"/>
              </w:rPr>
              <w:t>20</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0B3CCDD1">
            <w:pPr>
              <w:jc w:val="both"/>
              <w:rPr>
                <w:rFonts w:hint="eastAsia" w:ascii="仿宋" w:hAnsi="仿宋" w:eastAsia="仿宋" w:cs="仿宋"/>
                <w:b w:val="0"/>
                <w:bCs w:val="0"/>
                <w:color w:val="auto"/>
                <w:sz w:val="24"/>
                <w:szCs w:val="24"/>
              </w:rPr>
            </w:pPr>
            <w:r>
              <w:rPr>
                <w:rFonts w:hint="eastAsia" w:ascii="仿宋" w:hAnsi="仿宋" w:eastAsia="仿宋"/>
                <w:b w:val="0"/>
                <w:bCs w:val="0"/>
                <w:color w:val="auto"/>
                <w:sz w:val="24"/>
                <w:szCs w:val="32"/>
                <w:highlight w:val="none"/>
                <w:lang w:eastAsia="zh-CN"/>
              </w:rPr>
              <w:t>年度综合管理固定费用</w:t>
            </w:r>
            <w:r>
              <w:rPr>
                <w:rFonts w:hint="eastAsia" w:ascii="仿宋" w:hAnsi="仿宋" w:eastAsia="仿宋" w:cs="仿宋"/>
                <w:b w:val="0"/>
                <w:bCs w:val="0"/>
                <w:color w:val="auto"/>
                <w:kern w:val="0"/>
                <w:sz w:val="24"/>
                <w:szCs w:val="24"/>
                <w:lang w:bidi="ar"/>
              </w:rPr>
              <w:t>：</w:t>
            </w:r>
            <w:r>
              <w:rPr>
                <w:rFonts w:hint="eastAsia" w:ascii="仿宋" w:hAnsi="仿宋" w:eastAsia="仿宋" w:cs="仿宋"/>
                <w:b w:val="0"/>
                <w:bCs w:val="0"/>
                <w:i w:val="0"/>
                <w:iCs w:val="0"/>
                <w:color w:val="auto"/>
                <w:kern w:val="0"/>
                <w:sz w:val="24"/>
                <w:szCs w:val="24"/>
                <w:highlight w:val="none"/>
                <w:u w:val="none"/>
                <w:lang w:val="en-US" w:eastAsia="zh-CN" w:bidi="ar"/>
              </w:rPr>
              <w:t>价格最高的投标报价为评标基准价，其价格为满分。其他投标人的价格分统一按照下列公式计算：投标报价得分=（投标报价/评标基准价）×20。</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FF49DB6">
            <w:pPr>
              <w:rPr>
                <w:rFonts w:hint="eastAsia" w:ascii="仿宋" w:hAnsi="仿宋" w:eastAsia="仿宋" w:cs="仿宋"/>
                <w:color w:val="000000"/>
                <w:sz w:val="24"/>
                <w:szCs w:val="24"/>
              </w:rPr>
            </w:pPr>
          </w:p>
        </w:tc>
        <w:tc>
          <w:tcPr>
            <w:tcW w:w="2301" w:type="dxa"/>
            <w:vMerge w:val="restart"/>
            <w:tcBorders>
              <w:top w:val="single" w:color="000000" w:sz="4" w:space="0"/>
              <w:left w:val="single" w:color="000000" w:sz="4" w:space="0"/>
              <w:right w:val="single" w:color="000000" w:sz="4" w:space="0"/>
            </w:tcBorders>
            <w:noWrap w:val="0"/>
            <w:vAlign w:val="center"/>
          </w:tcPr>
          <w:p w14:paraId="0F9367D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评分的取值按四舍五入法，保留小数点后两位。</w:t>
            </w:r>
          </w:p>
        </w:tc>
      </w:tr>
      <w:tr w14:paraId="1D7FE348">
        <w:tblPrEx>
          <w:tblCellMar>
            <w:top w:w="0" w:type="dxa"/>
            <w:left w:w="108" w:type="dxa"/>
            <w:bottom w:w="0" w:type="dxa"/>
            <w:right w:w="108" w:type="dxa"/>
          </w:tblCellMar>
        </w:tblPrEx>
        <w:trPr>
          <w:trHeight w:val="2300" w:hRule="atLeast"/>
        </w:trPr>
        <w:tc>
          <w:tcPr>
            <w:tcW w:w="682" w:type="dxa"/>
            <w:vMerge w:val="continue"/>
            <w:tcBorders>
              <w:left w:val="single" w:color="000000" w:sz="4" w:space="0"/>
              <w:right w:val="single" w:color="000000" w:sz="4" w:space="0"/>
            </w:tcBorders>
            <w:noWrap/>
            <w:vAlign w:val="center"/>
          </w:tcPr>
          <w:p w14:paraId="5476F08B">
            <w:pPr>
              <w:jc w:val="center"/>
              <w:rPr>
                <w:rFonts w:hint="eastAsia" w:ascii="仿宋" w:hAnsi="仿宋" w:eastAsia="仿宋" w:cs="仿宋"/>
                <w:color w:val="000000"/>
                <w:sz w:val="24"/>
                <w:szCs w:val="24"/>
              </w:rPr>
            </w:pPr>
          </w:p>
        </w:tc>
        <w:tc>
          <w:tcPr>
            <w:tcW w:w="1668" w:type="dxa"/>
            <w:vMerge w:val="continue"/>
            <w:tcBorders>
              <w:left w:val="single" w:color="000000" w:sz="4" w:space="0"/>
              <w:right w:val="single" w:color="000000" w:sz="4" w:space="0"/>
            </w:tcBorders>
            <w:noWrap/>
            <w:vAlign w:val="center"/>
          </w:tcPr>
          <w:p w14:paraId="46252A98">
            <w:pPr>
              <w:pStyle w:val="2"/>
              <w:jc w:val="center"/>
              <w:rPr>
                <w:rFonts w:hint="eastAsia" w:ascii="仿宋" w:hAnsi="仿宋" w:eastAsia="仿宋" w:cs="仿宋"/>
                <w:b w:val="0"/>
                <w:bCs w:val="0"/>
                <w:color w:val="auto"/>
                <w:kern w:val="0"/>
                <w:sz w:val="24"/>
                <w:szCs w:val="24"/>
                <w:lang w:bidi="ar"/>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18FF075B">
            <w:pPr>
              <w:widowControl/>
              <w:jc w:val="center"/>
              <w:textAlignment w:val="center"/>
              <w:rPr>
                <w:rFonts w:hint="default"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10</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1516CA24">
            <w:pPr>
              <w:widowControl/>
              <w:jc w:val="left"/>
              <w:textAlignment w:val="center"/>
              <w:rPr>
                <w:rFonts w:hint="eastAsia" w:ascii="仿宋" w:hAnsi="仿宋" w:eastAsia="仿宋" w:cs="仿宋"/>
                <w:b w:val="0"/>
                <w:bCs w:val="0"/>
                <w:color w:val="auto"/>
                <w:sz w:val="24"/>
                <w:szCs w:val="24"/>
              </w:rPr>
            </w:pPr>
            <w:r>
              <w:rPr>
                <w:rFonts w:hint="eastAsia" w:ascii="仿宋" w:hAnsi="仿宋" w:eastAsia="仿宋"/>
                <w:b w:val="0"/>
                <w:bCs w:val="0"/>
                <w:color w:val="auto"/>
                <w:sz w:val="24"/>
                <w:szCs w:val="32"/>
                <w:highlight w:val="none"/>
                <w:lang w:eastAsia="zh-CN"/>
              </w:rPr>
              <w:t>后续新增单台设备年度综合管理固定费用</w:t>
            </w:r>
            <w:r>
              <w:rPr>
                <w:rFonts w:hint="eastAsia" w:ascii="仿宋" w:hAnsi="仿宋" w:eastAsia="仿宋"/>
                <w:b w:val="0"/>
                <w:bCs w:val="0"/>
                <w:color w:val="auto"/>
                <w:sz w:val="24"/>
                <w:szCs w:val="32"/>
                <w:lang w:eastAsia="zh-CN"/>
              </w:rPr>
              <w:t>：</w:t>
            </w:r>
            <w:r>
              <w:rPr>
                <w:rFonts w:hint="eastAsia" w:ascii="仿宋" w:hAnsi="仿宋" w:eastAsia="仿宋" w:cs="仿宋"/>
                <w:b w:val="0"/>
                <w:bCs w:val="0"/>
                <w:i w:val="0"/>
                <w:iCs w:val="0"/>
                <w:color w:val="auto"/>
                <w:kern w:val="0"/>
                <w:sz w:val="24"/>
                <w:szCs w:val="24"/>
                <w:highlight w:val="none"/>
                <w:u w:val="none"/>
                <w:lang w:val="en-US" w:eastAsia="zh-CN" w:bidi="ar"/>
              </w:rPr>
              <w:t>价格最高的投标报价为评标基准价，其价格为满分。其他投标人的价格分统一按照下列公式计算：投标报价得分=（投标报价/评标基准价）×10。</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F816A68">
            <w:pPr>
              <w:rPr>
                <w:rFonts w:hint="eastAsia" w:ascii="仿宋" w:hAnsi="仿宋" w:eastAsia="仿宋" w:cs="仿宋"/>
                <w:color w:val="000000"/>
                <w:sz w:val="24"/>
                <w:szCs w:val="24"/>
              </w:rPr>
            </w:pPr>
          </w:p>
        </w:tc>
        <w:tc>
          <w:tcPr>
            <w:tcW w:w="2301" w:type="dxa"/>
            <w:vMerge w:val="continue"/>
            <w:tcBorders>
              <w:left w:val="single" w:color="000000" w:sz="4" w:space="0"/>
              <w:bottom w:val="single" w:color="000000" w:sz="4" w:space="0"/>
              <w:right w:val="single" w:color="000000" w:sz="4" w:space="0"/>
            </w:tcBorders>
            <w:noWrap w:val="0"/>
            <w:vAlign w:val="center"/>
          </w:tcPr>
          <w:p w14:paraId="24FEFCFB">
            <w:pPr>
              <w:widowControl/>
              <w:jc w:val="center"/>
              <w:textAlignment w:val="center"/>
              <w:rPr>
                <w:rFonts w:hint="eastAsia" w:ascii="仿宋" w:hAnsi="仿宋" w:eastAsia="仿宋" w:cs="仿宋"/>
                <w:color w:val="000000"/>
                <w:kern w:val="0"/>
                <w:sz w:val="24"/>
                <w:szCs w:val="24"/>
                <w:lang w:bidi="ar"/>
              </w:rPr>
            </w:pPr>
          </w:p>
        </w:tc>
      </w:tr>
      <w:tr w14:paraId="412D6134">
        <w:tblPrEx>
          <w:tblCellMar>
            <w:top w:w="0" w:type="dxa"/>
            <w:left w:w="108" w:type="dxa"/>
            <w:bottom w:w="0" w:type="dxa"/>
            <w:right w:w="108" w:type="dxa"/>
          </w:tblCellMar>
        </w:tblPrEx>
        <w:trPr>
          <w:trHeight w:val="1913" w:hRule="atLeast"/>
        </w:trPr>
        <w:tc>
          <w:tcPr>
            <w:tcW w:w="682" w:type="dxa"/>
            <w:vMerge w:val="restart"/>
            <w:tcBorders>
              <w:top w:val="single" w:color="000000" w:sz="4" w:space="0"/>
              <w:left w:val="single" w:color="000000" w:sz="4" w:space="0"/>
              <w:right w:val="single" w:color="000000" w:sz="4" w:space="0"/>
            </w:tcBorders>
            <w:noWrap/>
            <w:vAlign w:val="center"/>
          </w:tcPr>
          <w:p w14:paraId="6D889B5C">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668" w:type="dxa"/>
            <w:vMerge w:val="restart"/>
            <w:tcBorders>
              <w:top w:val="single" w:color="000000" w:sz="4" w:space="0"/>
              <w:left w:val="single" w:color="000000" w:sz="4" w:space="0"/>
              <w:right w:val="single" w:color="000000" w:sz="4" w:space="0"/>
            </w:tcBorders>
            <w:noWrap w:val="0"/>
            <w:vAlign w:val="center"/>
          </w:tcPr>
          <w:p w14:paraId="4ED4CFF0">
            <w:pPr>
              <w:widowControl/>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bidi="ar"/>
              </w:rPr>
              <w:t>技术要求（</w:t>
            </w:r>
            <w:r>
              <w:rPr>
                <w:rFonts w:hint="eastAsia" w:ascii="仿宋" w:hAnsi="仿宋" w:eastAsia="仿宋" w:cs="仿宋"/>
                <w:b w:val="0"/>
                <w:bCs w:val="0"/>
                <w:color w:val="auto"/>
                <w:kern w:val="0"/>
                <w:sz w:val="24"/>
                <w:szCs w:val="24"/>
                <w:lang w:val="en-US" w:eastAsia="zh-CN" w:bidi="ar"/>
              </w:rPr>
              <w:t>32</w:t>
            </w:r>
            <w:r>
              <w:rPr>
                <w:rFonts w:hint="eastAsia" w:ascii="仿宋" w:hAnsi="仿宋" w:eastAsia="仿宋" w:cs="仿宋"/>
                <w:b w:val="0"/>
                <w:bCs w:val="0"/>
                <w:color w:val="auto"/>
                <w:kern w:val="0"/>
                <w:sz w:val="24"/>
                <w:szCs w:val="24"/>
                <w:lang w:bidi="ar"/>
              </w:rPr>
              <w:t>%）</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263C9539">
            <w:pPr>
              <w:widowControl/>
              <w:jc w:val="center"/>
              <w:textAlignment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kern w:val="0"/>
                <w:sz w:val="24"/>
                <w:szCs w:val="24"/>
                <w:lang w:val="en-US" w:eastAsia="zh-CN" w:bidi="ar"/>
              </w:rPr>
              <w:t>14</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33979CCE">
            <w:pPr>
              <w:widowControl/>
              <w:numPr>
                <w:ilvl w:val="0"/>
                <w:numId w:val="0"/>
              </w:numPr>
              <w:jc w:val="left"/>
              <w:textAlignment w:val="center"/>
              <w:rPr>
                <w:rFonts w:hint="eastAsia" w:ascii="仿宋" w:hAnsi="仿宋" w:eastAsia="仿宋" w:cs="仿宋"/>
                <w:b w:val="0"/>
                <w:bCs w:val="0"/>
                <w:color w:val="auto"/>
                <w:kern w:val="0"/>
                <w:sz w:val="24"/>
                <w:szCs w:val="24"/>
                <w:lang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1.“★”条款技术参数有2项，带★条款的响应得分规则如下：全部满足带★条为满分，不满足一条扣7分，扣完为止。</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50618339">
            <w:pPr>
              <w:rPr>
                <w:rFonts w:hint="eastAsia" w:ascii="仿宋" w:hAnsi="仿宋" w:eastAsia="仿宋" w:cs="仿宋"/>
                <w:color w:val="000000"/>
                <w:sz w:val="24"/>
                <w:szCs w:val="24"/>
              </w:rPr>
            </w:pPr>
          </w:p>
        </w:tc>
        <w:tc>
          <w:tcPr>
            <w:tcW w:w="2301" w:type="dxa"/>
            <w:vMerge w:val="restart"/>
            <w:tcBorders>
              <w:top w:val="single" w:color="000000" w:sz="4" w:space="0"/>
              <w:left w:val="single" w:color="000000" w:sz="4" w:space="0"/>
              <w:right w:val="single" w:color="000000" w:sz="4" w:space="0"/>
            </w:tcBorders>
            <w:noWrap w:val="0"/>
            <w:vAlign w:val="center"/>
          </w:tcPr>
          <w:p w14:paraId="31DD1782">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响应内容应提供承诺函或其他纸质证明材料并加盖参选机构</w:t>
            </w:r>
            <w:r>
              <w:rPr>
                <w:rFonts w:hint="eastAsia" w:ascii="仿宋" w:hAnsi="仿宋" w:eastAsia="仿宋" w:cs="仿宋"/>
                <w:color w:val="000000"/>
                <w:kern w:val="0"/>
                <w:sz w:val="24"/>
                <w:szCs w:val="24"/>
                <w:lang w:eastAsia="zh-CN" w:bidi="ar"/>
              </w:rPr>
              <w:t>公章。</w:t>
            </w:r>
          </w:p>
        </w:tc>
      </w:tr>
      <w:tr w14:paraId="1FA4BA36">
        <w:tblPrEx>
          <w:tblCellMar>
            <w:top w:w="0" w:type="dxa"/>
            <w:left w:w="108" w:type="dxa"/>
            <w:bottom w:w="0" w:type="dxa"/>
            <w:right w:w="108" w:type="dxa"/>
          </w:tblCellMar>
        </w:tblPrEx>
        <w:trPr>
          <w:trHeight w:val="1913" w:hRule="atLeast"/>
        </w:trPr>
        <w:tc>
          <w:tcPr>
            <w:tcW w:w="682" w:type="dxa"/>
            <w:vMerge w:val="continue"/>
            <w:tcBorders>
              <w:left w:val="single" w:color="000000" w:sz="4" w:space="0"/>
              <w:right w:val="single" w:color="000000" w:sz="4" w:space="0"/>
            </w:tcBorders>
            <w:noWrap/>
            <w:vAlign w:val="center"/>
          </w:tcPr>
          <w:p w14:paraId="428A9AD6">
            <w:pPr>
              <w:jc w:val="center"/>
              <w:rPr>
                <w:rFonts w:hint="eastAsia" w:ascii="仿宋" w:hAnsi="仿宋" w:eastAsia="仿宋" w:cs="仿宋"/>
                <w:color w:val="000000"/>
                <w:sz w:val="24"/>
                <w:szCs w:val="24"/>
              </w:rPr>
            </w:pPr>
          </w:p>
        </w:tc>
        <w:tc>
          <w:tcPr>
            <w:tcW w:w="1668" w:type="dxa"/>
            <w:vMerge w:val="continue"/>
            <w:tcBorders>
              <w:left w:val="single" w:color="000000" w:sz="4" w:space="0"/>
              <w:right w:val="single" w:color="000000" w:sz="4" w:space="0"/>
            </w:tcBorders>
            <w:noWrap w:val="0"/>
            <w:vAlign w:val="center"/>
          </w:tcPr>
          <w:p w14:paraId="5E537EB4">
            <w:pPr>
              <w:widowControl/>
              <w:jc w:val="center"/>
              <w:textAlignment w:val="center"/>
              <w:rPr>
                <w:rFonts w:hint="eastAsia" w:ascii="仿宋" w:hAnsi="仿宋" w:eastAsia="仿宋" w:cs="仿宋"/>
                <w:b w:val="0"/>
                <w:bCs w:val="0"/>
                <w:color w:val="auto"/>
                <w:kern w:val="0"/>
                <w:sz w:val="24"/>
                <w:szCs w:val="24"/>
                <w:lang w:bidi="ar"/>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4954ED4D">
            <w:pPr>
              <w:widowControl/>
              <w:jc w:val="center"/>
              <w:textAlignment w:val="center"/>
              <w:rPr>
                <w:rFonts w:hint="default"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18</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5A63CBDF">
            <w:pPr>
              <w:widowControl/>
              <w:numPr>
                <w:ilvl w:val="0"/>
                <w:numId w:val="0"/>
              </w:numPr>
              <w:jc w:val="left"/>
              <w:textAlignment w:val="center"/>
              <w:rPr>
                <w:rFonts w:hint="eastAsia" w:ascii="仿宋" w:hAnsi="仿宋" w:eastAsia="仿宋" w:cs="仿宋"/>
                <w:b w:val="0"/>
                <w:bCs w:val="0"/>
                <w:color w:val="auto"/>
                <w:kern w:val="0"/>
                <w:sz w:val="24"/>
                <w:szCs w:val="24"/>
                <w:lang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2.参选机构一般条款的响应得分规则如下：（一般条款是指：除标注“★” 的条款以外的所有条款，一共9项）全部满足为满分，不满足一条扣2分，扣完为止。</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27944B5">
            <w:pPr>
              <w:rPr>
                <w:rFonts w:hint="eastAsia" w:ascii="仿宋" w:hAnsi="仿宋" w:eastAsia="仿宋" w:cs="仿宋"/>
                <w:color w:val="000000"/>
                <w:sz w:val="24"/>
                <w:szCs w:val="24"/>
              </w:rPr>
            </w:pPr>
          </w:p>
        </w:tc>
        <w:tc>
          <w:tcPr>
            <w:tcW w:w="2301" w:type="dxa"/>
            <w:vMerge w:val="continue"/>
            <w:tcBorders>
              <w:left w:val="single" w:color="000000" w:sz="4" w:space="0"/>
              <w:bottom w:val="single" w:color="000000" w:sz="4" w:space="0"/>
              <w:right w:val="single" w:color="000000" w:sz="4" w:space="0"/>
            </w:tcBorders>
            <w:noWrap w:val="0"/>
            <w:vAlign w:val="center"/>
          </w:tcPr>
          <w:p w14:paraId="701DE9E9">
            <w:pPr>
              <w:widowControl/>
              <w:jc w:val="center"/>
              <w:textAlignment w:val="center"/>
              <w:rPr>
                <w:rFonts w:hint="eastAsia" w:ascii="仿宋" w:hAnsi="仿宋" w:eastAsia="仿宋" w:cs="仿宋"/>
                <w:color w:val="000000"/>
                <w:kern w:val="0"/>
                <w:sz w:val="24"/>
                <w:szCs w:val="24"/>
                <w:lang w:bidi="ar"/>
              </w:rPr>
            </w:pPr>
          </w:p>
        </w:tc>
      </w:tr>
      <w:tr w14:paraId="1C7DB2AC">
        <w:tblPrEx>
          <w:tblCellMar>
            <w:top w:w="0" w:type="dxa"/>
            <w:left w:w="108" w:type="dxa"/>
            <w:bottom w:w="0" w:type="dxa"/>
            <w:right w:w="108" w:type="dxa"/>
          </w:tblCellMar>
        </w:tblPrEx>
        <w:trPr>
          <w:trHeight w:val="2488" w:hRule="atLeast"/>
        </w:trPr>
        <w:tc>
          <w:tcPr>
            <w:tcW w:w="682" w:type="dxa"/>
            <w:tcBorders>
              <w:top w:val="single" w:color="000000" w:sz="4" w:space="0"/>
              <w:left w:val="single" w:color="000000" w:sz="4" w:space="0"/>
              <w:bottom w:val="single" w:color="000000" w:sz="4" w:space="0"/>
              <w:right w:val="single" w:color="000000" w:sz="4" w:space="0"/>
            </w:tcBorders>
            <w:noWrap/>
            <w:vAlign w:val="center"/>
          </w:tcPr>
          <w:p w14:paraId="462BBA3C">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14:paraId="4580C91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业绩证明（</w:t>
            </w:r>
            <w:r>
              <w:rPr>
                <w:rFonts w:hint="eastAsia" w:ascii="仿宋" w:hAnsi="仿宋" w:eastAsia="仿宋" w:cs="仿宋"/>
                <w:color w:val="000000"/>
                <w:kern w:val="0"/>
                <w:sz w:val="24"/>
                <w:szCs w:val="24"/>
                <w:lang w:val="en-US" w:eastAsia="zh-CN" w:bidi="ar"/>
              </w:rPr>
              <w:t>10</w:t>
            </w:r>
            <w:r>
              <w:rPr>
                <w:rFonts w:hint="eastAsia" w:ascii="仿宋" w:hAnsi="仿宋" w:eastAsia="仿宋" w:cs="仿宋"/>
                <w:color w:val="000000"/>
                <w:kern w:val="0"/>
                <w:sz w:val="24"/>
                <w:szCs w:val="24"/>
                <w:lang w:bidi="ar"/>
              </w:rPr>
              <w:t>%）</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215394BC">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10</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48CCA90E">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提供202</w:t>
            </w: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bidi="ar"/>
              </w:rPr>
              <w:t>年1月1日以来，医院</w:t>
            </w:r>
            <w:r>
              <w:rPr>
                <w:rFonts w:hint="eastAsia" w:ascii="仿宋" w:hAnsi="仿宋" w:eastAsia="仿宋" w:cs="仿宋"/>
                <w:color w:val="000000"/>
                <w:kern w:val="0"/>
                <w:sz w:val="24"/>
                <w:szCs w:val="24"/>
                <w:lang w:eastAsia="zh-CN" w:bidi="ar"/>
              </w:rPr>
              <w:t>或学校</w:t>
            </w:r>
            <w:r>
              <w:rPr>
                <w:rFonts w:hint="eastAsia" w:ascii="仿宋" w:hAnsi="仿宋" w:eastAsia="仿宋" w:cs="仿宋"/>
                <w:color w:val="000000"/>
                <w:kern w:val="0"/>
                <w:sz w:val="24"/>
                <w:szCs w:val="24"/>
                <w:lang w:bidi="ar"/>
              </w:rPr>
              <w:t>类似合作案例，每提供1个案例得</w:t>
            </w: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bidi="ar"/>
              </w:rPr>
              <w:t>分，总分不超过</w:t>
            </w:r>
            <w:r>
              <w:rPr>
                <w:rFonts w:hint="eastAsia" w:ascii="仿宋" w:hAnsi="仿宋" w:eastAsia="仿宋" w:cs="仿宋"/>
                <w:color w:val="000000"/>
                <w:kern w:val="0"/>
                <w:sz w:val="24"/>
                <w:szCs w:val="24"/>
                <w:lang w:val="en-US" w:eastAsia="zh-CN" w:bidi="ar"/>
              </w:rPr>
              <w:t>10</w:t>
            </w:r>
            <w:r>
              <w:rPr>
                <w:rFonts w:hint="eastAsia" w:ascii="仿宋" w:hAnsi="仿宋" w:eastAsia="仿宋" w:cs="仿宋"/>
                <w:color w:val="000000"/>
                <w:kern w:val="0"/>
                <w:sz w:val="24"/>
                <w:szCs w:val="24"/>
                <w:lang w:bidi="ar"/>
              </w:rPr>
              <w:t>分。</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D3C8CF7">
            <w:pPr>
              <w:rPr>
                <w:rFonts w:hint="eastAsia" w:ascii="仿宋" w:hAnsi="仿宋" w:eastAsia="仿宋" w:cs="仿宋"/>
                <w:color w:val="000000"/>
                <w:sz w:val="24"/>
                <w:szCs w:val="24"/>
              </w:rPr>
            </w:pPr>
          </w:p>
        </w:tc>
        <w:tc>
          <w:tcPr>
            <w:tcW w:w="2301" w:type="dxa"/>
            <w:tcBorders>
              <w:top w:val="single" w:color="000000" w:sz="4" w:space="0"/>
              <w:left w:val="single" w:color="000000" w:sz="4" w:space="0"/>
              <w:bottom w:val="single" w:color="000000" w:sz="4" w:space="0"/>
              <w:right w:val="single" w:color="000000" w:sz="4" w:space="0"/>
            </w:tcBorders>
            <w:noWrap w:val="0"/>
            <w:vAlign w:val="center"/>
          </w:tcPr>
          <w:p w14:paraId="33FBF969">
            <w:pPr>
              <w:widowControl/>
              <w:jc w:val="left"/>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需提供合同复印件并加盖参选机构</w:t>
            </w:r>
            <w:r>
              <w:rPr>
                <w:rFonts w:hint="eastAsia" w:ascii="仿宋" w:hAnsi="仿宋" w:eastAsia="仿宋" w:cs="仿宋"/>
                <w:color w:val="000000"/>
                <w:kern w:val="0"/>
                <w:sz w:val="24"/>
                <w:szCs w:val="24"/>
                <w:lang w:eastAsia="zh-CN" w:bidi="ar"/>
              </w:rPr>
              <w:t>公章。</w:t>
            </w:r>
          </w:p>
        </w:tc>
      </w:tr>
      <w:tr w14:paraId="42C8CDD6">
        <w:tblPrEx>
          <w:tblCellMar>
            <w:top w:w="0" w:type="dxa"/>
            <w:left w:w="108" w:type="dxa"/>
            <w:bottom w:w="0" w:type="dxa"/>
            <w:right w:w="108" w:type="dxa"/>
          </w:tblCellMar>
        </w:tblPrEx>
        <w:trPr>
          <w:trHeight w:val="5184" w:hRule="atLeast"/>
        </w:trPr>
        <w:tc>
          <w:tcPr>
            <w:tcW w:w="682" w:type="dxa"/>
            <w:vMerge w:val="restart"/>
            <w:tcBorders>
              <w:top w:val="single" w:color="000000" w:sz="4" w:space="0"/>
              <w:left w:val="single" w:color="000000" w:sz="4" w:space="0"/>
              <w:bottom w:val="single" w:color="auto" w:sz="4" w:space="0"/>
              <w:right w:val="single" w:color="000000" w:sz="4" w:space="0"/>
            </w:tcBorders>
            <w:noWrap/>
            <w:vAlign w:val="center"/>
          </w:tcPr>
          <w:p w14:paraId="2076A553">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668" w:type="dxa"/>
            <w:vMerge w:val="restart"/>
            <w:tcBorders>
              <w:top w:val="single" w:color="000000" w:sz="4" w:space="0"/>
              <w:left w:val="single" w:color="000000" w:sz="4" w:space="0"/>
              <w:bottom w:val="single" w:color="auto" w:sz="4" w:space="0"/>
              <w:right w:val="single" w:color="000000" w:sz="4" w:space="0"/>
            </w:tcBorders>
            <w:noWrap w:val="0"/>
            <w:vAlign w:val="center"/>
          </w:tcPr>
          <w:p w14:paraId="618FDA1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合作方案与服务能力（</w:t>
            </w:r>
            <w:r>
              <w:rPr>
                <w:rFonts w:hint="eastAsia" w:ascii="仿宋" w:hAnsi="仿宋" w:eastAsia="仿宋" w:cs="仿宋"/>
                <w:color w:val="000000"/>
                <w:kern w:val="0"/>
                <w:sz w:val="24"/>
                <w:szCs w:val="24"/>
                <w:lang w:val="en-US" w:eastAsia="zh-CN" w:bidi="ar"/>
              </w:rPr>
              <w:t>28</w:t>
            </w:r>
            <w:r>
              <w:rPr>
                <w:rFonts w:hint="eastAsia" w:ascii="仿宋" w:hAnsi="仿宋" w:eastAsia="仿宋" w:cs="仿宋"/>
                <w:color w:val="000000"/>
                <w:kern w:val="0"/>
                <w:sz w:val="24"/>
                <w:szCs w:val="24"/>
                <w:lang w:bidi="ar"/>
              </w:rPr>
              <w:t>%）</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7B3E655F">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16</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1C42A2DD">
            <w:pPr>
              <w:pStyle w:val="6"/>
              <w:ind w:firstLine="0" w:firstLineChars="0"/>
              <w:jc w:val="lef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1.根据所提供服务方案的整体质量、可行性进行打分：在要求的合作模式下，有完整的运行流程及质量控制流程；有及时响应的应急保障措施；具备完善的售后服务方案。要求方案清晰、科学、完善、可行性高。</w:t>
            </w:r>
          </w:p>
          <w:p w14:paraId="14EBBD63">
            <w:pPr>
              <w:pStyle w:val="6"/>
              <w:ind w:firstLine="0" w:firstLineChars="0"/>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eastAsia="zh-CN" w:bidi="ar"/>
              </w:rPr>
              <w:t>方案</w:t>
            </w:r>
            <w:r>
              <w:rPr>
                <w:rFonts w:hint="eastAsia" w:ascii="仿宋" w:hAnsi="仿宋" w:eastAsia="仿宋" w:cs="仿宋"/>
                <w:color w:val="000000"/>
                <w:kern w:val="0"/>
                <w:sz w:val="24"/>
                <w:szCs w:val="24"/>
                <w:lang w:bidi="ar"/>
              </w:rPr>
              <w:t>内容全面、科学合理、</w:t>
            </w:r>
            <w:r>
              <w:rPr>
                <w:rFonts w:hint="eastAsia" w:ascii="仿宋" w:hAnsi="仿宋" w:eastAsia="仿宋" w:cs="仿宋"/>
                <w:i w:val="0"/>
                <w:iCs w:val="0"/>
                <w:color w:val="000000"/>
                <w:kern w:val="0"/>
                <w:sz w:val="24"/>
                <w:szCs w:val="24"/>
                <w:u w:val="none"/>
                <w:lang w:val="en-US" w:eastAsia="zh-CN" w:bidi="ar"/>
              </w:rPr>
              <w:t>可行性高得</w:t>
            </w:r>
            <w:r>
              <w:rPr>
                <w:rFonts w:hint="eastAsia" w:ascii="仿宋" w:hAnsi="仿宋" w:eastAsia="仿宋" w:cs="仿宋"/>
                <w:color w:val="000000"/>
                <w:kern w:val="0"/>
                <w:sz w:val="24"/>
                <w:szCs w:val="24"/>
                <w:lang w:val="en-US" w:eastAsia="zh-CN" w:bidi="ar"/>
              </w:rPr>
              <w:t>16</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12</w:t>
            </w:r>
            <w:r>
              <w:rPr>
                <w:rFonts w:hint="eastAsia" w:ascii="仿宋" w:hAnsi="仿宋" w:eastAsia="仿宋" w:cs="仿宋"/>
                <w:color w:val="000000"/>
                <w:kern w:val="0"/>
                <w:sz w:val="24"/>
                <w:szCs w:val="24"/>
                <w:lang w:bidi="ar"/>
              </w:rPr>
              <w:t>分；（2）内容较为全面、较为科学合理、</w:t>
            </w:r>
            <w:r>
              <w:rPr>
                <w:rFonts w:hint="eastAsia" w:ascii="仿宋" w:hAnsi="仿宋" w:eastAsia="仿宋" w:cs="仿宋"/>
                <w:i w:val="0"/>
                <w:iCs w:val="0"/>
                <w:color w:val="000000"/>
                <w:kern w:val="0"/>
                <w:sz w:val="24"/>
                <w:szCs w:val="24"/>
                <w:u w:val="none"/>
                <w:lang w:val="en-US" w:eastAsia="zh-CN" w:bidi="ar"/>
              </w:rPr>
              <w:t>可行性较高</w:t>
            </w:r>
            <w:r>
              <w:rPr>
                <w:rFonts w:hint="eastAsia" w:ascii="仿宋" w:hAnsi="仿宋" w:eastAsia="仿宋" w:cs="仿宋"/>
                <w:color w:val="000000"/>
                <w:kern w:val="0"/>
                <w:sz w:val="24"/>
                <w:szCs w:val="24"/>
                <w:lang w:bidi="ar"/>
              </w:rPr>
              <w:t>得</w:t>
            </w:r>
            <w:r>
              <w:rPr>
                <w:rFonts w:hint="eastAsia" w:ascii="仿宋" w:hAnsi="仿宋" w:eastAsia="仿宋" w:cs="仿宋"/>
                <w:color w:val="000000"/>
                <w:kern w:val="0"/>
                <w:sz w:val="24"/>
                <w:szCs w:val="24"/>
                <w:lang w:val="en-US" w:eastAsia="zh-CN" w:bidi="ar"/>
              </w:rPr>
              <w:t>11</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6</w:t>
            </w:r>
            <w:r>
              <w:rPr>
                <w:rFonts w:hint="eastAsia" w:ascii="仿宋" w:hAnsi="仿宋" w:eastAsia="仿宋" w:cs="仿宋"/>
                <w:color w:val="000000"/>
                <w:kern w:val="0"/>
                <w:sz w:val="24"/>
                <w:szCs w:val="24"/>
                <w:lang w:bidi="ar"/>
              </w:rPr>
              <w:t>；（3）内容基本全面、基本科学合理、</w:t>
            </w:r>
            <w:r>
              <w:rPr>
                <w:rFonts w:hint="eastAsia" w:ascii="仿宋" w:hAnsi="仿宋" w:eastAsia="仿宋" w:cs="仿宋"/>
                <w:color w:val="000000"/>
                <w:kern w:val="0"/>
                <w:sz w:val="24"/>
                <w:szCs w:val="24"/>
                <w:lang w:eastAsia="zh-CN" w:bidi="ar"/>
              </w:rPr>
              <w:t>可行性</w:t>
            </w:r>
            <w:r>
              <w:rPr>
                <w:rFonts w:hint="eastAsia" w:ascii="仿宋" w:hAnsi="仿宋" w:eastAsia="仿宋" w:cs="仿宋"/>
                <w:color w:val="000000"/>
                <w:kern w:val="0"/>
                <w:sz w:val="24"/>
                <w:szCs w:val="24"/>
                <w:lang w:bidi="ar"/>
              </w:rPr>
              <w:t>一般得</w:t>
            </w:r>
            <w:r>
              <w:rPr>
                <w:rFonts w:hint="eastAsia" w:ascii="仿宋" w:hAnsi="仿宋" w:eastAsia="仿宋" w:cs="仿宋"/>
                <w:color w:val="000000"/>
                <w:kern w:val="0"/>
                <w:sz w:val="24"/>
                <w:szCs w:val="24"/>
                <w:lang w:val="en-US" w:eastAsia="zh-CN" w:bidi="ar"/>
              </w:rPr>
              <w:t>5</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bidi="ar"/>
              </w:rPr>
              <w:t>分；（4）内容不全面、不科学合理</w:t>
            </w:r>
            <w:r>
              <w:rPr>
                <w:rFonts w:hint="eastAsia" w:ascii="仿宋" w:hAnsi="仿宋" w:eastAsia="仿宋" w:cs="仿宋"/>
                <w:color w:val="000000"/>
                <w:kern w:val="0"/>
                <w:sz w:val="24"/>
                <w:szCs w:val="24"/>
                <w:lang w:eastAsia="zh-CN" w:bidi="ar"/>
              </w:rPr>
              <w:t>、可行性低</w:t>
            </w:r>
            <w:r>
              <w:rPr>
                <w:rFonts w:hint="eastAsia" w:ascii="仿宋" w:hAnsi="仿宋" w:eastAsia="仿宋" w:cs="仿宋"/>
                <w:color w:val="000000"/>
                <w:kern w:val="0"/>
                <w:sz w:val="24"/>
                <w:szCs w:val="24"/>
                <w:lang w:bidi="ar"/>
              </w:rPr>
              <w:t>或未提供的不得分。</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30F0944">
            <w:pPr>
              <w:rPr>
                <w:rFonts w:hint="eastAsia" w:ascii="仿宋" w:hAnsi="仿宋" w:eastAsia="仿宋" w:cs="仿宋"/>
                <w:color w:val="000000"/>
                <w:sz w:val="24"/>
                <w:szCs w:val="24"/>
              </w:rPr>
            </w:pPr>
          </w:p>
        </w:tc>
        <w:tc>
          <w:tcPr>
            <w:tcW w:w="2301" w:type="dxa"/>
            <w:vMerge w:val="restart"/>
            <w:tcBorders>
              <w:top w:val="single" w:color="000000" w:sz="4" w:space="0"/>
              <w:left w:val="single" w:color="000000" w:sz="4" w:space="0"/>
              <w:right w:val="single" w:color="000000" w:sz="4" w:space="0"/>
            </w:tcBorders>
            <w:noWrap w:val="0"/>
            <w:vAlign w:val="center"/>
          </w:tcPr>
          <w:p w14:paraId="3074EDE9">
            <w:pP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提</w:t>
            </w:r>
            <w:r>
              <w:rPr>
                <w:rFonts w:hint="eastAsia" w:ascii="仿宋" w:hAnsi="仿宋" w:eastAsia="仿宋" w:cs="仿宋"/>
                <w:i w:val="0"/>
                <w:iCs w:val="0"/>
                <w:color w:val="000000"/>
                <w:kern w:val="0"/>
                <w:sz w:val="24"/>
                <w:szCs w:val="24"/>
                <w:u w:val="none"/>
                <w:lang w:val="en-US" w:eastAsia="zh-CN" w:bidi="ar"/>
              </w:rPr>
              <w:t>供证明材料并加盖参选机构鲜章。</w:t>
            </w:r>
          </w:p>
          <w:p w14:paraId="198D0146">
            <w:pPr>
              <w:rPr>
                <w:rFonts w:hint="eastAsia" w:ascii="仿宋" w:hAnsi="仿宋" w:eastAsia="仿宋" w:cs="仿宋"/>
                <w:color w:val="000000"/>
                <w:sz w:val="24"/>
                <w:szCs w:val="24"/>
              </w:rPr>
            </w:pPr>
          </w:p>
        </w:tc>
      </w:tr>
      <w:tr w14:paraId="6626F24B">
        <w:tblPrEx>
          <w:tblCellMar>
            <w:top w:w="0" w:type="dxa"/>
            <w:left w:w="108" w:type="dxa"/>
            <w:bottom w:w="0" w:type="dxa"/>
            <w:right w:w="108" w:type="dxa"/>
          </w:tblCellMar>
        </w:tblPrEx>
        <w:trPr>
          <w:trHeight w:val="3054" w:hRule="atLeast"/>
        </w:trPr>
        <w:tc>
          <w:tcPr>
            <w:tcW w:w="682" w:type="dxa"/>
            <w:vMerge w:val="continue"/>
            <w:tcBorders>
              <w:top w:val="single" w:color="auto" w:sz="4" w:space="0"/>
              <w:left w:val="single" w:color="000000" w:sz="4" w:space="0"/>
              <w:bottom w:val="single" w:color="auto" w:sz="4" w:space="0"/>
              <w:right w:val="single" w:color="000000" w:sz="4" w:space="0"/>
            </w:tcBorders>
            <w:noWrap/>
            <w:vAlign w:val="center"/>
          </w:tcPr>
          <w:p w14:paraId="3B7FB593">
            <w:pPr>
              <w:jc w:val="center"/>
              <w:rPr>
                <w:rFonts w:hint="eastAsia" w:ascii="仿宋" w:hAnsi="仿宋" w:eastAsia="仿宋" w:cs="仿宋"/>
                <w:color w:val="000000"/>
                <w:sz w:val="24"/>
                <w:szCs w:val="24"/>
              </w:rPr>
            </w:pPr>
          </w:p>
        </w:tc>
        <w:tc>
          <w:tcPr>
            <w:tcW w:w="1668" w:type="dxa"/>
            <w:vMerge w:val="continue"/>
            <w:tcBorders>
              <w:top w:val="single" w:color="auto" w:sz="4" w:space="0"/>
              <w:left w:val="single" w:color="000000" w:sz="4" w:space="0"/>
              <w:bottom w:val="single" w:color="auto" w:sz="4" w:space="0"/>
              <w:right w:val="single" w:color="000000" w:sz="4" w:space="0"/>
            </w:tcBorders>
            <w:noWrap w:val="0"/>
            <w:vAlign w:val="center"/>
          </w:tcPr>
          <w:p w14:paraId="1FAB13FB">
            <w:pPr>
              <w:jc w:val="center"/>
              <w:rPr>
                <w:rFonts w:hint="eastAsia" w:ascii="仿宋" w:hAnsi="仿宋" w:eastAsia="仿宋" w:cs="仿宋"/>
                <w:color w:val="000000"/>
                <w:sz w:val="24"/>
                <w:szCs w:val="24"/>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1967F2C2">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26B14936">
            <w:pPr>
              <w:pStyle w:val="6"/>
              <w:ind w:firstLine="0" w:firstLineChars="0"/>
              <w:rPr>
                <w:rFonts w:hint="eastAsia" w:ascii="仿宋" w:hAnsi="仿宋" w:eastAsia="仿宋" w:cs="仿宋"/>
                <w:color w:val="000000"/>
                <w:sz w:val="24"/>
                <w:szCs w:val="24"/>
              </w:rPr>
            </w:pPr>
            <w:r>
              <w:rPr>
                <w:rFonts w:hint="eastAsia" w:ascii="仿宋" w:hAnsi="仿宋" w:eastAsia="仿宋" w:cs="仿宋"/>
                <w:color w:val="000000"/>
                <w:kern w:val="0"/>
                <w:sz w:val="24"/>
                <w:szCs w:val="24"/>
                <w:u w:val="none"/>
                <w:lang w:val="en-US" w:eastAsia="zh-CN" w:bidi="ar"/>
              </w:rPr>
              <w:t>2.项目服务费</w:t>
            </w:r>
            <w:r>
              <w:rPr>
                <w:rFonts w:hint="eastAsia" w:ascii="仿宋" w:hAnsi="仿宋" w:eastAsia="仿宋" w:cs="仿宋"/>
                <w:i w:val="0"/>
                <w:color w:val="000000"/>
                <w:kern w:val="0"/>
                <w:sz w:val="24"/>
                <w:szCs w:val="24"/>
                <w:u w:val="none"/>
                <w:lang w:val="en-US" w:eastAsia="zh-CN" w:bidi="ar"/>
              </w:rPr>
              <w:t>：对用户收费方案进行打分，以性价比，对用户效益进行综合评比：</w:t>
            </w:r>
            <w:r>
              <w:rPr>
                <w:rFonts w:hint="eastAsia" w:ascii="仿宋" w:hAnsi="仿宋" w:eastAsia="仿宋" w:cs="仿宋"/>
                <w:color w:val="000000"/>
                <w:kern w:val="0"/>
                <w:sz w:val="24"/>
                <w:szCs w:val="24"/>
                <w:u w:val="none"/>
                <w:lang w:bidi="ar"/>
              </w:rPr>
              <w:t>（1）方案的性价比及</w:t>
            </w:r>
            <w:r>
              <w:rPr>
                <w:rFonts w:hint="eastAsia" w:ascii="仿宋" w:hAnsi="仿宋" w:eastAsia="仿宋" w:cs="仿宋"/>
                <w:i w:val="0"/>
                <w:color w:val="000000"/>
                <w:kern w:val="0"/>
                <w:sz w:val="24"/>
                <w:szCs w:val="24"/>
                <w:u w:val="none"/>
                <w:lang w:val="en-US" w:eastAsia="zh-CN" w:bidi="ar"/>
              </w:rPr>
              <w:t>用户</w:t>
            </w:r>
            <w:r>
              <w:rPr>
                <w:rFonts w:hint="eastAsia" w:ascii="仿宋" w:hAnsi="仿宋" w:eastAsia="仿宋" w:cs="仿宋"/>
                <w:color w:val="000000"/>
                <w:kern w:val="0"/>
                <w:sz w:val="24"/>
                <w:szCs w:val="24"/>
                <w:u w:val="none"/>
                <w:lang w:bidi="ar"/>
              </w:rPr>
              <w:t>获得的效益最优得</w:t>
            </w:r>
            <w:r>
              <w:rPr>
                <w:rFonts w:hint="eastAsia" w:ascii="仿宋" w:hAnsi="仿宋" w:eastAsia="仿宋" w:cs="仿宋"/>
                <w:color w:val="000000"/>
                <w:kern w:val="0"/>
                <w:sz w:val="24"/>
                <w:szCs w:val="24"/>
                <w:u w:val="none"/>
                <w:lang w:val="en-US" w:eastAsia="zh-CN" w:bidi="ar"/>
              </w:rPr>
              <w:t>12-9</w:t>
            </w:r>
            <w:r>
              <w:rPr>
                <w:rFonts w:hint="eastAsia" w:ascii="仿宋" w:hAnsi="仿宋" w:eastAsia="仿宋" w:cs="仿宋"/>
                <w:color w:val="000000"/>
                <w:kern w:val="0"/>
                <w:sz w:val="24"/>
                <w:szCs w:val="24"/>
                <w:u w:val="none"/>
                <w:lang w:bidi="ar"/>
              </w:rPr>
              <w:t>分；（2）方案的性价比及</w:t>
            </w:r>
            <w:r>
              <w:rPr>
                <w:rFonts w:hint="eastAsia" w:ascii="仿宋" w:hAnsi="仿宋" w:eastAsia="仿宋" w:cs="仿宋"/>
                <w:i w:val="0"/>
                <w:color w:val="000000"/>
                <w:kern w:val="0"/>
                <w:sz w:val="24"/>
                <w:szCs w:val="24"/>
                <w:u w:val="none"/>
                <w:lang w:val="en-US" w:eastAsia="zh-CN" w:bidi="ar"/>
              </w:rPr>
              <w:t>用户</w:t>
            </w:r>
            <w:r>
              <w:rPr>
                <w:rFonts w:hint="eastAsia" w:ascii="仿宋" w:hAnsi="仿宋" w:eastAsia="仿宋" w:cs="仿宋"/>
                <w:color w:val="000000"/>
                <w:kern w:val="0"/>
                <w:sz w:val="24"/>
                <w:szCs w:val="24"/>
                <w:u w:val="none"/>
                <w:lang w:bidi="ar"/>
              </w:rPr>
              <w:t>获得的效益较优得</w:t>
            </w:r>
            <w:r>
              <w:rPr>
                <w:rFonts w:hint="eastAsia" w:ascii="仿宋" w:hAnsi="仿宋" w:eastAsia="仿宋" w:cs="仿宋"/>
                <w:color w:val="000000"/>
                <w:kern w:val="0"/>
                <w:sz w:val="24"/>
                <w:szCs w:val="24"/>
                <w:u w:val="none"/>
                <w:lang w:val="en-US" w:eastAsia="zh-CN" w:bidi="ar"/>
              </w:rPr>
              <w:t>8-5</w:t>
            </w:r>
            <w:r>
              <w:rPr>
                <w:rFonts w:hint="eastAsia" w:ascii="仿宋" w:hAnsi="仿宋" w:eastAsia="仿宋" w:cs="仿宋"/>
                <w:color w:val="000000"/>
                <w:kern w:val="0"/>
                <w:sz w:val="24"/>
                <w:szCs w:val="24"/>
                <w:u w:val="none"/>
                <w:lang w:bidi="ar"/>
              </w:rPr>
              <w:t>分；（3）方案的性价比及</w:t>
            </w:r>
            <w:r>
              <w:rPr>
                <w:rFonts w:hint="eastAsia" w:ascii="仿宋" w:hAnsi="仿宋" w:eastAsia="仿宋" w:cs="仿宋"/>
                <w:i w:val="0"/>
                <w:color w:val="000000"/>
                <w:kern w:val="0"/>
                <w:sz w:val="24"/>
                <w:szCs w:val="24"/>
                <w:u w:val="none"/>
                <w:lang w:val="en-US" w:eastAsia="zh-CN" w:bidi="ar"/>
              </w:rPr>
              <w:t>用户</w:t>
            </w:r>
            <w:r>
              <w:rPr>
                <w:rFonts w:hint="eastAsia" w:ascii="仿宋" w:hAnsi="仿宋" w:eastAsia="仿宋" w:cs="仿宋"/>
                <w:color w:val="000000"/>
                <w:kern w:val="0"/>
                <w:sz w:val="24"/>
                <w:szCs w:val="24"/>
                <w:u w:val="none"/>
                <w:lang w:bidi="ar"/>
              </w:rPr>
              <w:t>获得的效益一般得</w:t>
            </w:r>
            <w:r>
              <w:rPr>
                <w:rFonts w:hint="eastAsia" w:ascii="仿宋" w:hAnsi="仿宋" w:eastAsia="仿宋" w:cs="仿宋"/>
                <w:color w:val="000000"/>
                <w:kern w:val="0"/>
                <w:sz w:val="24"/>
                <w:szCs w:val="24"/>
                <w:u w:val="none"/>
                <w:lang w:val="en-US" w:eastAsia="zh-CN" w:bidi="ar"/>
              </w:rPr>
              <w:t>4-</w:t>
            </w:r>
            <w:r>
              <w:rPr>
                <w:rFonts w:hint="eastAsia" w:ascii="仿宋" w:hAnsi="仿宋" w:eastAsia="仿宋" w:cs="仿宋"/>
                <w:color w:val="000000"/>
                <w:kern w:val="0"/>
                <w:sz w:val="24"/>
                <w:szCs w:val="24"/>
                <w:u w:val="none"/>
                <w:lang w:bidi="ar"/>
              </w:rPr>
              <w:t>1分</w:t>
            </w:r>
            <w:r>
              <w:rPr>
                <w:rFonts w:hint="eastAsia" w:ascii="仿宋" w:hAnsi="仿宋" w:eastAsia="仿宋" w:cs="仿宋"/>
                <w:color w:val="000000"/>
                <w:kern w:val="0"/>
                <w:sz w:val="24"/>
                <w:szCs w:val="24"/>
                <w:u w:val="none"/>
                <w:lang w:eastAsia="zh-CN" w:bidi="ar"/>
              </w:rPr>
              <w:t>；</w:t>
            </w:r>
            <w:r>
              <w:rPr>
                <w:rFonts w:hint="eastAsia" w:ascii="仿宋" w:hAnsi="仿宋" w:eastAsia="仿宋" w:cs="仿宋"/>
                <w:color w:val="000000"/>
                <w:kern w:val="0"/>
                <w:sz w:val="24"/>
                <w:szCs w:val="24"/>
                <w:u w:val="none"/>
                <w:lang w:bidi="ar"/>
              </w:rPr>
              <w:t>（4）方案的性价比</w:t>
            </w:r>
            <w:r>
              <w:rPr>
                <w:rFonts w:hint="eastAsia" w:ascii="仿宋" w:hAnsi="仿宋" w:eastAsia="仿宋" w:cs="仿宋"/>
                <w:color w:val="000000"/>
                <w:kern w:val="0"/>
                <w:sz w:val="24"/>
                <w:szCs w:val="24"/>
                <w:u w:val="none"/>
                <w:lang w:eastAsia="zh-CN" w:bidi="ar"/>
              </w:rPr>
              <w:t>低且</w:t>
            </w:r>
            <w:r>
              <w:rPr>
                <w:rFonts w:hint="eastAsia" w:ascii="仿宋" w:hAnsi="仿宋" w:eastAsia="仿宋" w:cs="仿宋"/>
                <w:i w:val="0"/>
                <w:color w:val="000000"/>
                <w:kern w:val="0"/>
                <w:sz w:val="24"/>
                <w:szCs w:val="24"/>
                <w:u w:val="none"/>
                <w:lang w:val="en-US" w:eastAsia="zh-CN" w:bidi="ar"/>
              </w:rPr>
              <w:t>用户</w:t>
            </w:r>
            <w:r>
              <w:rPr>
                <w:rFonts w:hint="eastAsia" w:ascii="仿宋" w:hAnsi="仿宋" w:eastAsia="仿宋" w:cs="仿宋"/>
                <w:color w:val="000000"/>
                <w:kern w:val="0"/>
                <w:sz w:val="24"/>
                <w:szCs w:val="24"/>
                <w:u w:val="none"/>
                <w:lang w:bidi="ar"/>
              </w:rPr>
              <w:t>获得的效益差或未提供的不得分。</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429014B">
            <w:pPr>
              <w:rPr>
                <w:rFonts w:hint="eastAsia" w:ascii="仿宋" w:hAnsi="仿宋" w:eastAsia="仿宋" w:cs="仿宋"/>
                <w:color w:val="000000"/>
                <w:sz w:val="24"/>
                <w:szCs w:val="24"/>
              </w:rPr>
            </w:pPr>
          </w:p>
        </w:tc>
        <w:tc>
          <w:tcPr>
            <w:tcW w:w="2301" w:type="dxa"/>
            <w:vMerge w:val="continue"/>
            <w:tcBorders>
              <w:left w:val="single" w:color="000000" w:sz="4" w:space="0"/>
              <w:bottom w:val="single" w:color="000000" w:sz="4" w:space="0"/>
              <w:right w:val="single" w:color="000000" w:sz="4" w:space="0"/>
            </w:tcBorders>
            <w:noWrap w:val="0"/>
            <w:vAlign w:val="center"/>
          </w:tcPr>
          <w:p w14:paraId="00A7A75E">
            <w:pPr>
              <w:rPr>
                <w:rFonts w:hint="eastAsia" w:ascii="仿宋" w:hAnsi="仿宋" w:eastAsia="仿宋" w:cs="仿宋"/>
                <w:color w:val="000000"/>
                <w:sz w:val="24"/>
                <w:szCs w:val="24"/>
              </w:rPr>
            </w:pPr>
          </w:p>
        </w:tc>
      </w:tr>
    </w:tbl>
    <w:p w14:paraId="6887D9E6">
      <w:pPr>
        <w:adjustRightInd w:val="0"/>
        <w:snapToGrid w:val="0"/>
        <w:spacing w:line="480" w:lineRule="auto"/>
        <w:jc w:val="both"/>
        <w:outlineLvl w:val="0"/>
        <w:rPr>
          <w:rFonts w:hint="eastAsia" w:ascii="仿宋" w:hAnsi="仿宋" w:eastAsia="仿宋"/>
          <w:b/>
          <w:sz w:val="32"/>
          <w:szCs w:val="28"/>
        </w:rPr>
      </w:pPr>
    </w:p>
    <w:p w14:paraId="7335DD83">
      <w:pPr>
        <w:pStyle w:val="2"/>
        <w:rPr>
          <w:rFonts w:hint="eastAsia" w:ascii="仿宋" w:hAnsi="仿宋" w:eastAsia="仿宋"/>
          <w:b/>
          <w:sz w:val="24"/>
          <w:szCs w:val="24"/>
        </w:rPr>
      </w:pPr>
    </w:p>
    <w:p w14:paraId="10CBB255">
      <w:pPr>
        <w:rPr>
          <w:rFonts w:hint="eastAsia" w:ascii="仿宋" w:hAnsi="仿宋" w:eastAsia="仿宋"/>
          <w:b/>
          <w:sz w:val="32"/>
          <w:szCs w:val="28"/>
        </w:rPr>
      </w:pPr>
    </w:p>
    <w:p w14:paraId="6D72B1F8">
      <w:pPr>
        <w:pStyle w:val="2"/>
        <w:rPr>
          <w:rFonts w:hint="eastAsia" w:ascii="仿宋" w:hAnsi="仿宋" w:eastAsia="仿宋"/>
          <w:b/>
          <w:sz w:val="32"/>
          <w:szCs w:val="28"/>
        </w:rPr>
      </w:pPr>
    </w:p>
    <w:p w14:paraId="2D5523AE">
      <w:pPr>
        <w:rPr>
          <w:rFonts w:hint="eastAsia" w:ascii="仿宋" w:hAnsi="仿宋" w:eastAsia="仿宋"/>
          <w:b/>
          <w:sz w:val="32"/>
          <w:szCs w:val="28"/>
        </w:rPr>
      </w:pPr>
    </w:p>
    <w:p w14:paraId="45F38882">
      <w:pPr>
        <w:pStyle w:val="2"/>
        <w:rPr>
          <w:rFonts w:hint="eastAsia" w:ascii="仿宋" w:hAnsi="仿宋" w:eastAsia="仿宋"/>
          <w:b/>
          <w:sz w:val="32"/>
          <w:szCs w:val="28"/>
        </w:rPr>
      </w:pPr>
    </w:p>
    <w:p w14:paraId="62A82FE2">
      <w:pPr>
        <w:rPr>
          <w:rFonts w:hint="eastAsia" w:ascii="仿宋" w:hAnsi="仿宋" w:eastAsia="仿宋"/>
          <w:b/>
          <w:sz w:val="32"/>
          <w:szCs w:val="28"/>
        </w:rPr>
      </w:pPr>
    </w:p>
    <w:p w14:paraId="0D59A487">
      <w:pPr>
        <w:rPr>
          <w:rFonts w:hint="eastAsia" w:ascii="仿宋" w:hAnsi="仿宋" w:eastAsia="仿宋"/>
          <w:b/>
          <w:sz w:val="32"/>
          <w:szCs w:val="28"/>
        </w:rPr>
      </w:pPr>
    </w:p>
    <w:sectPr>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89550">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EBB7DF">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EBB7DF">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6F22F3"/>
    <w:multiLevelType w:val="singleLevel"/>
    <w:tmpl w:val="B26F22F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NGRhZTE4ZDQ1NWU0NTliNDQ5YTk5NzNjMzQ3MzEifQ=="/>
  </w:docVars>
  <w:rsids>
    <w:rsidRoot w:val="0084521A"/>
    <w:rsid w:val="0000187B"/>
    <w:rsid w:val="0000394B"/>
    <w:rsid w:val="00011D30"/>
    <w:rsid w:val="000127C8"/>
    <w:rsid w:val="00014C18"/>
    <w:rsid w:val="00023897"/>
    <w:rsid w:val="00023995"/>
    <w:rsid w:val="000309FD"/>
    <w:rsid w:val="00033DCD"/>
    <w:rsid w:val="00046C49"/>
    <w:rsid w:val="00046CCF"/>
    <w:rsid w:val="00056508"/>
    <w:rsid w:val="00060375"/>
    <w:rsid w:val="00071BBD"/>
    <w:rsid w:val="00071E3F"/>
    <w:rsid w:val="000736D6"/>
    <w:rsid w:val="00073BEF"/>
    <w:rsid w:val="000754AE"/>
    <w:rsid w:val="00075CC1"/>
    <w:rsid w:val="0007611E"/>
    <w:rsid w:val="00082792"/>
    <w:rsid w:val="00083723"/>
    <w:rsid w:val="0008442E"/>
    <w:rsid w:val="00090A87"/>
    <w:rsid w:val="00092ED7"/>
    <w:rsid w:val="0009763B"/>
    <w:rsid w:val="000A47ED"/>
    <w:rsid w:val="000A749D"/>
    <w:rsid w:val="000A76CE"/>
    <w:rsid w:val="000B08FF"/>
    <w:rsid w:val="000B0ED2"/>
    <w:rsid w:val="000B68BF"/>
    <w:rsid w:val="000B6CC8"/>
    <w:rsid w:val="000D0913"/>
    <w:rsid w:val="000D74CE"/>
    <w:rsid w:val="000D7BAC"/>
    <w:rsid w:val="000E2823"/>
    <w:rsid w:val="000E3B57"/>
    <w:rsid w:val="000E4D44"/>
    <w:rsid w:val="000E54C3"/>
    <w:rsid w:val="000E7125"/>
    <w:rsid w:val="000F6CD8"/>
    <w:rsid w:val="00107EB7"/>
    <w:rsid w:val="0011674C"/>
    <w:rsid w:val="001255F0"/>
    <w:rsid w:val="00126E49"/>
    <w:rsid w:val="001318A8"/>
    <w:rsid w:val="00132EED"/>
    <w:rsid w:val="00132F1A"/>
    <w:rsid w:val="0013420C"/>
    <w:rsid w:val="0014055D"/>
    <w:rsid w:val="00140A8E"/>
    <w:rsid w:val="001434E6"/>
    <w:rsid w:val="0014421D"/>
    <w:rsid w:val="00152D4B"/>
    <w:rsid w:val="001548FD"/>
    <w:rsid w:val="00154CE2"/>
    <w:rsid w:val="00164999"/>
    <w:rsid w:val="00165669"/>
    <w:rsid w:val="001723D2"/>
    <w:rsid w:val="00172458"/>
    <w:rsid w:val="00182835"/>
    <w:rsid w:val="00187E6D"/>
    <w:rsid w:val="001905B1"/>
    <w:rsid w:val="0019196E"/>
    <w:rsid w:val="00192463"/>
    <w:rsid w:val="00195331"/>
    <w:rsid w:val="00197205"/>
    <w:rsid w:val="001A1EF6"/>
    <w:rsid w:val="001A55B9"/>
    <w:rsid w:val="001A5868"/>
    <w:rsid w:val="001B308B"/>
    <w:rsid w:val="001B53BE"/>
    <w:rsid w:val="001B71D7"/>
    <w:rsid w:val="001C5C7E"/>
    <w:rsid w:val="001D49A2"/>
    <w:rsid w:val="001E018C"/>
    <w:rsid w:val="001E1BF7"/>
    <w:rsid w:val="001E2B5E"/>
    <w:rsid w:val="001E561A"/>
    <w:rsid w:val="001F30FE"/>
    <w:rsid w:val="002001E7"/>
    <w:rsid w:val="0020300C"/>
    <w:rsid w:val="00206D02"/>
    <w:rsid w:val="00214535"/>
    <w:rsid w:val="00221CAC"/>
    <w:rsid w:val="00224F12"/>
    <w:rsid w:val="002272FA"/>
    <w:rsid w:val="00227FE4"/>
    <w:rsid w:val="0023077B"/>
    <w:rsid w:val="0023148B"/>
    <w:rsid w:val="002326D5"/>
    <w:rsid w:val="00243688"/>
    <w:rsid w:val="0024527F"/>
    <w:rsid w:val="00255C14"/>
    <w:rsid w:val="00257001"/>
    <w:rsid w:val="00262065"/>
    <w:rsid w:val="002636DA"/>
    <w:rsid w:val="00272567"/>
    <w:rsid w:val="00273286"/>
    <w:rsid w:val="00276A25"/>
    <w:rsid w:val="0028032D"/>
    <w:rsid w:val="00281D1C"/>
    <w:rsid w:val="00283C4B"/>
    <w:rsid w:val="00285804"/>
    <w:rsid w:val="002908C7"/>
    <w:rsid w:val="00294602"/>
    <w:rsid w:val="00297619"/>
    <w:rsid w:val="002A7F02"/>
    <w:rsid w:val="002B3638"/>
    <w:rsid w:val="002C7803"/>
    <w:rsid w:val="002E1219"/>
    <w:rsid w:val="002E2320"/>
    <w:rsid w:val="002E23FC"/>
    <w:rsid w:val="002E5932"/>
    <w:rsid w:val="002F5161"/>
    <w:rsid w:val="002F5F8D"/>
    <w:rsid w:val="002F787A"/>
    <w:rsid w:val="00314264"/>
    <w:rsid w:val="0031470A"/>
    <w:rsid w:val="003161D6"/>
    <w:rsid w:val="00317C44"/>
    <w:rsid w:val="00321962"/>
    <w:rsid w:val="003240CB"/>
    <w:rsid w:val="00332D1D"/>
    <w:rsid w:val="00345009"/>
    <w:rsid w:val="00345B5F"/>
    <w:rsid w:val="00360E36"/>
    <w:rsid w:val="00361857"/>
    <w:rsid w:val="00363EF0"/>
    <w:rsid w:val="00364B82"/>
    <w:rsid w:val="00366CB8"/>
    <w:rsid w:val="00370B17"/>
    <w:rsid w:val="003737E8"/>
    <w:rsid w:val="00375116"/>
    <w:rsid w:val="003778A2"/>
    <w:rsid w:val="00382820"/>
    <w:rsid w:val="0038333E"/>
    <w:rsid w:val="00384425"/>
    <w:rsid w:val="0039122D"/>
    <w:rsid w:val="00391F88"/>
    <w:rsid w:val="00395107"/>
    <w:rsid w:val="003958B3"/>
    <w:rsid w:val="00396E5C"/>
    <w:rsid w:val="003974D7"/>
    <w:rsid w:val="003A0394"/>
    <w:rsid w:val="003A0935"/>
    <w:rsid w:val="003A5C36"/>
    <w:rsid w:val="003A774F"/>
    <w:rsid w:val="003B345E"/>
    <w:rsid w:val="003B5CBF"/>
    <w:rsid w:val="003B6A5A"/>
    <w:rsid w:val="003D4B34"/>
    <w:rsid w:val="003E051D"/>
    <w:rsid w:val="00401733"/>
    <w:rsid w:val="004020DF"/>
    <w:rsid w:val="00402A59"/>
    <w:rsid w:val="004044FC"/>
    <w:rsid w:val="00404F80"/>
    <w:rsid w:val="00405FF6"/>
    <w:rsid w:val="004146BE"/>
    <w:rsid w:val="00415D8E"/>
    <w:rsid w:val="00421B9D"/>
    <w:rsid w:val="004226CE"/>
    <w:rsid w:val="00423591"/>
    <w:rsid w:val="00424FBD"/>
    <w:rsid w:val="00425A6F"/>
    <w:rsid w:val="004300F0"/>
    <w:rsid w:val="004317B1"/>
    <w:rsid w:val="0043202B"/>
    <w:rsid w:val="0043432B"/>
    <w:rsid w:val="004346CD"/>
    <w:rsid w:val="00441B72"/>
    <w:rsid w:val="0044736E"/>
    <w:rsid w:val="004537D8"/>
    <w:rsid w:val="00455553"/>
    <w:rsid w:val="00455839"/>
    <w:rsid w:val="00455846"/>
    <w:rsid w:val="0045792A"/>
    <w:rsid w:val="00464C47"/>
    <w:rsid w:val="004717C2"/>
    <w:rsid w:val="0047308D"/>
    <w:rsid w:val="004738FD"/>
    <w:rsid w:val="00475A77"/>
    <w:rsid w:val="004771F8"/>
    <w:rsid w:val="004819AB"/>
    <w:rsid w:val="00481BCE"/>
    <w:rsid w:val="004A20ED"/>
    <w:rsid w:val="004A261B"/>
    <w:rsid w:val="004A6050"/>
    <w:rsid w:val="004A6EBE"/>
    <w:rsid w:val="004A779E"/>
    <w:rsid w:val="004B03D4"/>
    <w:rsid w:val="004B17DE"/>
    <w:rsid w:val="004B18F0"/>
    <w:rsid w:val="004B31D3"/>
    <w:rsid w:val="004C19CD"/>
    <w:rsid w:val="004C2A15"/>
    <w:rsid w:val="004C45FF"/>
    <w:rsid w:val="004C670A"/>
    <w:rsid w:val="004D0E64"/>
    <w:rsid w:val="004D119C"/>
    <w:rsid w:val="004D22FE"/>
    <w:rsid w:val="004D36F4"/>
    <w:rsid w:val="004D4518"/>
    <w:rsid w:val="004D5822"/>
    <w:rsid w:val="004E0496"/>
    <w:rsid w:val="004E730E"/>
    <w:rsid w:val="004F1BC4"/>
    <w:rsid w:val="00501498"/>
    <w:rsid w:val="00513FBC"/>
    <w:rsid w:val="00514BA5"/>
    <w:rsid w:val="00530D07"/>
    <w:rsid w:val="00531CF2"/>
    <w:rsid w:val="00532ED3"/>
    <w:rsid w:val="00535295"/>
    <w:rsid w:val="005365CC"/>
    <w:rsid w:val="00543621"/>
    <w:rsid w:val="00547B83"/>
    <w:rsid w:val="0055166A"/>
    <w:rsid w:val="0055318E"/>
    <w:rsid w:val="0055523C"/>
    <w:rsid w:val="005559F3"/>
    <w:rsid w:val="005703C1"/>
    <w:rsid w:val="00577FBE"/>
    <w:rsid w:val="00582F48"/>
    <w:rsid w:val="005840D3"/>
    <w:rsid w:val="00585E8B"/>
    <w:rsid w:val="00587477"/>
    <w:rsid w:val="005921C9"/>
    <w:rsid w:val="00594A48"/>
    <w:rsid w:val="005A215E"/>
    <w:rsid w:val="005A23C5"/>
    <w:rsid w:val="005A3BDE"/>
    <w:rsid w:val="005A5239"/>
    <w:rsid w:val="005B0821"/>
    <w:rsid w:val="005B2A38"/>
    <w:rsid w:val="005B3E04"/>
    <w:rsid w:val="005B60D1"/>
    <w:rsid w:val="005C061E"/>
    <w:rsid w:val="005C107B"/>
    <w:rsid w:val="005C44F9"/>
    <w:rsid w:val="005D038F"/>
    <w:rsid w:val="005D1184"/>
    <w:rsid w:val="005D6056"/>
    <w:rsid w:val="005E2458"/>
    <w:rsid w:val="005E4B93"/>
    <w:rsid w:val="005E4D12"/>
    <w:rsid w:val="005F2959"/>
    <w:rsid w:val="005F3624"/>
    <w:rsid w:val="005F77FA"/>
    <w:rsid w:val="00607599"/>
    <w:rsid w:val="006260A4"/>
    <w:rsid w:val="006269B5"/>
    <w:rsid w:val="00642685"/>
    <w:rsid w:val="0064389B"/>
    <w:rsid w:val="0065353E"/>
    <w:rsid w:val="006536F7"/>
    <w:rsid w:val="006537B0"/>
    <w:rsid w:val="0066679F"/>
    <w:rsid w:val="006760C3"/>
    <w:rsid w:val="00680A5B"/>
    <w:rsid w:val="0068675B"/>
    <w:rsid w:val="00693B15"/>
    <w:rsid w:val="00695316"/>
    <w:rsid w:val="0069544B"/>
    <w:rsid w:val="006A45E5"/>
    <w:rsid w:val="006A7211"/>
    <w:rsid w:val="006B7356"/>
    <w:rsid w:val="006C1C4C"/>
    <w:rsid w:val="006C2108"/>
    <w:rsid w:val="006D014E"/>
    <w:rsid w:val="006D2E06"/>
    <w:rsid w:val="006D5C76"/>
    <w:rsid w:val="006E0014"/>
    <w:rsid w:val="006E179D"/>
    <w:rsid w:val="006E50F8"/>
    <w:rsid w:val="006E5DAD"/>
    <w:rsid w:val="006E6871"/>
    <w:rsid w:val="00704712"/>
    <w:rsid w:val="00706F09"/>
    <w:rsid w:val="007121C1"/>
    <w:rsid w:val="007172A7"/>
    <w:rsid w:val="0072255E"/>
    <w:rsid w:val="0073266D"/>
    <w:rsid w:val="00734ADE"/>
    <w:rsid w:val="007402D5"/>
    <w:rsid w:val="00740719"/>
    <w:rsid w:val="007417B8"/>
    <w:rsid w:val="00747A68"/>
    <w:rsid w:val="00747ED0"/>
    <w:rsid w:val="007519CB"/>
    <w:rsid w:val="00763823"/>
    <w:rsid w:val="00763923"/>
    <w:rsid w:val="00770A52"/>
    <w:rsid w:val="00772951"/>
    <w:rsid w:val="007823BF"/>
    <w:rsid w:val="0078697F"/>
    <w:rsid w:val="00791D6E"/>
    <w:rsid w:val="0079318D"/>
    <w:rsid w:val="007932E9"/>
    <w:rsid w:val="007A329D"/>
    <w:rsid w:val="007A4841"/>
    <w:rsid w:val="007B2080"/>
    <w:rsid w:val="007B4EBE"/>
    <w:rsid w:val="007B5253"/>
    <w:rsid w:val="007C0249"/>
    <w:rsid w:val="007C213B"/>
    <w:rsid w:val="007C7883"/>
    <w:rsid w:val="007D1FAB"/>
    <w:rsid w:val="007D3FFF"/>
    <w:rsid w:val="007D4279"/>
    <w:rsid w:val="007D6669"/>
    <w:rsid w:val="007D71A2"/>
    <w:rsid w:val="007D7DB5"/>
    <w:rsid w:val="007E2F1A"/>
    <w:rsid w:val="007E5A70"/>
    <w:rsid w:val="007E5B1E"/>
    <w:rsid w:val="007F08DB"/>
    <w:rsid w:val="007F08EF"/>
    <w:rsid w:val="007F0F67"/>
    <w:rsid w:val="007F17E0"/>
    <w:rsid w:val="007F5D26"/>
    <w:rsid w:val="00801655"/>
    <w:rsid w:val="008060B2"/>
    <w:rsid w:val="00812813"/>
    <w:rsid w:val="00813F8F"/>
    <w:rsid w:val="008156EC"/>
    <w:rsid w:val="008170FE"/>
    <w:rsid w:val="00821148"/>
    <w:rsid w:val="0082361E"/>
    <w:rsid w:val="008238AF"/>
    <w:rsid w:val="00824A7C"/>
    <w:rsid w:val="00825B10"/>
    <w:rsid w:val="008263B1"/>
    <w:rsid w:val="00835508"/>
    <w:rsid w:val="008411C3"/>
    <w:rsid w:val="0084521A"/>
    <w:rsid w:val="00845786"/>
    <w:rsid w:val="00845F41"/>
    <w:rsid w:val="00846033"/>
    <w:rsid w:val="0085671A"/>
    <w:rsid w:val="00857E3D"/>
    <w:rsid w:val="00857F62"/>
    <w:rsid w:val="00864669"/>
    <w:rsid w:val="00865FBC"/>
    <w:rsid w:val="00867743"/>
    <w:rsid w:val="0087633A"/>
    <w:rsid w:val="008778EE"/>
    <w:rsid w:val="00881006"/>
    <w:rsid w:val="00882882"/>
    <w:rsid w:val="008907C1"/>
    <w:rsid w:val="0089284D"/>
    <w:rsid w:val="008939B4"/>
    <w:rsid w:val="00894D81"/>
    <w:rsid w:val="008A021E"/>
    <w:rsid w:val="008A0478"/>
    <w:rsid w:val="008A2F70"/>
    <w:rsid w:val="008A5096"/>
    <w:rsid w:val="008B23AC"/>
    <w:rsid w:val="008B333B"/>
    <w:rsid w:val="008B5602"/>
    <w:rsid w:val="008D264E"/>
    <w:rsid w:val="008D3C73"/>
    <w:rsid w:val="008D561D"/>
    <w:rsid w:val="008E638E"/>
    <w:rsid w:val="008E6EDB"/>
    <w:rsid w:val="008F1AAA"/>
    <w:rsid w:val="008F4668"/>
    <w:rsid w:val="008F6F23"/>
    <w:rsid w:val="009028E1"/>
    <w:rsid w:val="00904EB4"/>
    <w:rsid w:val="00906CE5"/>
    <w:rsid w:val="00911ADE"/>
    <w:rsid w:val="0091210C"/>
    <w:rsid w:val="00912BED"/>
    <w:rsid w:val="00913E7D"/>
    <w:rsid w:val="009201BE"/>
    <w:rsid w:val="009249F2"/>
    <w:rsid w:val="00926E07"/>
    <w:rsid w:val="00932A33"/>
    <w:rsid w:val="00942A2E"/>
    <w:rsid w:val="00942DEB"/>
    <w:rsid w:val="009605D9"/>
    <w:rsid w:val="0096575D"/>
    <w:rsid w:val="0097249C"/>
    <w:rsid w:val="00973107"/>
    <w:rsid w:val="009769ED"/>
    <w:rsid w:val="00977E81"/>
    <w:rsid w:val="00983210"/>
    <w:rsid w:val="00984320"/>
    <w:rsid w:val="009912F5"/>
    <w:rsid w:val="00995244"/>
    <w:rsid w:val="00995FD1"/>
    <w:rsid w:val="009B39E4"/>
    <w:rsid w:val="009B435E"/>
    <w:rsid w:val="009C32A3"/>
    <w:rsid w:val="009D3B15"/>
    <w:rsid w:val="009E413E"/>
    <w:rsid w:val="009E5F78"/>
    <w:rsid w:val="009E7BE3"/>
    <w:rsid w:val="009F4451"/>
    <w:rsid w:val="00A0239B"/>
    <w:rsid w:val="00A16B11"/>
    <w:rsid w:val="00A16FCB"/>
    <w:rsid w:val="00A226E9"/>
    <w:rsid w:val="00A22C4A"/>
    <w:rsid w:val="00A22E04"/>
    <w:rsid w:val="00A27FBB"/>
    <w:rsid w:val="00A30DCE"/>
    <w:rsid w:val="00A44373"/>
    <w:rsid w:val="00A4480E"/>
    <w:rsid w:val="00A45166"/>
    <w:rsid w:val="00A510F4"/>
    <w:rsid w:val="00A54E9E"/>
    <w:rsid w:val="00A57488"/>
    <w:rsid w:val="00A578F6"/>
    <w:rsid w:val="00A624B4"/>
    <w:rsid w:val="00A64CE0"/>
    <w:rsid w:val="00A65D84"/>
    <w:rsid w:val="00A663B5"/>
    <w:rsid w:val="00A713E2"/>
    <w:rsid w:val="00A73580"/>
    <w:rsid w:val="00A8650A"/>
    <w:rsid w:val="00A918C6"/>
    <w:rsid w:val="00A96658"/>
    <w:rsid w:val="00AA0066"/>
    <w:rsid w:val="00AA79AE"/>
    <w:rsid w:val="00AC172F"/>
    <w:rsid w:val="00AD419C"/>
    <w:rsid w:val="00AD7E1A"/>
    <w:rsid w:val="00AE1241"/>
    <w:rsid w:val="00AE362E"/>
    <w:rsid w:val="00AE6666"/>
    <w:rsid w:val="00AF4CC2"/>
    <w:rsid w:val="00AF5B55"/>
    <w:rsid w:val="00AF65B6"/>
    <w:rsid w:val="00B01940"/>
    <w:rsid w:val="00B05015"/>
    <w:rsid w:val="00B0643E"/>
    <w:rsid w:val="00B24215"/>
    <w:rsid w:val="00B24C25"/>
    <w:rsid w:val="00B26C14"/>
    <w:rsid w:val="00B36590"/>
    <w:rsid w:val="00B36AB5"/>
    <w:rsid w:val="00B3791F"/>
    <w:rsid w:val="00B403B2"/>
    <w:rsid w:val="00B421C9"/>
    <w:rsid w:val="00B447E9"/>
    <w:rsid w:val="00B46D60"/>
    <w:rsid w:val="00B472DF"/>
    <w:rsid w:val="00B5403F"/>
    <w:rsid w:val="00B54651"/>
    <w:rsid w:val="00B54F4B"/>
    <w:rsid w:val="00B7224F"/>
    <w:rsid w:val="00B72D0F"/>
    <w:rsid w:val="00B72F28"/>
    <w:rsid w:val="00B770B8"/>
    <w:rsid w:val="00B808EC"/>
    <w:rsid w:val="00B81005"/>
    <w:rsid w:val="00B93430"/>
    <w:rsid w:val="00B95247"/>
    <w:rsid w:val="00BA013F"/>
    <w:rsid w:val="00BB30BF"/>
    <w:rsid w:val="00BB473F"/>
    <w:rsid w:val="00BB6A33"/>
    <w:rsid w:val="00BB710E"/>
    <w:rsid w:val="00BB7B44"/>
    <w:rsid w:val="00BC3A64"/>
    <w:rsid w:val="00BC3ABE"/>
    <w:rsid w:val="00BC70D9"/>
    <w:rsid w:val="00BC728E"/>
    <w:rsid w:val="00BD21FA"/>
    <w:rsid w:val="00BD4558"/>
    <w:rsid w:val="00BE2EC9"/>
    <w:rsid w:val="00BE73C7"/>
    <w:rsid w:val="00BF349F"/>
    <w:rsid w:val="00BF4CC0"/>
    <w:rsid w:val="00BF5B24"/>
    <w:rsid w:val="00BF618B"/>
    <w:rsid w:val="00C02BF8"/>
    <w:rsid w:val="00C07A1A"/>
    <w:rsid w:val="00C14DCF"/>
    <w:rsid w:val="00C16DDA"/>
    <w:rsid w:val="00C21D60"/>
    <w:rsid w:val="00C23FA2"/>
    <w:rsid w:val="00C303E9"/>
    <w:rsid w:val="00C34EE5"/>
    <w:rsid w:val="00C36826"/>
    <w:rsid w:val="00C40217"/>
    <w:rsid w:val="00C44CC3"/>
    <w:rsid w:val="00C4764A"/>
    <w:rsid w:val="00C556E6"/>
    <w:rsid w:val="00C67B7D"/>
    <w:rsid w:val="00C7505A"/>
    <w:rsid w:val="00C7700E"/>
    <w:rsid w:val="00C82298"/>
    <w:rsid w:val="00C828E7"/>
    <w:rsid w:val="00C839EF"/>
    <w:rsid w:val="00C865B4"/>
    <w:rsid w:val="00C90C1D"/>
    <w:rsid w:val="00C913CB"/>
    <w:rsid w:val="00C9436F"/>
    <w:rsid w:val="00CA0C8A"/>
    <w:rsid w:val="00CA3A05"/>
    <w:rsid w:val="00CA3B2C"/>
    <w:rsid w:val="00CA4D57"/>
    <w:rsid w:val="00CA7277"/>
    <w:rsid w:val="00CA7E61"/>
    <w:rsid w:val="00CC601F"/>
    <w:rsid w:val="00CD2C5F"/>
    <w:rsid w:val="00CD34BD"/>
    <w:rsid w:val="00CD39BF"/>
    <w:rsid w:val="00CD3A01"/>
    <w:rsid w:val="00CD6CC5"/>
    <w:rsid w:val="00CE0FCA"/>
    <w:rsid w:val="00CE1B78"/>
    <w:rsid w:val="00CE5331"/>
    <w:rsid w:val="00CE6204"/>
    <w:rsid w:val="00CE7345"/>
    <w:rsid w:val="00D00873"/>
    <w:rsid w:val="00D02294"/>
    <w:rsid w:val="00D065A7"/>
    <w:rsid w:val="00D07855"/>
    <w:rsid w:val="00D144DE"/>
    <w:rsid w:val="00D1696E"/>
    <w:rsid w:val="00D200A5"/>
    <w:rsid w:val="00D2370C"/>
    <w:rsid w:val="00D244B9"/>
    <w:rsid w:val="00D31ED7"/>
    <w:rsid w:val="00D32044"/>
    <w:rsid w:val="00D32D8A"/>
    <w:rsid w:val="00D3582A"/>
    <w:rsid w:val="00D37643"/>
    <w:rsid w:val="00D41B97"/>
    <w:rsid w:val="00D4321C"/>
    <w:rsid w:val="00D50F88"/>
    <w:rsid w:val="00D53882"/>
    <w:rsid w:val="00D551C7"/>
    <w:rsid w:val="00D60D24"/>
    <w:rsid w:val="00D643B1"/>
    <w:rsid w:val="00D6732D"/>
    <w:rsid w:val="00D7249A"/>
    <w:rsid w:val="00D74AB1"/>
    <w:rsid w:val="00D751A1"/>
    <w:rsid w:val="00D835B2"/>
    <w:rsid w:val="00D91F69"/>
    <w:rsid w:val="00DA38CB"/>
    <w:rsid w:val="00DA40BB"/>
    <w:rsid w:val="00DB21ED"/>
    <w:rsid w:val="00DB26A9"/>
    <w:rsid w:val="00DB4267"/>
    <w:rsid w:val="00DB6AFD"/>
    <w:rsid w:val="00DC1079"/>
    <w:rsid w:val="00DC1868"/>
    <w:rsid w:val="00DC291C"/>
    <w:rsid w:val="00DC5FE6"/>
    <w:rsid w:val="00DD154D"/>
    <w:rsid w:val="00DD5B62"/>
    <w:rsid w:val="00DD698B"/>
    <w:rsid w:val="00DD6D84"/>
    <w:rsid w:val="00DE2B90"/>
    <w:rsid w:val="00DE3F34"/>
    <w:rsid w:val="00DE66F0"/>
    <w:rsid w:val="00DF20F4"/>
    <w:rsid w:val="00DF371A"/>
    <w:rsid w:val="00DF6138"/>
    <w:rsid w:val="00DF6806"/>
    <w:rsid w:val="00E04CD9"/>
    <w:rsid w:val="00E15836"/>
    <w:rsid w:val="00E20830"/>
    <w:rsid w:val="00E22372"/>
    <w:rsid w:val="00E223D3"/>
    <w:rsid w:val="00E258E1"/>
    <w:rsid w:val="00E41557"/>
    <w:rsid w:val="00E4756E"/>
    <w:rsid w:val="00E51D7A"/>
    <w:rsid w:val="00E534BC"/>
    <w:rsid w:val="00E54797"/>
    <w:rsid w:val="00E6017F"/>
    <w:rsid w:val="00E63BB1"/>
    <w:rsid w:val="00E73CF3"/>
    <w:rsid w:val="00E80084"/>
    <w:rsid w:val="00E84640"/>
    <w:rsid w:val="00E84F1F"/>
    <w:rsid w:val="00E862D2"/>
    <w:rsid w:val="00E8630A"/>
    <w:rsid w:val="00E866E3"/>
    <w:rsid w:val="00E919AE"/>
    <w:rsid w:val="00E95FB2"/>
    <w:rsid w:val="00EB34EB"/>
    <w:rsid w:val="00EB4E70"/>
    <w:rsid w:val="00EC03BA"/>
    <w:rsid w:val="00EC371A"/>
    <w:rsid w:val="00EC4CA5"/>
    <w:rsid w:val="00ED1F86"/>
    <w:rsid w:val="00ED489F"/>
    <w:rsid w:val="00ED5D99"/>
    <w:rsid w:val="00ED72AF"/>
    <w:rsid w:val="00EF013A"/>
    <w:rsid w:val="00EF1249"/>
    <w:rsid w:val="00EF1900"/>
    <w:rsid w:val="00EF36A5"/>
    <w:rsid w:val="00F10F55"/>
    <w:rsid w:val="00F16153"/>
    <w:rsid w:val="00F2269D"/>
    <w:rsid w:val="00F24617"/>
    <w:rsid w:val="00F248D9"/>
    <w:rsid w:val="00F267A0"/>
    <w:rsid w:val="00F317C3"/>
    <w:rsid w:val="00F464BA"/>
    <w:rsid w:val="00F513DE"/>
    <w:rsid w:val="00F54B58"/>
    <w:rsid w:val="00F56943"/>
    <w:rsid w:val="00F601E5"/>
    <w:rsid w:val="00F602A3"/>
    <w:rsid w:val="00F623A4"/>
    <w:rsid w:val="00F6481A"/>
    <w:rsid w:val="00F903D8"/>
    <w:rsid w:val="00F916C7"/>
    <w:rsid w:val="00F93F51"/>
    <w:rsid w:val="00FA0946"/>
    <w:rsid w:val="00FA2FC4"/>
    <w:rsid w:val="00FA46E5"/>
    <w:rsid w:val="00FB2A50"/>
    <w:rsid w:val="00FB3011"/>
    <w:rsid w:val="00FB5982"/>
    <w:rsid w:val="00FC152A"/>
    <w:rsid w:val="00FD6579"/>
    <w:rsid w:val="00FE06C1"/>
    <w:rsid w:val="00FE2CBA"/>
    <w:rsid w:val="00FE3E90"/>
    <w:rsid w:val="00FF7D25"/>
    <w:rsid w:val="013219C8"/>
    <w:rsid w:val="01AE15BA"/>
    <w:rsid w:val="022C0730"/>
    <w:rsid w:val="02B25B77"/>
    <w:rsid w:val="02D04D52"/>
    <w:rsid w:val="044516F7"/>
    <w:rsid w:val="065917A1"/>
    <w:rsid w:val="068A4895"/>
    <w:rsid w:val="07865CC1"/>
    <w:rsid w:val="08B12BD3"/>
    <w:rsid w:val="090917E1"/>
    <w:rsid w:val="09106A69"/>
    <w:rsid w:val="094E1467"/>
    <w:rsid w:val="09EE37F9"/>
    <w:rsid w:val="0A5F67C4"/>
    <w:rsid w:val="0AC21C32"/>
    <w:rsid w:val="0AD777BB"/>
    <w:rsid w:val="0AF93291"/>
    <w:rsid w:val="0C3D1EB8"/>
    <w:rsid w:val="0C801DA5"/>
    <w:rsid w:val="0CB40DE6"/>
    <w:rsid w:val="0D0D639A"/>
    <w:rsid w:val="0D4B59D5"/>
    <w:rsid w:val="0D4D6A8C"/>
    <w:rsid w:val="0D5B6275"/>
    <w:rsid w:val="0EC10A41"/>
    <w:rsid w:val="0EC61D01"/>
    <w:rsid w:val="0F19286B"/>
    <w:rsid w:val="0F662CE2"/>
    <w:rsid w:val="0FE11533"/>
    <w:rsid w:val="10A31851"/>
    <w:rsid w:val="10A94BB8"/>
    <w:rsid w:val="10B30F68"/>
    <w:rsid w:val="11403123"/>
    <w:rsid w:val="12244F80"/>
    <w:rsid w:val="12485112"/>
    <w:rsid w:val="129B01A8"/>
    <w:rsid w:val="135103B7"/>
    <w:rsid w:val="13A659AB"/>
    <w:rsid w:val="146A0021"/>
    <w:rsid w:val="14E81685"/>
    <w:rsid w:val="153107BE"/>
    <w:rsid w:val="156D00FF"/>
    <w:rsid w:val="159F500E"/>
    <w:rsid w:val="15B036FB"/>
    <w:rsid w:val="15F7457D"/>
    <w:rsid w:val="169326D4"/>
    <w:rsid w:val="174D31CB"/>
    <w:rsid w:val="17A56CAE"/>
    <w:rsid w:val="182C48E3"/>
    <w:rsid w:val="184C1E5E"/>
    <w:rsid w:val="186175D4"/>
    <w:rsid w:val="194062FB"/>
    <w:rsid w:val="1A2B77F4"/>
    <w:rsid w:val="1A3F3860"/>
    <w:rsid w:val="1AB36AD5"/>
    <w:rsid w:val="1B5E59A7"/>
    <w:rsid w:val="1B783377"/>
    <w:rsid w:val="1B9A2198"/>
    <w:rsid w:val="1BE3708C"/>
    <w:rsid w:val="1C080CFB"/>
    <w:rsid w:val="1C393D1E"/>
    <w:rsid w:val="1D2B664D"/>
    <w:rsid w:val="1D77071A"/>
    <w:rsid w:val="1DDA0EB6"/>
    <w:rsid w:val="1E55507B"/>
    <w:rsid w:val="1F0617AF"/>
    <w:rsid w:val="1F166329"/>
    <w:rsid w:val="1F9F2057"/>
    <w:rsid w:val="1FC20CFF"/>
    <w:rsid w:val="20296706"/>
    <w:rsid w:val="204C362A"/>
    <w:rsid w:val="20C368F8"/>
    <w:rsid w:val="211E7B23"/>
    <w:rsid w:val="21336A03"/>
    <w:rsid w:val="21503898"/>
    <w:rsid w:val="21991621"/>
    <w:rsid w:val="225E0A1A"/>
    <w:rsid w:val="225E4AC7"/>
    <w:rsid w:val="22E14319"/>
    <w:rsid w:val="232F02A4"/>
    <w:rsid w:val="23F43EF2"/>
    <w:rsid w:val="24DB0068"/>
    <w:rsid w:val="25F8534E"/>
    <w:rsid w:val="27363334"/>
    <w:rsid w:val="27533EE6"/>
    <w:rsid w:val="286640ED"/>
    <w:rsid w:val="286D5C93"/>
    <w:rsid w:val="29CA26C7"/>
    <w:rsid w:val="29EC4C3C"/>
    <w:rsid w:val="2AA40CE7"/>
    <w:rsid w:val="2AB071E6"/>
    <w:rsid w:val="2AB71FB6"/>
    <w:rsid w:val="2B285689"/>
    <w:rsid w:val="2B3763B3"/>
    <w:rsid w:val="2BA07916"/>
    <w:rsid w:val="2BD30E9C"/>
    <w:rsid w:val="2BD630A1"/>
    <w:rsid w:val="2C3F2356"/>
    <w:rsid w:val="2CB76CC5"/>
    <w:rsid w:val="2CCA6A56"/>
    <w:rsid w:val="2D436988"/>
    <w:rsid w:val="2E920B22"/>
    <w:rsid w:val="2F643C4E"/>
    <w:rsid w:val="30C16364"/>
    <w:rsid w:val="322E4844"/>
    <w:rsid w:val="3273368E"/>
    <w:rsid w:val="33092244"/>
    <w:rsid w:val="33356B95"/>
    <w:rsid w:val="33FE18E2"/>
    <w:rsid w:val="3489489A"/>
    <w:rsid w:val="350C467A"/>
    <w:rsid w:val="35106D39"/>
    <w:rsid w:val="35853A9F"/>
    <w:rsid w:val="358E7516"/>
    <w:rsid w:val="35BD05E5"/>
    <w:rsid w:val="36406C01"/>
    <w:rsid w:val="36D52B69"/>
    <w:rsid w:val="374C704E"/>
    <w:rsid w:val="3787194D"/>
    <w:rsid w:val="378816EF"/>
    <w:rsid w:val="383051EC"/>
    <w:rsid w:val="392C4B7E"/>
    <w:rsid w:val="394C64E9"/>
    <w:rsid w:val="396A15C3"/>
    <w:rsid w:val="3B32271F"/>
    <w:rsid w:val="3B84310D"/>
    <w:rsid w:val="3BAA6D17"/>
    <w:rsid w:val="3C676D43"/>
    <w:rsid w:val="3CEA420A"/>
    <w:rsid w:val="3CEE1D4C"/>
    <w:rsid w:val="3DA908AC"/>
    <w:rsid w:val="3DB060F1"/>
    <w:rsid w:val="3DCC55BB"/>
    <w:rsid w:val="3F5D2B3A"/>
    <w:rsid w:val="3F9F4367"/>
    <w:rsid w:val="3FBB48C6"/>
    <w:rsid w:val="3FE0432D"/>
    <w:rsid w:val="3FFC1167"/>
    <w:rsid w:val="40270DAD"/>
    <w:rsid w:val="40955117"/>
    <w:rsid w:val="412C40D1"/>
    <w:rsid w:val="413C37E5"/>
    <w:rsid w:val="435C657B"/>
    <w:rsid w:val="445E4006"/>
    <w:rsid w:val="452E25E2"/>
    <w:rsid w:val="453B46DA"/>
    <w:rsid w:val="453F5652"/>
    <w:rsid w:val="458D77A6"/>
    <w:rsid w:val="459D541B"/>
    <w:rsid w:val="45AC0314"/>
    <w:rsid w:val="4608590C"/>
    <w:rsid w:val="460B72B5"/>
    <w:rsid w:val="4621793D"/>
    <w:rsid w:val="462A4554"/>
    <w:rsid w:val="46767799"/>
    <w:rsid w:val="467B1005"/>
    <w:rsid w:val="46A77952"/>
    <w:rsid w:val="479240E4"/>
    <w:rsid w:val="48387928"/>
    <w:rsid w:val="48757D08"/>
    <w:rsid w:val="487A3C34"/>
    <w:rsid w:val="49C02229"/>
    <w:rsid w:val="4B3612CD"/>
    <w:rsid w:val="4B466FC9"/>
    <w:rsid w:val="4BA4477F"/>
    <w:rsid w:val="4D001B6A"/>
    <w:rsid w:val="4D761E2D"/>
    <w:rsid w:val="4D875AEF"/>
    <w:rsid w:val="4DF71675"/>
    <w:rsid w:val="4E4A7541"/>
    <w:rsid w:val="4E6E7530"/>
    <w:rsid w:val="4E6F0C06"/>
    <w:rsid w:val="51290E9D"/>
    <w:rsid w:val="52024F4A"/>
    <w:rsid w:val="521C7D39"/>
    <w:rsid w:val="52725202"/>
    <w:rsid w:val="53184E30"/>
    <w:rsid w:val="5336549F"/>
    <w:rsid w:val="557A2C1D"/>
    <w:rsid w:val="5587107B"/>
    <w:rsid w:val="55BF6A67"/>
    <w:rsid w:val="560C305F"/>
    <w:rsid w:val="566D64C3"/>
    <w:rsid w:val="576B0616"/>
    <w:rsid w:val="579719E1"/>
    <w:rsid w:val="57BB325E"/>
    <w:rsid w:val="57D63138"/>
    <w:rsid w:val="58110BCB"/>
    <w:rsid w:val="58D603B7"/>
    <w:rsid w:val="58FF4954"/>
    <w:rsid w:val="59EE3C8E"/>
    <w:rsid w:val="5B5E0F00"/>
    <w:rsid w:val="5B8560DB"/>
    <w:rsid w:val="5D645E2F"/>
    <w:rsid w:val="5D6705E7"/>
    <w:rsid w:val="5D8660BC"/>
    <w:rsid w:val="5D8E48EC"/>
    <w:rsid w:val="5DDE0EF2"/>
    <w:rsid w:val="5DE057CC"/>
    <w:rsid w:val="5E8F3D62"/>
    <w:rsid w:val="5EF02608"/>
    <w:rsid w:val="5F174C09"/>
    <w:rsid w:val="5F213199"/>
    <w:rsid w:val="5F215CB5"/>
    <w:rsid w:val="5F2E3793"/>
    <w:rsid w:val="60470FEA"/>
    <w:rsid w:val="608E59B3"/>
    <w:rsid w:val="608F7035"/>
    <w:rsid w:val="60B1016D"/>
    <w:rsid w:val="61A6391B"/>
    <w:rsid w:val="61E723CC"/>
    <w:rsid w:val="621C1D54"/>
    <w:rsid w:val="62785FB1"/>
    <w:rsid w:val="62C377FD"/>
    <w:rsid w:val="62C61B62"/>
    <w:rsid w:val="631A75CF"/>
    <w:rsid w:val="637D216D"/>
    <w:rsid w:val="63B82D47"/>
    <w:rsid w:val="63CB4828"/>
    <w:rsid w:val="655B26C1"/>
    <w:rsid w:val="65983C87"/>
    <w:rsid w:val="66B44169"/>
    <w:rsid w:val="672572C9"/>
    <w:rsid w:val="67765C92"/>
    <w:rsid w:val="67FC610F"/>
    <w:rsid w:val="68556DB7"/>
    <w:rsid w:val="68CA1553"/>
    <w:rsid w:val="6A372895"/>
    <w:rsid w:val="6BEF7107"/>
    <w:rsid w:val="6C66644F"/>
    <w:rsid w:val="6C830396"/>
    <w:rsid w:val="6C8C675E"/>
    <w:rsid w:val="6C8D626A"/>
    <w:rsid w:val="6D732880"/>
    <w:rsid w:val="6D9E2FAE"/>
    <w:rsid w:val="6E362785"/>
    <w:rsid w:val="6F1E2035"/>
    <w:rsid w:val="6FA24510"/>
    <w:rsid w:val="701D28B0"/>
    <w:rsid w:val="7148086A"/>
    <w:rsid w:val="71AE3117"/>
    <w:rsid w:val="73EF0213"/>
    <w:rsid w:val="74161AF0"/>
    <w:rsid w:val="7478299F"/>
    <w:rsid w:val="748950FC"/>
    <w:rsid w:val="7571237D"/>
    <w:rsid w:val="75A45B38"/>
    <w:rsid w:val="75C97621"/>
    <w:rsid w:val="75F83B2E"/>
    <w:rsid w:val="766537ED"/>
    <w:rsid w:val="767710B2"/>
    <w:rsid w:val="768F7938"/>
    <w:rsid w:val="76E0164E"/>
    <w:rsid w:val="76FB321F"/>
    <w:rsid w:val="773405DA"/>
    <w:rsid w:val="775F36A1"/>
    <w:rsid w:val="77955421"/>
    <w:rsid w:val="77C95EEC"/>
    <w:rsid w:val="77F4482B"/>
    <w:rsid w:val="781E1859"/>
    <w:rsid w:val="789D7585"/>
    <w:rsid w:val="78D22FF2"/>
    <w:rsid w:val="791473AE"/>
    <w:rsid w:val="793F6063"/>
    <w:rsid w:val="79984985"/>
    <w:rsid w:val="79996D18"/>
    <w:rsid w:val="79B83691"/>
    <w:rsid w:val="7A4E0664"/>
    <w:rsid w:val="7AD47607"/>
    <w:rsid w:val="7ADC2D9C"/>
    <w:rsid w:val="7B96182F"/>
    <w:rsid w:val="7C6333F8"/>
    <w:rsid w:val="7CBE4869"/>
    <w:rsid w:val="7CC35590"/>
    <w:rsid w:val="7CE12914"/>
    <w:rsid w:val="7D40798F"/>
    <w:rsid w:val="7DC01526"/>
    <w:rsid w:val="7E394D59"/>
    <w:rsid w:val="7EC363D0"/>
    <w:rsid w:val="7F840255"/>
    <w:rsid w:val="7FA75CF2"/>
    <w:rsid w:val="7FB66D9C"/>
    <w:rsid w:val="7FE900B8"/>
    <w:rsid w:val="7FFE6A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autoRedefine/>
    <w:qFormat/>
    <w:uiPriority w:val="99"/>
    <w:pPr>
      <w:keepNext/>
      <w:keepLines/>
      <w:spacing w:beforeLines="100" w:afterLines="100"/>
      <w:jc w:val="center"/>
      <w:outlineLvl w:val="1"/>
    </w:pPr>
    <w:rPr>
      <w:rFonts w:ascii="Arial" w:hAnsi="Arial" w:eastAsia="黑体"/>
      <w:b/>
      <w:bCs/>
      <w:sz w:val="30"/>
      <w:szCs w:val="32"/>
    </w:rPr>
  </w:style>
  <w:style w:type="paragraph" w:styleId="5">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semiHidden/>
    <w:unhideWhenUsed/>
    <w:qFormat/>
    <w:uiPriority w:val="99"/>
    <w:pPr>
      <w:spacing w:after="120"/>
    </w:pPr>
  </w:style>
  <w:style w:type="paragraph" w:styleId="6">
    <w:name w:val="Normal Indent"/>
    <w:basedOn w:val="1"/>
    <w:autoRedefine/>
    <w:qFormat/>
    <w:uiPriority w:val="0"/>
    <w:pPr>
      <w:ind w:firstLine="420"/>
    </w:pPr>
    <w:rPr>
      <w:rFonts w:ascii="Times New Roman"/>
    </w:rPr>
  </w:style>
  <w:style w:type="paragraph" w:styleId="7">
    <w:name w:val="annotation text"/>
    <w:basedOn w:val="1"/>
    <w:link w:val="29"/>
    <w:autoRedefine/>
    <w:semiHidden/>
    <w:unhideWhenUsed/>
    <w:qFormat/>
    <w:uiPriority w:val="99"/>
    <w:pPr>
      <w:jc w:val="left"/>
    </w:pPr>
  </w:style>
  <w:style w:type="paragraph" w:styleId="8">
    <w:name w:val="Body Text Indent"/>
    <w:basedOn w:val="1"/>
    <w:autoRedefine/>
    <w:qFormat/>
    <w:uiPriority w:val="0"/>
    <w:pPr>
      <w:ind w:firstLine="660"/>
    </w:pPr>
    <w:rPr>
      <w:rFonts w:ascii="宋体" w:hAnsi="宋体"/>
      <w:color w:val="000000"/>
      <w:kern w:val="0"/>
      <w:sz w:val="24"/>
      <w:szCs w:val="24"/>
    </w:rPr>
  </w:style>
  <w:style w:type="paragraph" w:styleId="9">
    <w:name w:val="Plain Text"/>
    <w:basedOn w:val="1"/>
    <w:autoRedefine/>
    <w:unhideWhenUsed/>
    <w:qFormat/>
    <w:uiPriority w:val="99"/>
    <w:rPr>
      <w:rFonts w:ascii="宋体" w:hAnsi="Courier New" w:eastAsia="宋体"/>
    </w:rPr>
  </w:style>
  <w:style w:type="paragraph" w:styleId="10">
    <w:name w:val="Date"/>
    <w:basedOn w:val="1"/>
    <w:next w:val="1"/>
    <w:link w:val="32"/>
    <w:autoRedefine/>
    <w:semiHidden/>
    <w:unhideWhenUsed/>
    <w:qFormat/>
    <w:uiPriority w:val="99"/>
    <w:pPr>
      <w:ind w:left="100" w:leftChars="2500"/>
    </w:pPr>
  </w:style>
  <w:style w:type="paragraph" w:styleId="11">
    <w:name w:val="Balloon Text"/>
    <w:basedOn w:val="1"/>
    <w:link w:val="31"/>
    <w:autoRedefine/>
    <w:semiHidden/>
    <w:unhideWhenUsed/>
    <w:qFormat/>
    <w:uiPriority w:val="99"/>
    <w:rPr>
      <w:sz w:val="18"/>
      <w:szCs w:val="18"/>
    </w:rPr>
  </w:style>
  <w:style w:type="paragraph" w:styleId="12">
    <w:name w:val="footer"/>
    <w:basedOn w:val="1"/>
    <w:link w:val="28"/>
    <w:autoRedefine/>
    <w:unhideWhenUsed/>
    <w:qFormat/>
    <w:uiPriority w:val="99"/>
    <w:pPr>
      <w:tabs>
        <w:tab w:val="center" w:pos="4153"/>
        <w:tab w:val="right" w:pos="8306"/>
      </w:tabs>
      <w:snapToGrid w:val="0"/>
      <w:jc w:val="left"/>
    </w:pPr>
    <w:rPr>
      <w:sz w:val="18"/>
      <w:szCs w:val="18"/>
    </w:rPr>
  </w:style>
  <w:style w:type="paragraph" w:styleId="13">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autoRedefine/>
    <w:semiHidden/>
    <w:unhideWhenUsed/>
    <w:qFormat/>
    <w:uiPriority w:val="99"/>
    <w:rPr>
      <w:rFonts w:ascii="Times New Roman" w:hAnsi="Times New Roman" w:cs="Times New Roman"/>
      <w:sz w:val="24"/>
      <w:szCs w:val="24"/>
    </w:rPr>
  </w:style>
  <w:style w:type="paragraph" w:styleId="15">
    <w:name w:val="annotation subject"/>
    <w:basedOn w:val="7"/>
    <w:next w:val="7"/>
    <w:link w:val="30"/>
    <w:autoRedefine/>
    <w:semiHidden/>
    <w:unhideWhenUsed/>
    <w:qFormat/>
    <w:uiPriority w:val="99"/>
    <w:rPr>
      <w:b/>
      <w:bCs/>
    </w:rPr>
  </w:style>
  <w:style w:type="paragraph" w:styleId="16">
    <w:name w:val="Body Text First Indent"/>
    <w:basedOn w:val="2"/>
    <w:next w:val="1"/>
    <w:autoRedefine/>
    <w:qFormat/>
    <w:uiPriority w:val="0"/>
    <w:pPr>
      <w:ind w:firstLine="420" w:firstLineChars="100"/>
    </w:pPr>
  </w:style>
  <w:style w:type="paragraph" w:styleId="17">
    <w:name w:val="Body Text First Indent 2"/>
    <w:basedOn w:val="8"/>
    <w:autoRedefine/>
    <w:qFormat/>
    <w:uiPriority w:val="0"/>
    <w:pPr>
      <w:ind w:firstLine="420"/>
    </w:pPr>
  </w:style>
  <w:style w:type="table" w:styleId="19">
    <w:name w:val="Table Grid"/>
    <w:basedOn w:val="18"/>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Strong"/>
    <w:basedOn w:val="20"/>
    <w:qFormat/>
    <w:uiPriority w:val="22"/>
    <w:rPr>
      <w:b/>
    </w:rPr>
  </w:style>
  <w:style w:type="character" w:styleId="22">
    <w:name w:val="Emphasis"/>
    <w:basedOn w:val="20"/>
    <w:autoRedefine/>
    <w:qFormat/>
    <w:uiPriority w:val="20"/>
    <w:rPr>
      <w:i/>
    </w:rPr>
  </w:style>
  <w:style w:type="character" w:styleId="23">
    <w:name w:val="annotation reference"/>
    <w:basedOn w:val="20"/>
    <w:autoRedefine/>
    <w:semiHidden/>
    <w:unhideWhenUsed/>
    <w:qFormat/>
    <w:uiPriority w:val="99"/>
    <w:rPr>
      <w:sz w:val="21"/>
      <w:szCs w:val="21"/>
    </w:rPr>
  </w:style>
  <w:style w:type="paragraph" w:customStyle="1" w:styleId="24">
    <w:name w:val="表格文字"/>
    <w:basedOn w:val="25"/>
    <w:autoRedefine/>
    <w:qFormat/>
    <w:uiPriority w:val="0"/>
  </w:style>
  <w:style w:type="paragraph" w:customStyle="1" w:styleId="25">
    <w:name w:val="表格文字（两侧对齐）"/>
    <w:basedOn w:val="1"/>
    <w:autoRedefine/>
    <w:qFormat/>
    <w:uiPriority w:val="0"/>
    <w:pPr>
      <w:widowControl w:val="0"/>
      <w:spacing w:line="240" w:lineRule="auto"/>
      <w:ind w:firstLine="0" w:firstLineChars="0"/>
    </w:pPr>
    <w:rPr>
      <w:rFonts w:ascii="Calibri" w:hAnsi="Calibri" w:cs="Times New Roman"/>
      <w:kern w:val="0"/>
      <w:sz w:val="20"/>
    </w:rPr>
  </w:style>
  <w:style w:type="paragraph" w:styleId="26">
    <w:name w:val="List Paragraph"/>
    <w:basedOn w:val="1"/>
    <w:autoRedefine/>
    <w:qFormat/>
    <w:uiPriority w:val="34"/>
    <w:pPr>
      <w:ind w:firstLine="420" w:firstLineChars="200"/>
    </w:pPr>
  </w:style>
  <w:style w:type="character" w:customStyle="1" w:styleId="27">
    <w:name w:val="页眉 Char"/>
    <w:basedOn w:val="20"/>
    <w:link w:val="13"/>
    <w:autoRedefine/>
    <w:qFormat/>
    <w:uiPriority w:val="99"/>
    <w:rPr>
      <w:sz w:val="18"/>
      <w:szCs w:val="18"/>
    </w:rPr>
  </w:style>
  <w:style w:type="character" w:customStyle="1" w:styleId="28">
    <w:name w:val="页脚 Char"/>
    <w:basedOn w:val="20"/>
    <w:link w:val="12"/>
    <w:autoRedefine/>
    <w:qFormat/>
    <w:uiPriority w:val="99"/>
    <w:rPr>
      <w:sz w:val="18"/>
      <w:szCs w:val="18"/>
    </w:rPr>
  </w:style>
  <w:style w:type="character" w:customStyle="1" w:styleId="29">
    <w:name w:val="批注文字 Char"/>
    <w:basedOn w:val="20"/>
    <w:link w:val="7"/>
    <w:autoRedefine/>
    <w:semiHidden/>
    <w:qFormat/>
    <w:uiPriority w:val="99"/>
  </w:style>
  <w:style w:type="character" w:customStyle="1" w:styleId="30">
    <w:name w:val="批注主题 Char"/>
    <w:basedOn w:val="29"/>
    <w:link w:val="15"/>
    <w:autoRedefine/>
    <w:semiHidden/>
    <w:qFormat/>
    <w:uiPriority w:val="99"/>
    <w:rPr>
      <w:b/>
      <w:bCs/>
    </w:rPr>
  </w:style>
  <w:style w:type="character" w:customStyle="1" w:styleId="31">
    <w:name w:val="批注框文本 Char"/>
    <w:basedOn w:val="20"/>
    <w:link w:val="11"/>
    <w:autoRedefine/>
    <w:semiHidden/>
    <w:qFormat/>
    <w:uiPriority w:val="99"/>
    <w:rPr>
      <w:sz w:val="18"/>
      <w:szCs w:val="18"/>
    </w:rPr>
  </w:style>
  <w:style w:type="character" w:customStyle="1" w:styleId="32">
    <w:name w:val="日期 Char"/>
    <w:basedOn w:val="20"/>
    <w:link w:val="10"/>
    <w:autoRedefine/>
    <w:semiHidden/>
    <w:qFormat/>
    <w:uiPriority w:val="99"/>
  </w:style>
  <w:style w:type="table" w:customStyle="1" w:styleId="33">
    <w:name w:val="网格型1"/>
    <w:basedOn w:val="1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4">
    <w:name w:val="NormalCharacter"/>
    <w:autoRedefine/>
    <w:qFormat/>
    <w:uiPriority w:val="0"/>
    <w:rPr>
      <w:rFonts w:ascii="Times New Roman" w:hAnsi="Times New Roman" w:eastAsia="宋体" w:cs="Times New Roman"/>
      <w:kern w:val="2"/>
      <w:sz w:val="21"/>
      <w:szCs w:val="24"/>
      <w:lang w:val="en-US" w:eastAsia="zh-CN" w:bidi="ar-SA"/>
    </w:rPr>
  </w:style>
  <w:style w:type="paragraph" w:customStyle="1" w:styleId="35">
    <w:name w:val="Body text|1"/>
    <w:basedOn w:val="1"/>
    <w:autoRedefine/>
    <w:qFormat/>
    <w:uiPriority w:val="0"/>
    <w:pPr>
      <w:spacing w:line="480" w:lineRule="auto"/>
      <w:ind w:firstLine="400"/>
    </w:pPr>
    <w:rPr>
      <w:rFonts w:ascii="宋体" w:hAnsi="宋体" w:cs="宋体"/>
      <w:sz w:val="26"/>
      <w:szCs w:val="26"/>
      <w:lang w:val="zh-TW" w:eastAsia="zh-TW" w:bidi="zh-TW"/>
    </w:rPr>
  </w:style>
  <w:style w:type="paragraph" w:customStyle="1" w:styleId="36">
    <w:name w:val=".正文"/>
    <w:basedOn w:val="1"/>
    <w:autoRedefine/>
    <w:qFormat/>
    <w:uiPriority w:val="0"/>
    <w:pPr>
      <w:widowControl w:val="0"/>
      <w:spacing w:beforeLines="50"/>
      <w:ind w:firstLine="200" w:firstLineChars="200"/>
      <w:jc w:val="both"/>
    </w:pPr>
    <w:rPr>
      <w:rFonts w:ascii="Calibri" w:hAnsi="Calibri" w:eastAsia="华文仿宋"/>
      <w:kern w:val="2"/>
      <w:sz w:val="21"/>
      <w:szCs w:val="22"/>
    </w:rPr>
  </w:style>
  <w:style w:type="character" w:customStyle="1" w:styleId="37">
    <w:name w:val="font61"/>
    <w:basedOn w:val="20"/>
    <w:autoRedefine/>
    <w:qFormat/>
    <w:uiPriority w:val="0"/>
    <w:rPr>
      <w:rFonts w:hint="eastAsia" w:ascii="仿宋_GB2312" w:eastAsia="仿宋_GB2312" w:cs="仿宋_GB2312"/>
      <w:color w:val="000000"/>
      <w:sz w:val="22"/>
      <w:szCs w:val="22"/>
      <w:u w:val="none"/>
    </w:rPr>
  </w:style>
  <w:style w:type="paragraph" w:customStyle="1" w:styleId="38">
    <w:name w:val="null3"/>
    <w:autoRedefine/>
    <w:hidden/>
    <w:qFormat/>
    <w:uiPriority w:val="0"/>
    <w:rPr>
      <w:rFonts w:hint="eastAsia" w:asciiTheme="minorHAnsi" w:hAnsiTheme="minorHAnsi" w:eastAsiaTheme="minorEastAsia" w:cstheme="minorBidi"/>
      <w:lang w:val="en-US" w:eastAsia="zh-Hans"/>
    </w:rPr>
  </w:style>
  <w:style w:type="paragraph" w:customStyle="1" w:styleId="39">
    <w:name w:val="列出段落1"/>
    <w:basedOn w:val="1"/>
    <w:autoRedefine/>
    <w:qFormat/>
    <w:uiPriority w:val="34"/>
    <w:pPr>
      <w:autoSpaceDE/>
      <w:autoSpaceDN/>
      <w:ind w:firstLine="420" w:firstLineChars="200"/>
      <w:jc w:val="both"/>
    </w:pPr>
    <w:rPr>
      <w:rFonts w:ascii="Times New Roman" w:hAnsi="Times New Roman" w:cs="Times New Roman"/>
      <w:kern w:val="2"/>
      <w:sz w:val="21"/>
      <w:szCs w:val="24"/>
      <w:lang w:val="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1C57AC-F384-4852-B080-CB945217BE0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3203</Words>
  <Characters>3390</Characters>
  <Lines>49</Lines>
  <Paragraphs>13</Paragraphs>
  <TotalTime>3</TotalTime>
  <ScaleCrop>false</ScaleCrop>
  <LinksUpToDate>false</LinksUpToDate>
  <CharactersWithSpaces>3399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2020-10-16T02:30:00Z</dcterms:created>
  <dc:creator>林央芝</dc:creator>
  <cp:lastModifiedBy>杨沁菀</cp:lastModifiedBy>
  <cp:lastPrinted>2020-10-19T07:41:00Z</cp:lastPrinted>
  <dcterms:modified xsi:type="dcterms:W3CDTF">2025-08-11T01:18:45Z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549472479</vt:i4>
  </property>
  <property fmtid="{D5CDD505-2E9C-101B-9397-08002B2CF9AE}" pid="3" name="KSOProductBuildVer">
    <vt:lpwstr>2052-12.1.0.22215</vt:lpwstr>
  </property>
  <property fmtid="{D5CDD505-2E9C-101B-9397-08002B2CF9AE}" pid="4" name="ICV">
    <vt:lpwstr>B6CF43524BA74574B94F28155203294F_13</vt:lpwstr>
  </property>
  <property fmtid="{D5CDD505-2E9C-101B-9397-08002B2CF9AE}" pid="5" name="KSOTemplateDocerSaveRecord">
    <vt:lpwstr>eyJoZGlkIjoiODg2NGRhZTE4ZDQ1NWU0NTliNDQ5YTk5NzNjMzQ3MzEiLCJ1c2VySWQiOiI0NTc0NTM5ODIifQ==</vt:lpwstr>
  </property>
</Properties>
</file>