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bidi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一、项目概况</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w:t>
      </w:r>
      <w:r>
        <w:rPr>
          <w:rFonts w:hint="eastAsia" w:ascii="宋体" w:hAnsi="宋体" w:cs="宋体"/>
          <w:b w:val="0"/>
          <w:bCs w:val="0"/>
          <w:sz w:val="24"/>
          <w:szCs w:val="24"/>
          <w:lang w:val="en-US" w:eastAsia="zh-CN"/>
        </w:rPr>
        <w:t>危险</w:t>
      </w:r>
      <w:r>
        <w:rPr>
          <w:rFonts w:hint="eastAsia" w:ascii="宋体" w:hAnsi="宋体" w:eastAsia="宋体" w:cs="宋体"/>
          <w:color w:val="000000"/>
          <w:sz w:val="24"/>
          <w:szCs w:val="24"/>
          <w:vertAlign w:val="baseline"/>
          <w:lang w:val="en-US" w:eastAsia="zh-CN"/>
        </w:rPr>
        <w:t>化学品配送服务项目</w:t>
      </w:r>
    </w:p>
    <w:p>
      <w:pPr>
        <w:bidi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2.项目地址：</w:t>
      </w:r>
      <w:r>
        <w:rPr>
          <w:rFonts w:hint="eastAsia" w:ascii="宋体" w:hAnsi="宋体" w:cs="宋体"/>
          <w:b w:val="0"/>
          <w:bCs w:val="0"/>
          <w:sz w:val="24"/>
          <w:szCs w:val="24"/>
          <w:lang w:val="en-US" w:eastAsia="zh-CN"/>
        </w:rPr>
        <w:t>采购人指定地点</w:t>
      </w:r>
    </w:p>
    <w:p>
      <w:pPr>
        <w:bidi w:val="0"/>
        <w:spacing w:line="360" w:lineRule="auto"/>
        <w:ind w:firstLine="480" w:firstLineChars="200"/>
        <w:rPr>
          <w:rFonts w:hint="default"/>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本项目最高限价为人民币</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万元，</w:t>
      </w:r>
    </w:p>
    <w:p>
      <w:pPr>
        <w:bidi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w:t>
      </w:r>
      <w:r>
        <w:rPr>
          <w:rFonts w:hint="eastAsia" w:ascii="宋体" w:hAnsi="宋体" w:cs="宋体"/>
          <w:b w:val="0"/>
          <w:bCs w:val="0"/>
          <w:sz w:val="24"/>
          <w:szCs w:val="24"/>
          <w:lang w:val="en-US" w:eastAsia="zh-CN"/>
        </w:rPr>
        <w:t>技术</w:t>
      </w:r>
      <w:r>
        <w:rPr>
          <w:rFonts w:hint="eastAsia" w:ascii="宋体" w:hAnsi="宋体" w:eastAsia="宋体" w:cs="宋体"/>
          <w:b w:val="0"/>
          <w:bCs w:val="0"/>
          <w:sz w:val="24"/>
          <w:szCs w:val="24"/>
          <w:lang w:val="en-US" w:eastAsia="zh-CN"/>
        </w:rPr>
        <w:t>要求</w:t>
      </w:r>
    </w:p>
    <w:p>
      <w:pPr>
        <w:pStyle w:val="2"/>
        <w:spacing w:line="360" w:lineRule="auto"/>
        <w:ind w:left="0" w:leftChars="0" w:firstLine="0" w:firstLineChars="0"/>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技术要求</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753"/>
        <w:gridCol w:w="1467"/>
        <w:gridCol w:w="800"/>
        <w:gridCol w:w="1347"/>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规格</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单位</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单价限价</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（元）</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苯酚</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47.25</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分析纯，无色针状结晶或结晶块，含量≥99.0%。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苯甲酸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AR250g</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49.50</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分析纯，片状或针状结晶，含量≥99.5%。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冰乙酸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24.50</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分析纯，蒸发残渣≤0.002%，结晶点≥15.1℃。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冰乙酸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AR5000ml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235.30</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分析纯，蒸发残渣≤0.002%，结晶点≥15.1℃。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丙三醇</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36.25</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分析纯，无色透明黏稠液体，纯度≥99.5%。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次氯酸钠溶液</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分析纯，浅黄绿色透明液体，活性氯含量≥5.5%。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碘</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AR250g</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462.00</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分析纯，灰黑色具有金属光泽片状结晶，含量≥99.8%。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碘化钾</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463.50</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分析纯，pH值(50g/L,25℃)6.0～8.0。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二甲苯</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24.69</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分析纯，蒸发残渣≤0.001%，水分(H2O)≤0.03%。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甲醇</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16.10</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分析纯，蒸发残渣≤0.001%，水分(H2O)≤0.1%。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甲醇</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80.33</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分析纯，蒸发残渣≤0.001%，水分(H2O)≤0.1%。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highlight w:val="yellow"/>
              </w:rPr>
            </w:pPr>
            <w:r>
              <w:rPr>
                <w:rFonts w:hint="eastAsia" w:ascii="宋体" w:hAnsi="宋体" w:eastAsia="宋体" w:cs="宋体"/>
                <w:i w:val="0"/>
                <w:iCs w:val="0"/>
                <w:color w:val="000000"/>
                <w:kern w:val="0"/>
                <w:sz w:val="24"/>
                <w:szCs w:val="24"/>
                <w:u w:val="none"/>
                <w:lang w:val="en-US" w:eastAsia="zh-CN" w:bidi="ar"/>
              </w:rPr>
              <w:t>甲醛</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highlight w:val="yellow"/>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17.01</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highlight w:val="yellow"/>
              </w:rPr>
            </w:pPr>
            <w:r>
              <w:rPr>
                <w:rFonts w:hint="eastAsia" w:ascii="宋体" w:hAnsi="宋体" w:eastAsia="宋体" w:cs="宋体"/>
                <w:i w:val="0"/>
                <w:iCs w:val="0"/>
                <w:color w:val="000000"/>
                <w:kern w:val="0"/>
                <w:sz w:val="24"/>
                <w:szCs w:val="24"/>
                <w:u w:val="none"/>
                <w:lang w:val="en-US" w:eastAsia="zh-CN" w:bidi="ar"/>
              </w:rPr>
              <w:t>分析纯，含量37.0~40.0%。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甲酸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28.84</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分析纯，无色透明液体，含量≥88.0%，铁(Fe) ≤0.0003%。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磷酸氢二钠</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36.75</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分析纯，白色粉末、片状或粒状物，含量≥99.0%。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柠檬酸</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46.25</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分析纯，无色结晶或白色颗粒，含量≥99.5%。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色谱甲醇</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HPLC1000ml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180.50</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色谱纯，蒸发残渣≤0.0005%，水分(H2O)≤0.01%，紫外吸收（210nm）≤0.01AU。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松节油</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68.75</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无色至淡黄色油状液体，具有松香气味，熔点（℃）：-50~-60，沸点（℃）：149~180。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碳酸氢钠</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29.25</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分析纯，白色结晶粉末，纯度≥99.5%，pH（5%溶液）8.3-8.6。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无水硫酸铜</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97.38</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分析纯，白色或灰白色粉末，纯度≥99%，水不溶物≤0.05%，pH（5%溶液）3.0-5.0。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无水乙醇</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16.68</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分析纯，水分(H2O)≤0.3%，可用于组织标本的脱水处理。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无水乙醇</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AR2500ml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79.25</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分析纯，水分(H2O)≤0.3%，可用于组织标本的脱水处理。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乙腈</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AR1000ml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142.65</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工业级，无色透明液体，含量≥99.9%，水分小于等于0.1%，沸点81~82℃。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23</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乙腈</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AR4000ml</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338.13</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工业级，无色透明液体，含量≥99.9%，水分小于等于0.1%，沸点81-82℃。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24</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异丙醇</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37.20</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分析纯，无色透明液体，含量≥99.7%。</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lang w:val="en-US" w:eastAsia="zh-CN"/>
        </w:rPr>
        <w:t>、</w:t>
      </w:r>
      <w:r>
        <w:rPr>
          <w:rFonts w:hint="eastAsia" w:ascii="宋体" w:hAnsi="宋体" w:eastAsia="宋体" w:cs="宋体"/>
          <w:b/>
          <w:bCs/>
          <w:color w:val="auto"/>
          <w:kern w:val="0"/>
          <w:sz w:val="24"/>
          <w:szCs w:val="24"/>
          <w:highlight w:val="none"/>
          <w:lang w:val="en-US" w:eastAsia="zh-CN"/>
        </w:rPr>
        <w:t>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cs="宋体"/>
          <w:color w:val="auto"/>
          <w:kern w:val="0"/>
          <w:sz w:val="24"/>
          <w:szCs w:val="24"/>
          <w:highlight w:val="none"/>
          <w:lang w:val="en-US" w:eastAsia="zh-CN"/>
        </w:rPr>
        <w:t>招标采购部</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质量或者不能诚信履约的，应当要求其在合理的时间内提供书面说明，必要时提交相关证明材料；供应商不能证明其报价合理性的，磋商小组应当将其作为无效响应处理。</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default" w:ascii="宋体" w:hAnsi="宋体" w:cs="宋体"/>
          <w:b w:val="0"/>
          <w:bCs w:val="0"/>
          <w:sz w:val="24"/>
          <w:szCs w:val="24"/>
          <w:lang w:val="en-US" w:eastAsia="zh-CN"/>
        </w:rPr>
      </w:pPr>
      <w:r>
        <w:rPr>
          <w:rFonts w:hint="eastAsia" w:ascii="宋体" w:hAnsi="宋体" w:cs="宋体"/>
          <w:color w:val="auto"/>
          <w:kern w:val="0"/>
          <w:sz w:val="24"/>
          <w:szCs w:val="24"/>
          <w:highlight w:val="none"/>
          <w:lang w:val="en-US" w:eastAsia="zh-CN"/>
        </w:rPr>
        <w:t>3.</w:t>
      </w:r>
      <w:r>
        <w:rPr>
          <w:rFonts w:hint="eastAsia" w:ascii="宋体" w:hAnsi="宋体" w:cs="宋体"/>
          <w:b w:val="0"/>
          <w:bCs w:val="0"/>
          <w:sz w:val="24"/>
          <w:szCs w:val="24"/>
          <w:lang w:val="en-US" w:eastAsia="zh-CN"/>
        </w:rPr>
        <w:t>评分实施细则：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88"/>
        <w:gridCol w:w="833"/>
        <w:gridCol w:w="409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8522"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评分实施细则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b/>
                <w:color w:val="auto"/>
                <w:sz w:val="24"/>
                <w:szCs w:val="24"/>
                <w:highlight w:val="none"/>
              </w:rPr>
              <w:t>序号</w:t>
            </w:r>
          </w:p>
        </w:tc>
        <w:tc>
          <w:tcPr>
            <w:tcW w:w="1188" w:type="dxa"/>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b/>
                <w:color w:val="auto"/>
                <w:sz w:val="24"/>
                <w:szCs w:val="24"/>
                <w:highlight w:val="none"/>
              </w:rPr>
              <w:t>评分因素</w:t>
            </w:r>
          </w:p>
        </w:tc>
        <w:tc>
          <w:tcPr>
            <w:tcW w:w="833" w:type="dxa"/>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b/>
                <w:color w:val="auto"/>
                <w:sz w:val="24"/>
                <w:szCs w:val="24"/>
                <w:highlight w:val="none"/>
              </w:rPr>
              <w:t>分值</w:t>
            </w:r>
          </w:p>
        </w:tc>
        <w:tc>
          <w:tcPr>
            <w:tcW w:w="4092" w:type="dxa"/>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评分标准</w:t>
            </w:r>
          </w:p>
        </w:tc>
        <w:tc>
          <w:tcPr>
            <w:tcW w:w="1688" w:type="dxa"/>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1188" w:type="dxa"/>
            <w:noWrap w:val="0"/>
            <w:vAlign w:val="center"/>
          </w:tcPr>
          <w:p>
            <w:pPr>
              <w:autoSpaceDN w:val="0"/>
              <w:spacing w:line="360" w:lineRule="auto"/>
              <w:ind w:firstLine="28"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报价</w:t>
            </w:r>
          </w:p>
        </w:tc>
        <w:tc>
          <w:tcPr>
            <w:tcW w:w="833" w:type="dxa"/>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w:t>
            </w:r>
          </w:p>
        </w:tc>
        <w:tc>
          <w:tcPr>
            <w:tcW w:w="4092" w:type="dxa"/>
            <w:noWrap w:val="0"/>
            <w:vAlign w:val="center"/>
          </w:tcPr>
          <w:p>
            <w:pPr>
              <w:pStyle w:val="2"/>
              <w:spacing w:line="360" w:lineRule="auto"/>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满足招标文件要求且投标价格最低（统一折扣百分比最低）的投标报价为评标基准价，其价格分为满分；</w:t>
            </w:r>
          </w:p>
          <w:p>
            <w:pPr>
              <w:pStyle w:val="2"/>
              <w:spacing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投标报价得分=(评标基准价／投标报价)×35。</w:t>
            </w:r>
          </w:p>
        </w:tc>
        <w:tc>
          <w:tcPr>
            <w:tcW w:w="1688" w:type="dxa"/>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p>
        </w:tc>
        <w:tc>
          <w:tcPr>
            <w:tcW w:w="1188" w:type="dxa"/>
            <w:noWrap w:val="0"/>
            <w:vAlign w:val="center"/>
          </w:tcPr>
          <w:p>
            <w:pPr>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p>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参数</w:t>
            </w:r>
          </w:p>
        </w:tc>
        <w:tc>
          <w:tcPr>
            <w:tcW w:w="833" w:type="dxa"/>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分</w:t>
            </w:r>
          </w:p>
        </w:tc>
        <w:tc>
          <w:tcPr>
            <w:tcW w:w="4092" w:type="dxa"/>
            <w:noWrap w:val="0"/>
            <w:vAlign w:val="center"/>
          </w:tcPr>
          <w:p>
            <w:pPr>
              <w:pStyle w:val="2"/>
              <w:spacing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完全满足</w:t>
            </w:r>
            <w:r>
              <w:rPr>
                <w:rFonts w:hint="eastAsia" w:ascii="宋体" w:hAnsi="宋体" w:eastAsia="宋体" w:cs="宋体"/>
                <w:sz w:val="24"/>
                <w:szCs w:val="24"/>
                <w:highlight w:val="none"/>
                <w:lang w:val="en-US" w:eastAsia="zh-CN"/>
              </w:rPr>
              <w:t>采购清单及参数要求的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分，一条不满足扣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扣完为止。</w:t>
            </w:r>
            <w:bookmarkStart w:id="0" w:name="_GoBack"/>
            <w:bookmarkEnd w:id="0"/>
          </w:p>
        </w:tc>
        <w:tc>
          <w:tcPr>
            <w:tcW w:w="1688" w:type="dxa"/>
            <w:noWrap w:val="0"/>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p>
        </w:tc>
        <w:tc>
          <w:tcPr>
            <w:tcW w:w="1188" w:type="dxa"/>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项目实施方案</w:t>
            </w:r>
          </w:p>
        </w:tc>
        <w:tc>
          <w:tcPr>
            <w:tcW w:w="833" w:type="dxa"/>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分</w:t>
            </w:r>
          </w:p>
        </w:tc>
        <w:tc>
          <w:tcPr>
            <w:tcW w:w="4092" w:type="dxa"/>
            <w:noWrap w:val="0"/>
            <w:vAlign w:val="center"/>
          </w:tcPr>
          <w:p>
            <w:pPr>
              <w:autoSpaceDN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根据供应商针对本项目提供的项目方案进行评审，方案内容包括：质量保障措施、技术支持、医院现有设备的整合性、应急方案、服务响应。</w:t>
            </w:r>
            <w:r>
              <w:rPr>
                <w:rFonts w:hint="eastAsia" w:ascii="宋体" w:hAnsi="宋体" w:eastAsia="宋体" w:cs="宋体"/>
                <w:bCs/>
                <w:color w:val="000000"/>
                <w:sz w:val="24"/>
                <w:szCs w:val="24"/>
                <w:highlight w:val="none"/>
              </w:rPr>
              <w:t>项目方案可行度高、要点明确、整体方案全面，满足要求的得</w:t>
            </w:r>
            <w:r>
              <w:rPr>
                <w:rFonts w:hint="eastAsia" w:ascii="宋体" w:hAnsi="宋体" w:eastAsia="宋体" w:cs="宋体"/>
                <w:bCs/>
                <w:color w:val="000000"/>
                <w:sz w:val="24"/>
                <w:szCs w:val="24"/>
                <w:highlight w:val="none"/>
                <w:lang w:val="en-US" w:eastAsia="zh-CN"/>
              </w:rPr>
              <w:t>18</w:t>
            </w:r>
            <w:r>
              <w:rPr>
                <w:rFonts w:hint="eastAsia" w:ascii="宋体" w:hAnsi="宋体" w:eastAsia="宋体" w:cs="宋体"/>
                <w:bCs/>
                <w:color w:val="000000"/>
                <w:sz w:val="24"/>
                <w:szCs w:val="24"/>
                <w:highlight w:val="none"/>
              </w:rPr>
              <w:t>分；方案较完整、要点较明确、整体方案较全面的得</w:t>
            </w:r>
            <w:r>
              <w:rPr>
                <w:rFonts w:hint="eastAsia" w:ascii="宋体" w:hAnsi="宋体" w:eastAsia="宋体" w:cs="宋体"/>
                <w:bCs/>
                <w:color w:val="000000"/>
                <w:sz w:val="24"/>
                <w:szCs w:val="24"/>
                <w:highlight w:val="none"/>
                <w:lang w:val="en-US" w:eastAsia="zh-CN"/>
              </w:rPr>
              <w:t>14</w:t>
            </w:r>
            <w:r>
              <w:rPr>
                <w:rFonts w:hint="eastAsia" w:ascii="宋体" w:hAnsi="宋体" w:eastAsia="宋体" w:cs="宋体"/>
                <w:bCs/>
                <w:color w:val="000000"/>
                <w:sz w:val="24"/>
                <w:szCs w:val="24"/>
                <w:highlight w:val="none"/>
              </w:rPr>
              <w:t>分；方案缺乏整体性、要点、整体方案较模糊的得</w:t>
            </w:r>
            <w:r>
              <w:rPr>
                <w:rFonts w:hint="eastAsia" w:ascii="宋体" w:hAnsi="宋体" w:eastAsia="宋体" w:cs="宋体"/>
                <w:bCs/>
                <w:color w:val="000000"/>
                <w:sz w:val="24"/>
                <w:szCs w:val="24"/>
                <w:highlight w:val="none"/>
                <w:lang w:val="en-US" w:eastAsia="zh-CN"/>
              </w:rPr>
              <w:t>10</w:t>
            </w:r>
            <w:r>
              <w:rPr>
                <w:rFonts w:hint="eastAsia" w:ascii="宋体" w:hAnsi="宋体" w:eastAsia="宋体" w:cs="宋体"/>
                <w:bCs/>
                <w:color w:val="000000"/>
                <w:sz w:val="24"/>
                <w:szCs w:val="24"/>
                <w:highlight w:val="none"/>
              </w:rPr>
              <w:t>分；方案不完整、要点不明确、整体方案不清晰的得</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分，其余不得分。</w:t>
            </w:r>
          </w:p>
        </w:tc>
        <w:tc>
          <w:tcPr>
            <w:tcW w:w="1688" w:type="dxa"/>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p>
        </w:tc>
        <w:tc>
          <w:tcPr>
            <w:tcW w:w="1188" w:type="dxa"/>
            <w:vMerge w:val="restart"/>
            <w:noWrap w:val="0"/>
            <w:vAlign w:val="center"/>
          </w:tcPr>
          <w:p>
            <w:pPr>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w:t>
            </w:r>
          </w:p>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能力</w:t>
            </w:r>
          </w:p>
        </w:tc>
        <w:tc>
          <w:tcPr>
            <w:tcW w:w="833" w:type="dxa"/>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4092" w:type="dxa"/>
            <w:noWrap w:val="0"/>
            <w:vAlign w:val="center"/>
          </w:tcPr>
          <w:p>
            <w:pPr>
              <w:autoSpaceDN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生产厂家或供应商在项目所在地区设有售后服务机构的得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（提供营业执照正、副本复印件并加盖</w:t>
            </w:r>
            <w:r>
              <w:rPr>
                <w:rFonts w:hint="eastAsia" w:ascii="宋体" w:hAnsi="宋体" w:eastAsia="宋体" w:cs="宋体"/>
                <w:sz w:val="24"/>
                <w:szCs w:val="24"/>
                <w:highlight w:val="none"/>
                <w:lang w:val="en-US" w:eastAsia="zh-CN"/>
              </w:rPr>
              <w:t>鲜</w:t>
            </w:r>
            <w:r>
              <w:rPr>
                <w:rFonts w:hint="eastAsia" w:ascii="宋体" w:hAnsi="宋体" w:eastAsia="宋体" w:cs="宋体"/>
                <w:sz w:val="24"/>
                <w:szCs w:val="24"/>
                <w:highlight w:val="none"/>
              </w:rPr>
              <w:t>章，否则不予认定）</w:t>
            </w:r>
          </w:p>
        </w:tc>
        <w:tc>
          <w:tcPr>
            <w:tcW w:w="1688" w:type="dxa"/>
            <w:vMerge w:val="restart"/>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p>
        </w:tc>
        <w:tc>
          <w:tcPr>
            <w:tcW w:w="1188" w:type="dxa"/>
            <w:vMerge w:val="continue"/>
            <w:noWrap w:val="0"/>
            <w:vAlign w:val="center"/>
          </w:tcPr>
          <w:p>
            <w:pPr>
              <w:pStyle w:val="9"/>
              <w:spacing w:line="360" w:lineRule="auto"/>
              <w:rPr>
                <w:rFonts w:hint="eastAsia" w:ascii="宋体" w:hAnsi="宋体" w:eastAsia="宋体" w:cs="宋体"/>
                <w:sz w:val="24"/>
                <w:szCs w:val="24"/>
              </w:rPr>
            </w:pPr>
          </w:p>
        </w:tc>
        <w:tc>
          <w:tcPr>
            <w:tcW w:w="833" w:type="dxa"/>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tc>
        <w:tc>
          <w:tcPr>
            <w:tcW w:w="4092" w:type="dxa"/>
            <w:noWrap w:val="0"/>
            <w:vAlign w:val="center"/>
          </w:tcPr>
          <w:p>
            <w:pPr>
              <w:autoSpaceDN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供应商每提供一份</w:t>
            </w:r>
            <w:r>
              <w:rPr>
                <w:rFonts w:hint="eastAsia" w:ascii="宋体" w:hAnsi="宋体" w:eastAsia="宋体" w:cs="宋体"/>
                <w:sz w:val="24"/>
                <w:szCs w:val="24"/>
                <w:highlight w:val="none"/>
                <w:lang w:val="en-US" w:eastAsia="zh-CN"/>
              </w:rPr>
              <w:t>2022</w:t>
            </w:r>
            <w:r>
              <w:rPr>
                <w:rFonts w:hint="eastAsia" w:ascii="宋体" w:hAnsi="宋体" w:eastAsia="宋体" w:cs="宋体"/>
                <w:sz w:val="24"/>
                <w:szCs w:val="24"/>
                <w:highlight w:val="none"/>
              </w:rPr>
              <w:t>年1月1日至递交</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文件截止时间</w:t>
            </w:r>
            <w:r>
              <w:rPr>
                <w:rFonts w:hint="eastAsia" w:ascii="宋体" w:hAnsi="宋体" w:eastAsia="宋体" w:cs="宋体"/>
                <w:sz w:val="24"/>
                <w:szCs w:val="24"/>
                <w:highlight w:val="none"/>
                <w:lang w:val="en-US" w:eastAsia="zh-CN"/>
              </w:rPr>
              <w:t>本省内同类产品</w:t>
            </w:r>
            <w:r>
              <w:rPr>
                <w:rFonts w:hint="eastAsia" w:ascii="宋体" w:hAnsi="宋体" w:eastAsia="宋体" w:cs="宋体"/>
                <w:sz w:val="24"/>
                <w:szCs w:val="24"/>
                <w:highlight w:val="none"/>
              </w:rPr>
              <w:t>的业绩得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分。(提供加盖供应商</w:t>
            </w:r>
            <w:r>
              <w:rPr>
                <w:rFonts w:hint="eastAsia" w:ascii="宋体" w:hAnsi="宋体" w:eastAsia="宋体" w:cs="宋体"/>
                <w:sz w:val="24"/>
                <w:szCs w:val="24"/>
                <w:highlight w:val="none"/>
                <w:lang w:val="en-US" w:eastAsia="zh-CN"/>
              </w:rPr>
              <w:t>鲜</w:t>
            </w:r>
            <w:r>
              <w:rPr>
                <w:rFonts w:hint="eastAsia" w:ascii="宋体" w:hAnsi="宋体" w:eastAsia="宋体" w:cs="宋体"/>
                <w:sz w:val="24"/>
                <w:szCs w:val="24"/>
                <w:highlight w:val="none"/>
              </w:rPr>
              <w:t>章合同复印件)</w:t>
            </w:r>
          </w:p>
        </w:tc>
        <w:tc>
          <w:tcPr>
            <w:tcW w:w="1688" w:type="dxa"/>
            <w:vMerge w:val="continue"/>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p>
        </w:tc>
        <w:tc>
          <w:tcPr>
            <w:tcW w:w="1188" w:type="dxa"/>
            <w:vMerge w:val="continue"/>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rPr>
            </w:pPr>
          </w:p>
        </w:tc>
        <w:tc>
          <w:tcPr>
            <w:tcW w:w="833" w:type="dxa"/>
            <w:noWrap w:val="0"/>
            <w:vAlign w:val="center"/>
          </w:tcPr>
          <w:p>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c>
          <w:tcPr>
            <w:tcW w:w="4092" w:type="dxa"/>
            <w:noWrap w:val="0"/>
            <w:vAlign w:val="center"/>
          </w:tcPr>
          <w:p>
            <w:pPr>
              <w:autoSpaceDN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生产厂家或供应商</w:t>
            </w:r>
            <w:r>
              <w:rPr>
                <w:rFonts w:hint="eastAsia" w:ascii="宋体" w:hAnsi="宋体" w:eastAsia="宋体" w:cs="宋体"/>
                <w:sz w:val="24"/>
                <w:szCs w:val="24"/>
                <w:highlight w:val="none"/>
                <w:lang w:val="en-US" w:eastAsia="zh-CN"/>
              </w:rPr>
              <w:t>具有运输资质的得5分。(提供资质证件复印件</w:t>
            </w:r>
            <w:r>
              <w:rPr>
                <w:rFonts w:hint="eastAsia" w:ascii="宋体" w:hAnsi="宋体" w:eastAsia="宋体" w:cs="宋体"/>
                <w:sz w:val="24"/>
                <w:szCs w:val="24"/>
                <w:highlight w:val="none"/>
              </w:rPr>
              <w:t>加盖供应商鲜章</w:t>
            </w:r>
            <w:r>
              <w:rPr>
                <w:rFonts w:hint="eastAsia" w:ascii="宋体" w:hAnsi="宋体" w:eastAsia="宋体" w:cs="宋体"/>
                <w:sz w:val="24"/>
                <w:szCs w:val="24"/>
                <w:highlight w:val="none"/>
                <w:lang w:val="en-US" w:eastAsia="zh-CN"/>
              </w:rPr>
              <w:t>)</w:t>
            </w:r>
          </w:p>
        </w:tc>
        <w:tc>
          <w:tcPr>
            <w:tcW w:w="1688" w:type="dxa"/>
            <w:vMerge w:val="continue"/>
            <w:noWrap w:val="0"/>
            <w:vAlign w:val="center"/>
          </w:tcPr>
          <w:p>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bCs/>
                <w:color w:val="auto"/>
                <w:sz w:val="24"/>
                <w:szCs w:val="24"/>
                <w:highlight w:val="none"/>
              </w:rPr>
            </w:pPr>
          </w:p>
        </w:tc>
      </w:tr>
    </w:tbl>
    <w:p>
      <w:pPr>
        <w:pStyle w:val="2"/>
        <w:numPr>
          <w:ilvl w:val="0"/>
          <w:numId w:val="0"/>
        </w:numPr>
        <w:rPr>
          <w:rFonts w:hint="eastAsia"/>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附件2 主要表格格式</w:t>
      </w:r>
    </w:p>
    <w:p>
      <w:pPr>
        <w:pStyle w:val="10"/>
        <w:jc w:val="left"/>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2-1</w:t>
      </w:r>
    </w:p>
    <w:p>
      <w:pPr>
        <w:rPr>
          <w:rFonts w:hint="eastAsia" w:ascii="宋体" w:hAnsi="宋体" w:cs="宋体"/>
          <w:b/>
          <w:bCs/>
          <w:color w:val="auto"/>
          <w:kern w:val="0"/>
          <w:sz w:val="24"/>
          <w:szCs w:val="24"/>
          <w:highlight w:val="none"/>
          <w:u w:val="single"/>
          <w:lang w:val="en-US" w:eastAsia="zh-CN"/>
        </w:rPr>
      </w:pPr>
    </w:p>
    <w:p>
      <w:pPr>
        <w:pStyle w:val="10"/>
        <w:rPr>
          <w:rFonts w:hint="default"/>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5"/>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20"/>
        <w:tblW w:w="82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3945"/>
        <w:gridCol w:w="3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pPr>
              <w:pStyle w:val="19"/>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945" w:type="dxa"/>
            <w:vAlign w:val="top"/>
          </w:tcPr>
          <w:p>
            <w:pPr>
              <w:pStyle w:val="19"/>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cs="宋体"/>
                <w:sz w:val="24"/>
                <w:szCs w:val="24"/>
                <w:lang w:val="en-US" w:eastAsia="zh-CN"/>
              </w:rPr>
              <w:t>项目</w:t>
            </w:r>
            <w:r>
              <w:rPr>
                <w:rFonts w:hint="eastAsia" w:ascii="宋体" w:hAnsi="宋体" w:eastAsia="宋体" w:cs="宋体"/>
                <w:sz w:val="24"/>
                <w:szCs w:val="24"/>
              </w:rPr>
              <w:t>名称</w:t>
            </w:r>
          </w:p>
        </w:tc>
        <w:tc>
          <w:tcPr>
            <w:tcW w:w="3555" w:type="dxa"/>
            <w:vAlign w:val="top"/>
          </w:tcPr>
          <w:p>
            <w:pPr>
              <w:pStyle w:val="19"/>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折扣率（%）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pPr>
              <w:pStyle w:val="16"/>
              <w:numPr>
                <w:ilvl w:val="0"/>
                <w:numId w:val="0"/>
              </w:numPr>
              <w:ind w:leftChars="0"/>
              <w:jc w:val="center"/>
              <w:rPr>
                <w:rFonts w:hint="eastAsia" w:hAnsi="宋体"/>
                <w:lang w:val="en-US" w:eastAsia="zh-CN"/>
              </w:rPr>
            </w:pPr>
            <w:r>
              <w:rPr>
                <w:rFonts w:hint="eastAsia" w:hAnsi="宋体"/>
                <w:lang w:val="en-US" w:eastAsia="zh-CN"/>
              </w:rPr>
              <w:t>1</w:t>
            </w:r>
          </w:p>
        </w:tc>
        <w:tc>
          <w:tcPr>
            <w:tcW w:w="3945" w:type="dxa"/>
            <w:shd w:val="clear" w:color="auto" w:fill="FFFFFF" w:themeFill="background1"/>
            <w:vAlign w:val="top"/>
          </w:tcPr>
          <w:p>
            <w:pPr>
              <w:pStyle w:val="16"/>
              <w:numPr>
                <w:ilvl w:val="0"/>
                <w:numId w:val="0"/>
              </w:numPr>
              <w:ind w:leftChars="0"/>
              <w:jc w:val="center"/>
              <w:rPr>
                <w:rFonts w:hint="eastAsia" w:hAnsi="宋体"/>
                <w:lang w:val="en-US" w:eastAsia="zh-CN"/>
              </w:rPr>
            </w:pPr>
          </w:p>
        </w:tc>
        <w:tc>
          <w:tcPr>
            <w:tcW w:w="3555" w:type="dxa"/>
            <w:shd w:val="clear" w:color="auto" w:fill="FFFFFF" w:themeFill="background1"/>
            <w:vAlign w:val="center"/>
          </w:tcPr>
          <w:p>
            <w:pPr>
              <w:pStyle w:val="19"/>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pPr>
              <w:pStyle w:val="16"/>
              <w:numPr>
                <w:ilvl w:val="0"/>
                <w:numId w:val="0"/>
              </w:numPr>
              <w:ind w:leftChars="0"/>
              <w:jc w:val="center"/>
              <w:rPr>
                <w:rFonts w:hint="eastAsia" w:hAnsi="宋体"/>
                <w:lang w:val="en-US" w:eastAsia="zh-CN"/>
              </w:rPr>
            </w:pPr>
          </w:p>
        </w:tc>
        <w:tc>
          <w:tcPr>
            <w:tcW w:w="3945" w:type="dxa"/>
            <w:shd w:val="clear" w:color="auto" w:fill="FFFFFF" w:themeFill="background1"/>
            <w:vAlign w:val="top"/>
          </w:tcPr>
          <w:p>
            <w:pPr>
              <w:pStyle w:val="16"/>
              <w:numPr>
                <w:ilvl w:val="0"/>
                <w:numId w:val="0"/>
              </w:numPr>
              <w:ind w:leftChars="0"/>
              <w:jc w:val="center"/>
              <w:rPr>
                <w:rFonts w:hint="eastAsia" w:hAnsi="宋体"/>
                <w:lang w:val="en-US" w:eastAsia="zh-CN"/>
              </w:rPr>
            </w:pPr>
          </w:p>
        </w:tc>
        <w:tc>
          <w:tcPr>
            <w:tcW w:w="3555" w:type="dxa"/>
            <w:shd w:val="clear" w:color="auto" w:fill="FFFFFF" w:themeFill="background1"/>
            <w:vAlign w:val="center"/>
          </w:tcPr>
          <w:p>
            <w:pPr>
              <w:pStyle w:val="19"/>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p>
      <w:pPr>
        <w:pStyle w:val="21"/>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pPr>
        <w:pStyle w:val="5"/>
        <w:rPr>
          <w:rFonts w:hint="default"/>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4</w:t>
      </w:r>
    </w:p>
    <w:p>
      <w:pPr>
        <w:pStyle w:val="11"/>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pPr>
        <w:pStyle w:val="11"/>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1"/>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3"/>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附件5</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pStyle w:val="6"/>
        <w:numPr>
          <w:ilvl w:val="0"/>
          <w:numId w:val="0"/>
        </w:numPr>
        <w:ind w:left="1680" w:leftChars="0"/>
        <w:rPr>
          <w:rFonts w:hint="default"/>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10EECAEC"/>
    <w:multiLevelType w:val="singleLevel"/>
    <w:tmpl w:val="10EECAEC"/>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3D1A"/>
    <w:rsid w:val="01FE6BD3"/>
    <w:rsid w:val="02FE6776"/>
    <w:rsid w:val="0BF65853"/>
    <w:rsid w:val="0E2A3E4A"/>
    <w:rsid w:val="0FC95E75"/>
    <w:rsid w:val="110F482C"/>
    <w:rsid w:val="13F910D3"/>
    <w:rsid w:val="150B2214"/>
    <w:rsid w:val="1C831556"/>
    <w:rsid w:val="1FEA0D76"/>
    <w:rsid w:val="20D451E9"/>
    <w:rsid w:val="2239241F"/>
    <w:rsid w:val="224805CD"/>
    <w:rsid w:val="22E9628F"/>
    <w:rsid w:val="2B4E089B"/>
    <w:rsid w:val="2DD66DE3"/>
    <w:rsid w:val="343B728A"/>
    <w:rsid w:val="36482F72"/>
    <w:rsid w:val="371B2276"/>
    <w:rsid w:val="39D64F8F"/>
    <w:rsid w:val="3C046D30"/>
    <w:rsid w:val="3F056573"/>
    <w:rsid w:val="3F135889"/>
    <w:rsid w:val="408908EE"/>
    <w:rsid w:val="426A4E5F"/>
    <w:rsid w:val="428A38B6"/>
    <w:rsid w:val="43EE6A01"/>
    <w:rsid w:val="45940E0F"/>
    <w:rsid w:val="47B03B5B"/>
    <w:rsid w:val="4922747B"/>
    <w:rsid w:val="50E23A41"/>
    <w:rsid w:val="54645881"/>
    <w:rsid w:val="55EC5708"/>
    <w:rsid w:val="560D3D1A"/>
    <w:rsid w:val="5BD9413E"/>
    <w:rsid w:val="5C414DE8"/>
    <w:rsid w:val="66D03901"/>
    <w:rsid w:val="68A47FBA"/>
    <w:rsid w:val="6BA32EA6"/>
    <w:rsid w:val="70DF0F9F"/>
    <w:rsid w:val="719974E5"/>
    <w:rsid w:val="72162E3A"/>
    <w:rsid w:val="727608D5"/>
    <w:rsid w:val="72CA79DF"/>
    <w:rsid w:val="74FD4DFC"/>
    <w:rsid w:val="75F3408F"/>
    <w:rsid w:val="769E4528"/>
    <w:rsid w:val="7AA65319"/>
    <w:rsid w:val="7D6C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val="0"/>
      <w:ind w:firstLine="540" w:firstLineChars="257"/>
      <w:jc w:val="both"/>
    </w:pPr>
    <w:rPr>
      <w:kern w:val="2"/>
      <w:sz w:val="21"/>
    </w:rPr>
  </w:style>
  <w:style w:type="paragraph" w:styleId="4">
    <w:name w:val="annotation text"/>
    <w:basedOn w:val="1"/>
    <w:unhideWhenUsed/>
    <w:qFormat/>
    <w:uiPriority w:val="99"/>
    <w:pPr>
      <w:jc w:val="left"/>
    </w:pPr>
  </w:style>
  <w:style w:type="paragraph" w:styleId="5">
    <w:name w:val="Body Text"/>
    <w:basedOn w:val="1"/>
    <w:next w:val="6"/>
    <w:qFormat/>
    <w:uiPriority w:val="0"/>
  </w:style>
  <w:style w:type="paragraph" w:styleId="6">
    <w:name w:val="List Bullet 5"/>
    <w:basedOn w:val="1"/>
    <w:qFormat/>
    <w:uiPriority w:val="0"/>
    <w:pPr>
      <w:numPr>
        <w:ilvl w:val="0"/>
        <w:numId w:val="1"/>
      </w:numPr>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qFormat/>
    <w:uiPriority w:val="0"/>
    <w:pPr>
      <w:ind w:firstLine="42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标题 5（有编号）（绿盟科技）"/>
    <w:basedOn w:val="1"/>
    <w:next w:val="18"/>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Table Text"/>
    <w:basedOn w:val="1"/>
    <w:semiHidden/>
    <w:qFormat/>
    <w:uiPriority w:val="0"/>
    <w:rPr>
      <w:rFonts w:ascii="宋体" w:hAnsi="宋体" w:eastAsia="宋体" w:cs="宋体"/>
      <w:sz w:val="16"/>
      <w:szCs w:val="16"/>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1745</Words>
  <Characters>1844</Characters>
  <Lines>0</Lines>
  <Paragraphs>0</Paragraphs>
  <TotalTime>32</TotalTime>
  <ScaleCrop>false</ScaleCrop>
  <LinksUpToDate>false</LinksUpToDate>
  <CharactersWithSpaces>1862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2025-07-30T07:06:00Z</dcterms:created>
  <dc:creator>罗珊珊</dc:creator>
  <cp:lastModifiedBy>鱼</cp:lastModifiedBy>
  <dcterms:modified xsi:type="dcterms:W3CDTF">2025-08-11T03:58:15Z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E0DAB8A946D04608A49C224CFA52ABA0_11</vt:lpwstr>
  </property>
  <property fmtid="{D5CDD505-2E9C-101B-9397-08002B2CF9AE}" pid="4" name="KSOTemplateDocerSaveRecord">
    <vt:lpwstr>eyJoZGlkIjoiODcwZmE0ZmU3Y2M1ZWQ5MWU4OTc0ZDQ0OGMzYzM2NmMiLCJ1c2VySWQiOiIxMzE0MjM0OTg5In0=</vt:lpwstr>
  </property>
</Properties>
</file>