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spacing w:line="400" w:lineRule="exact"/>
        <w:jc w:val="left"/>
        <w:textAlignment w:val="auto"/>
        <w:rPr>
          <w:rFonts w:ascii="仿宋" w:hAnsi="仿宋" w:eastAsia="仿宋" w:cs="Segoe UI"/>
          <w:b/>
          <w:color w:val="auto"/>
          <w:spacing w:val="8"/>
          <w:kern w:val="0"/>
          <w:sz w:val="28"/>
          <w:szCs w:val="28"/>
        </w:rPr>
      </w:pPr>
      <w:r>
        <w:rPr>
          <w:rFonts w:hint="eastAsia" w:ascii="黑体" w:hAnsi="黑体" w:eastAsia="黑体" w:cs="Segoe UI"/>
          <w:color w:val="auto"/>
          <w:kern w:val="0"/>
          <w:sz w:val="32"/>
          <w:szCs w:val="32"/>
        </w:rPr>
        <w:t>附件1：</w:t>
      </w:r>
      <w:r>
        <w:rPr>
          <w:rFonts w:hint="eastAsia" w:ascii="仿宋" w:hAnsi="仿宋" w:eastAsia="仿宋" w:cs="Segoe UI"/>
          <w:b/>
          <w:color w:val="auto"/>
          <w:spacing w:val="8"/>
          <w:kern w:val="0"/>
          <w:sz w:val="28"/>
          <w:szCs w:val="28"/>
        </w:rPr>
        <w:t>采购项目需求</w:t>
      </w:r>
    </w:p>
    <w:p>
      <w:pPr>
        <w:keepNext w:val="0"/>
        <w:keepLines w:val="0"/>
        <w:pageBreakBefore w:val="0"/>
        <w:kinsoku/>
        <w:wordWrap/>
        <w:overflowPunct/>
        <w:topLinePunct w:val="0"/>
        <w:bidi w:val="0"/>
        <w:snapToGrid/>
        <w:spacing w:line="400" w:lineRule="exact"/>
        <w:jc w:val="left"/>
        <w:textAlignment w:val="auto"/>
        <w:rPr>
          <w:b/>
          <w:bCs/>
          <w:color w:val="auto"/>
        </w:rPr>
      </w:pPr>
      <w:bookmarkStart w:id="0" w:name="OLE_LINK4"/>
      <w:r>
        <w:rPr>
          <w:rFonts w:hint="eastAsia"/>
          <w:b/>
          <w:bCs/>
          <w:color w:val="auto"/>
        </w:rPr>
        <w:t>一、采购标的：</w:t>
      </w:r>
    </w:p>
    <w:p>
      <w:pPr>
        <w:keepNext w:val="0"/>
        <w:keepLines w:val="0"/>
        <w:pageBreakBefore w:val="0"/>
        <w:kinsoku/>
        <w:wordWrap/>
        <w:overflowPunct/>
        <w:topLinePunct w:val="0"/>
        <w:bidi w:val="0"/>
        <w:snapToGrid/>
        <w:spacing w:line="400" w:lineRule="exact"/>
        <w:jc w:val="left"/>
        <w:textAlignment w:val="auto"/>
        <w:rPr>
          <w:rFonts w:ascii="宋体" w:hAnsi="宋体" w:eastAsia="宋体" w:cs="宋体"/>
          <w:color w:val="auto"/>
        </w:rPr>
      </w:pPr>
      <w:r>
        <w:rPr>
          <w:rFonts w:hint="eastAsia" w:ascii="宋体" w:hAnsi="宋体" w:eastAsia="宋体" w:cs="宋体"/>
          <w:color w:val="auto"/>
        </w:rPr>
        <w:t>备注：超过最高限价的报价，视为无效投标</w:t>
      </w:r>
    </w:p>
    <w:tbl>
      <w:tblPr>
        <w:tblStyle w:val="12"/>
        <w:tblW w:w="42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3029"/>
        <w:gridCol w:w="144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53"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bCs/>
                <w:color w:val="auto"/>
              </w:rPr>
            </w:pPr>
            <w:r>
              <w:rPr>
                <w:rFonts w:hint="eastAsia" w:ascii="宋体" w:hAnsi="宋体"/>
                <w:bCs/>
                <w:color w:val="auto"/>
              </w:rPr>
              <w:t>序号</w:t>
            </w:r>
          </w:p>
        </w:tc>
        <w:tc>
          <w:tcPr>
            <w:tcW w:w="2109"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bCs/>
                <w:color w:val="auto"/>
              </w:rPr>
            </w:pPr>
            <w:r>
              <w:rPr>
                <w:rFonts w:hint="eastAsia" w:ascii="宋体" w:hAnsi="宋体" w:cs="宋体"/>
                <w:bCs/>
                <w:color w:val="auto"/>
              </w:rPr>
              <w:t>产品名称</w:t>
            </w:r>
          </w:p>
        </w:tc>
        <w:tc>
          <w:tcPr>
            <w:tcW w:w="1003" w:type="pct"/>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宋体" w:eastAsiaTheme="minorEastAsia"/>
                <w:bCs/>
                <w:color w:val="auto"/>
                <w:lang w:val="en-US" w:eastAsia="zh-CN"/>
              </w:rPr>
            </w:pPr>
            <w:r>
              <w:rPr>
                <w:rFonts w:hint="eastAsia" w:ascii="宋体" w:hAnsi="宋体" w:cs="宋体"/>
                <w:bCs/>
                <w:color w:val="auto"/>
              </w:rPr>
              <w:t>数量</w:t>
            </w:r>
            <w:r>
              <w:rPr>
                <w:rFonts w:hint="eastAsia" w:ascii="宋体" w:hAnsi="宋体" w:cs="宋体"/>
                <w:bCs/>
                <w:color w:val="auto"/>
                <w:lang w:val="en-US" w:eastAsia="zh-CN"/>
              </w:rPr>
              <w:t>(台)</w:t>
            </w:r>
          </w:p>
        </w:tc>
        <w:tc>
          <w:tcPr>
            <w:tcW w:w="1233"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rPr>
            </w:pPr>
            <w:r>
              <w:rPr>
                <w:rFonts w:hint="eastAsia" w:ascii="宋体" w:hAnsi="宋体" w:cs="宋体"/>
                <w:bCs/>
                <w:color w:val="auto"/>
              </w:rPr>
              <w:t>最高限价</w:t>
            </w:r>
          </w:p>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rPr>
            </w:pPr>
            <w:r>
              <w:rPr>
                <w:rFonts w:hint="eastAsia" w:ascii="宋体" w:hAnsi="宋体" w:cs="宋体"/>
                <w:bCs/>
                <w:color w:val="auto"/>
              </w:rPr>
              <w:t>（</w:t>
            </w:r>
            <w:r>
              <w:rPr>
                <w:rFonts w:hint="eastAsia" w:ascii="宋体" w:hAnsi="宋体"/>
                <w:color w:val="auto"/>
              </w:rPr>
              <w:t>万元</w:t>
            </w:r>
            <w:r>
              <w:rPr>
                <w:rFonts w:hint="eastAsia" w:ascii="宋体" w:hAnsi="宋体" w:cs="宋体"/>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53" w:type="pct"/>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Theme="minorEastAsia"/>
                <w:color w:val="auto"/>
                <w:lang w:eastAsia="zh-CN"/>
              </w:rPr>
            </w:pPr>
            <w:r>
              <w:rPr>
                <w:rFonts w:hint="eastAsia" w:ascii="宋体" w:hAnsi="宋体"/>
                <w:color w:val="auto"/>
                <w:lang w:val="en-US" w:eastAsia="zh-CN"/>
              </w:rPr>
              <w:t>1</w:t>
            </w:r>
          </w:p>
        </w:tc>
        <w:tc>
          <w:tcPr>
            <w:tcW w:w="3029" w:type="dxa"/>
            <w:vAlign w:val="center"/>
          </w:tcPr>
          <w:p>
            <w:pPr>
              <w:keepNext w:val="0"/>
              <w:keepLines w:val="0"/>
              <w:widowControl/>
              <w:suppressLineNumbers w:val="0"/>
              <w:jc w:val="center"/>
              <w:textAlignment w:val="center"/>
              <w:rPr>
                <w:rFonts w:hint="default" w:ascii="宋体" w:hAnsi="宋体" w:eastAsia="宋体" w:cs="宋体"/>
                <w:bCs/>
                <w:kern w:val="2"/>
                <w:sz w:val="21"/>
                <w:szCs w:val="22"/>
                <w:lang w:val="en-US" w:eastAsia="zh-CN" w:bidi="ar-SA"/>
              </w:rPr>
            </w:pPr>
            <w:r>
              <w:rPr>
                <w:rFonts w:hint="eastAsia" w:ascii="宋体" w:hAnsi="宋体" w:eastAsia="宋体" w:cs="宋体"/>
                <w:color w:val="auto"/>
              </w:rPr>
              <w:t>电脑恒温电蜡疗仪</w:t>
            </w:r>
          </w:p>
        </w:tc>
        <w:tc>
          <w:tcPr>
            <w:tcW w:w="1441" w:type="dxa"/>
            <w:vAlign w:val="center"/>
          </w:tcPr>
          <w:p>
            <w:pPr>
              <w:keepNext w:val="0"/>
              <w:keepLines w:val="0"/>
              <w:widowControl/>
              <w:suppressLineNumbers w:val="0"/>
              <w:jc w:val="center"/>
              <w:textAlignment w:val="center"/>
              <w:rPr>
                <w:rFonts w:hint="default" w:ascii="宋体" w:hAnsi="Times New Roman" w:eastAsia="宋体" w:cs="Times New Roman"/>
                <w:color w:val="auto"/>
                <w:lang w:val="en-US" w:eastAsia="zh-CN"/>
              </w:rPr>
            </w:pPr>
            <w:r>
              <w:rPr>
                <w:rFonts w:hint="eastAsia" w:ascii="宋体" w:hAnsi="宋体" w:eastAsia="宋体" w:cs="Times New Roman"/>
                <w:color w:val="000000"/>
                <w:lang w:val="en-US" w:eastAsia="zh-CN"/>
              </w:rPr>
              <w:t>1</w:t>
            </w:r>
          </w:p>
        </w:tc>
        <w:tc>
          <w:tcPr>
            <w:tcW w:w="1233" w:type="pct"/>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4</w:t>
            </w:r>
          </w:p>
        </w:tc>
      </w:tr>
    </w:tbl>
    <w:p>
      <w:pPr>
        <w:keepNext w:val="0"/>
        <w:keepLines w:val="0"/>
        <w:pageBreakBefore w:val="0"/>
        <w:kinsoku/>
        <w:wordWrap/>
        <w:overflowPunct/>
        <w:topLinePunct w:val="0"/>
        <w:bidi w:val="0"/>
        <w:snapToGrid/>
        <w:spacing w:line="400" w:lineRule="exact"/>
        <w:jc w:val="left"/>
        <w:textAlignment w:val="auto"/>
        <w:rPr>
          <w:b/>
          <w:bCs/>
          <w:color w:val="auto"/>
        </w:rPr>
      </w:pPr>
      <w:r>
        <w:rPr>
          <w:rFonts w:hint="eastAsia"/>
          <w:b/>
          <w:bCs/>
          <w:color w:val="auto"/>
        </w:rPr>
        <w:t>二、技术要求：</w:t>
      </w:r>
    </w:p>
    <w:p>
      <w:pPr>
        <w:keepNext w:val="0"/>
        <w:keepLines w:val="0"/>
        <w:pageBreakBefore w:val="0"/>
        <w:kinsoku/>
        <w:wordWrap/>
        <w:overflowPunct/>
        <w:topLinePunct w:val="0"/>
        <w:bidi w:val="0"/>
        <w:snapToGrid/>
        <w:spacing w:line="400" w:lineRule="exact"/>
        <w:jc w:val="left"/>
        <w:textAlignment w:val="auto"/>
        <w:rPr>
          <w:rFonts w:ascii="仿宋" w:hAnsi="仿宋" w:eastAsia="仿宋" w:cs="Segoe UI"/>
          <w:b/>
          <w:color w:val="auto"/>
          <w:spacing w:val="8"/>
          <w:kern w:val="0"/>
          <w:sz w:val="28"/>
          <w:szCs w:val="28"/>
        </w:rPr>
      </w:pPr>
      <w:r>
        <w:rPr>
          <w:rFonts w:hint="eastAsia"/>
          <w:color w:val="auto"/>
        </w:rPr>
        <w:t>说明：</w:t>
      </w:r>
      <w:r>
        <w:rPr>
          <w:rFonts w:hint="eastAsia" w:ascii="宋体" w:hAnsi="宋体" w:eastAsia="宋体" w:cs="宋体"/>
          <w:color w:val="auto"/>
          <w:kern w:val="0"/>
          <w:lang w:val="en-US" w:eastAsia="zh-CN"/>
        </w:rPr>
        <w:t>★条款为本次招标项目的实质性要求，不允许负偏离。以上技术条款需要逐条提供佐证材料，佐证材料为投标产品说明书或公开发行的彩页或技术白皮书或国家认可的第三方检测机构出具的检测报告，并加盖投标人公章。</w:t>
      </w:r>
    </w:p>
    <w:p>
      <w:pPr>
        <w:pStyle w:val="2"/>
        <w:rPr>
          <w:rFonts w:hint="default"/>
          <w:lang w:val="en-US" w:eastAsia="zh-CN"/>
        </w:rPr>
      </w:pPr>
      <w:r>
        <w:rPr>
          <w:rFonts w:hint="default"/>
          <w:lang w:val="en-US" w:eastAsia="zh-CN"/>
        </w:rPr>
        <w:t>1.容积：蜡箱≥65升，饼箱≥</w:t>
      </w:r>
      <w:bookmarkStart w:id="3" w:name="_GoBack"/>
      <w:bookmarkEnd w:id="3"/>
      <w:r>
        <w:rPr>
          <w:rFonts w:hint="default"/>
          <w:lang w:val="en-US" w:eastAsia="zh-CN"/>
        </w:rPr>
        <w:t>80升；</w:t>
      </w:r>
    </w:p>
    <w:p>
      <w:pPr>
        <w:pStyle w:val="2"/>
        <w:rPr>
          <w:rFonts w:hint="default"/>
          <w:lang w:val="en-US" w:eastAsia="zh-CN"/>
        </w:rPr>
      </w:pPr>
      <w:r>
        <w:rPr>
          <w:rFonts w:hint="default"/>
          <w:lang w:val="en-US" w:eastAsia="zh-CN"/>
        </w:rPr>
        <w:t>2.▲饼箱：饼箱可一次性储存≥10盘蜡，可分区≥2，每区均可独立控制，单独控温；</w:t>
      </w:r>
    </w:p>
    <w:p>
      <w:pPr>
        <w:pStyle w:val="2"/>
        <w:rPr>
          <w:rFonts w:hint="default"/>
          <w:lang w:val="en-US" w:eastAsia="zh-CN"/>
        </w:rPr>
      </w:pPr>
      <w:r>
        <w:rPr>
          <w:rFonts w:hint="default"/>
          <w:lang w:val="en-US" w:eastAsia="zh-CN"/>
        </w:rPr>
        <w:t>3.显示方式：≥10.1英寸彩色液晶</w:t>
      </w:r>
      <w:r>
        <w:rPr>
          <w:rFonts w:hint="eastAsia"/>
          <w:lang w:val="en-US" w:eastAsia="zh-CN"/>
        </w:rPr>
        <w:t>LCD</w:t>
      </w:r>
      <w:r>
        <w:rPr>
          <w:rFonts w:hint="default"/>
          <w:lang w:val="en-US" w:eastAsia="zh-CN"/>
        </w:rPr>
        <w:t>触摸显示屏，可实时显示仪器工作状态；</w:t>
      </w:r>
    </w:p>
    <w:p>
      <w:pPr>
        <w:pStyle w:val="2"/>
        <w:rPr>
          <w:rFonts w:hint="default"/>
          <w:lang w:val="en-US" w:eastAsia="zh-CN"/>
        </w:rPr>
      </w:pPr>
      <w:r>
        <w:rPr>
          <w:rFonts w:hint="default"/>
          <w:lang w:val="en-US" w:eastAsia="zh-CN"/>
        </w:rPr>
        <w:t>4.温控范围： 熔蜡箱</w:t>
      </w:r>
      <w:bookmarkStart w:id="1" w:name="OLE_LINK1"/>
      <w:r>
        <w:rPr>
          <w:rFonts w:hint="eastAsia"/>
          <w:lang w:val="en-US" w:eastAsia="zh-CN"/>
        </w:rPr>
        <w:t>至少包含</w:t>
      </w:r>
      <w:bookmarkEnd w:id="1"/>
      <w:r>
        <w:rPr>
          <w:rFonts w:hint="default"/>
          <w:lang w:val="en-US" w:eastAsia="zh-CN"/>
        </w:rPr>
        <w:t>58℃～85℃,制饼箱45℃～65℃，温控精度：±3℃；</w:t>
      </w:r>
    </w:p>
    <w:p>
      <w:pPr>
        <w:pStyle w:val="2"/>
        <w:rPr>
          <w:rFonts w:hint="default"/>
          <w:lang w:val="en-US" w:eastAsia="zh-CN"/>
        </w:rPr>
      </w:pPr>
      <w:r>
        <w:rPr>
          <w:rFonts w:hint="default"/>
          <w:lang w:val="en-US" w:eastAsia="zh-CN"/>
        </w:rPr>
        <w:t>5.至少具备以下两种模式：</w:t>
      </w:r>
    </w:p>
    <w:p>
      <w:pPr>
        <w:pStyle w:val="2"/>
        <w:rPr>
          <w:rFonts w:hint="default"/>
          <w:lang w:val="en-US" w:eastAsia="zh-CN"/>
        </w:rPr>
      </w:pPr>
      <w:r>
        <w:rPr>
          <w:rFonts w:hint="default"/>
          <w:lang w:val="en-US" w:eastAsia="zh-CN"/>
        </w:rPr>
        <w:t>5.1智能模式：7×24H按照设定程序控制，可以提前</w:t>
      </w:r>
      <w:r>
        <w:rPr>
          <w:rFonts w:hint="eastAsia"/>
          <w:lang w:val="en-US" w:eastAsia="zh-CN"/>
        </w:rPr>
        <w:t>7天</w:t>
      </w:r>
      <w:r>
        <w:rPr>
          <w:rFonts w:hint="default"/>
          <w:lang w:val="en-US" w:eastAsia="zh-CN"/>
        </w:rPr>
        <w:t>预约，可自动启动、融蜡、消毒、保温；</w:t>
      </w:r>
    </w:p>
    <w:p>
      <w:pPr>
        <w:pStyle w:val="2"/>
        <w:rPr>
          <w:rFonts w:hint="default"/>
          <w:lang w:val="en-US" w:eastAsia="zh-CN"/>
        </w:rPr>
      </w:pPr>
      <w:r>
        <w:rPr>
          <w:rFonts w:hint="default"/>
          <w:lang w:val="en-US" w:eastAsia="zh-CN"/>
        </w:rPr>
        <w:t>5.2常规模式：可对蜡箱进行一键急融，可对蜡饼箱进行一键恒温；</w:t>
      </w:r>
    </w:p>
    <w:p>
      <w:pPr>
        <w:pStyle w:val="2"/>
        <w:rPr>
          <w:rFonts w:hint="default"/>
          <w:lang w:val="en-US" w:eastAsia="zh-CN"/>
        </w:rPr>
      </w:pPr>
      <w:r>
        <w:rPr>
          <w:rFonts w:hint="default"/>
          <w:lang w:val="en-US" w:eastAsia="zh-CN"/>
        </w:rPr>
        <w:t>6.至少含以下两种工作模式：</w:t>
      </w:r>
    </w:p>
    <w:p>
      <w:pPr>
        <w:pStyle w:val="2"/>
        <w:rPr>
          <w:rFonts w:hint="default"/>
          <w:lang w:val="en-US" w:eastAsia="zh-CN"/>
        </w:rPr>
      </w:pPr>
      <w:r>
        <w:rPr>
          <w:rFonts w:hint="default"/>
          <w:lang w:val="en-US" w:eastAsia="zh-CN"/>
        </w:rPr>
        <w:t>6.1预约制饼模式：分为“蜡箱制饼”和“饼箱制饼”，其中“蜡箱制饼”先从蜡箱融蜡，然后将融化的蜡液注入饼箱制饼；“饼箱制饼”，是在饼箱有未用完的冷却蜡饼的情况下，直接在饼箱加热至使用温度；</w:t>
      </w:r>
    </w:p>
    <w:p>
      <w:pPr>
        <w:pStyle w:val="2"/>
        <w:rPr>
          <w:rFonts w:hint="default"/>
          <w:lang w:val="en-US" w:eastAsia="zh-CN"/>
        </w:rPr>
      </w:pPr>
      <w:r>
        <w:rPr>
          <w:rFonts w:hint="default"/>
          <w:lang w:val="en-US" w:eastAsia="zh-CN"/>
        </w:rPr>
        <w:t>6.2快速制饼模式：设定好参数后设备即刻启动制作蜡饼；</w:t>
      </w:r>
    </w:p>
    <w:p>
      <w:pPr>
        <w:pStyle w:val="2"/>
        <w:numPr>
          <w:ilvl w:val="0"/>
          <w:numId w:val="1"/>
        </w:numPr>
        <w:rPr>
          <w:rFonts w:hint="eastAsia"/>
          <w:lang w:val="en-US" w:eastAsia="zh-CN"/>
        </w:rPr>
      </w:pPr>
      <w:r>
        <w:rPr>
          <w:rFonts w:hint="default"/>
          <w:lang w:val="en-US" w:eastAsia="zh-CN"/>
        </w:rPr>
        <w:t>循环风道系统，确保蜡饼内部无夹心无蜡液共存</w:t>
      </w:r>
      <w:r>
        <w:rPr>
          <w:rFonts w:hint="eastAsia"/>
          <w:lang w:val="en-US" w:eastAsia="zh-CN"/>
        </w:rPr>
        <w:t>。</w:t>
      </w:r>
    </w:p>
    <w:p>
      <w:pPr>
        <w:pStyle w:val="2"/>
        <w:numPr>
          <w:ilvl w:val="0"/>
          <w:numId w:val="0"/>
        </w:numPr>
        <w:rPr>
          <w:rFonts w:hint="default"/>
          <w:lang w:val="en-US" w:eastAsia="zh-CN"/>
        </w:rPr>
      </w:pPr>
      <w:r>
        <w:rPr>
          <w:rFonts w:hint="default"/>
          <w:lang w:val="en-US" w:eastAsia="zh-CN"/>
        </w:rPr>
        <w:t>8.含石蜡清洁功能：具备加热介质将蜡加热至液态，并进行过滤和消毒；</w:t>
      </w:r>
    </w:p>
    <w:p>
      <w:pPr>
        <w:pStyle w:val="2"/>
        <w:rPr>
          <w:rFonts w:hint="default"/>
          <w:lang w:val="en-US" w:eastAsia="zh-CN"/>
        </w:rPr>
      </w:pPr>
      <w:r>
        <w:rPr>
          <w:rFonts w:hint="default"/>
          <w:lang w:val="en-US" w:eastAsia="zh-CN"/>
        </w:rPr>
        <w:t>9.设备选材：蜡箱表面经过喷塑处理，易清洗，防生锈，蜡箱表面温度≤45℃；内胆采用SUS304不锈钢；</w:t>
      </w:r>
    </w:p>
    <w:p>
      <w:pPr>
        <w:pStyle w:val="2"/>
        <w:rPr>
          <w:rFonts w:hint="default"/>
          <w:lang w:val="en-US" w:eastAsia="zh-CN"/>
        </w:rPr>
      </w:pPr>
      <w:r>
        <w:rPr>
          <w:rFonts w:hint="default"/>
          <w:lang w:val="en-US" w:eastAsia="zh-CN"/>
        </w:rPr>
        <w:t>10.安全保护装置：至少含以下两种保护装置</w:t>
      </w:r>
    </w:p>
    <w:p>
      <w:pPr>
        <w:pStyle w:val="2"/>
        <w:rPr>
          <w:rFonts w:hint="default"/>
          <w:lang w:val="en-US" w:eastAsia="zh-CN"/>
        </w:rPr>
      </w:pPr>
      <w:r>
        <w:rPr>
          <w:rFonts w:hint="default"/>
          <w:lang w:val="en-US" w:eastAsia="zh-CN"/>
        </w:rPr>
        <w:t>10.1超温保护：融蜡箱温度</w:t>
      </w:r>
      <w:r>
        <w:rPr>
          <w:rFonts w:hint="eastAsia"/>
          <w:lang w:val="en-US" w:eastAsia="zh-CN"/>
        </w:rPr>
        <w:t>≥</w:t>
      </w:r>
      <w:r>
        <w:rPr>
          <w:rFonts w:hint="default"/>
          <w:lang w:val="en-US" w:eastAsia="zh-CN"/>
        </w:rPr>
        <w:t>95℃或饼箱温度</w:t>
      </w:r>
      <w:r>
        <w:rPr>
          <w:rFonts w:hint="eastAsia"/>
          <w:lang w:val="en-US" w:eastAsia="zh-CN"/>
        </w:rPr>
        <w:t>≥</w:t>
      </w:r>
      <w:r>
        <w:rPr>
          <w:rFonts w:hint="default"/>
          <w:lang w:val="en-US" w:eastAsia="zh-CN"/>
        </w:rPr>
        <w:t>90℃时，均能自动切断加热装置；</w:t>
      </w:r>
    </w:p>
    <w:p>
      <w:pPr>
        <w:pStyle w:val="2"/>
        <w:rPr>
          <w:rFonts w:hint="default"/>
          <w:lang w:val="en-US" w:eastAsia="zh-CN"/>
        </w:rPr>
      </w:pPr>
      <w:r>
        <w:rPr>
          <w:rFonts w:hint="default"/>
          <w:lang w:val="en-US" w:eastAsia="zh-CN"/>
        </w:rPr>
        <w:t>10.1低液位报警：自动检测融蜡箱水位，水位</w:t>
      </w:r>
      <w:r>
        <w:rPr>
          <w:rFonts w:hint="eastAsia" w:ascii="宋体" w:hAnsi="宋体" w:cs="宋体"/>
          <w:sz w:val="24"/>
          <w:szCs w:val="24"/>
          <w:lang w:val="en-US" w:eastAsia="zh-CN"/>
        </w:rPr>
        <w:t>≤13L时</w:t>
      </w:r>
      <w:r>
        <w:rPr>
          <w:rFonts w:hint="default"/>
          <w:lang w:val="en-US" w:eastAsia="zh-CN"/>
        </w:rPr>
        <w:t>自动报警；</w:t>
      </w:r>
    </w:p>
    <w:p>
      <w:pPr>
        <w:pStyle w:val="2"/>
        <w:rPr>
          <w:rFonts w:hint="default"/>
          <w:lang w:val="en-US" w:eastAsia="zh-CN"/>
        </w:rPr>
      </w:pPr>
      <w:r>
        <w:rPr>
          <w:rFonts w:hint="default"/>
          <w:lang w:val="en-US" w:eastAsia="zh-CN"/>
        </w:rPr>
        <w:t>11.蜡盘尺寸：≥475mm*300mm*30mm，误差：±5%；</w:t>
      </w:r>
    </w:p>
    <w:p>
      <w:pPr>
        <w:pStyle w:val="2"/>
        <w:rPr>
          <w:rFonts w:hint="default"/>
          <w:lang w:val="en-US" w:eastAsia="zh-CN"/>
        </w:rPr>
      </w:pPr>
      <w:r>
        <w:rPr>
          <w:rFonts w:hint="default"/>
          <w:lang w:val="en-US" w:eastAsia="zh-CN"/>
        </w:rPr>
        <w:t>12.蜡饼厚度选择：≥3种厚度可供选择，至少包含10mm、15mm、19mm三种厚度，误差：±20%；</w:t>
      </w:r>
    </w:p>
    <w:p>
      <w:pPr>
        <w:pStyle w:val="2"/>
        <w:rPr>
          <w:rFonts w:hint="default"/>
          <w:lang w:val="en-US" w:eastAsia="zh-CN"/>
        </w:rPr>
      </w:pPr>
      <w:r>
        <w:rPr>
          <w:rFonts w:hint="default"/>
          <w:lang w:val="en-US" w:eastAsia="zh-CN"/>
        </w:rPr>
        <w:t xml:space="preserve">13.含高温消毒功能； </w:t>
      </w:r>
    </w:p>
    <w:p>
      <w:pPr>
        <w:pStyle w:val="3"/>
        <w:ind w:left="0" w:leftChars="0" w:firstLine="0" w:firstLineChars="0"/>
        <w:rPr>
          <w:rFonts w:hint="eastAsia" w:ascii="宋体" w:hAnsi="宋体" w:cs="宋体"/>
          <w:sz w:val="21"/>
          <w:szCs w:val="21"/>
          <w:lang w:val="en-US" w:eastAsia="zh-CN"/>
        </w:rPr>
      </w:pPr>
      <w:r>
        <w:rPr>
          <w:rFonts w:hint="eastAsia"/>
          <w:sz w:val="21"/>
          <w:szCs w:val="21"/>
          <w:lang w:val="en-US" w:eastAsia="zh-CN"/>
        </w:rPr>
        <w:t>14.</w:t>
      </w:r>
      <w:r>
        <w:rPr>
          <w:rFonts w:hint="eastAsia" w:ascii="宋体" w:hAnsi="宋体" w:cs="宋体"/>
          <w:sz w:val="21"/>
          <w:szCs w:val="21"/>
          <w:lang w:eastAsia="zh-CN"/>
        </w:rPr>
        <w:t>▲</w:t>
      </w:r>
      <w:r>
        <w:rPr>
          <w:rFonts w:hint="eastAsia" w:ascii="宋体" w:hAnsi="宋体" w:cs="宋体"/>
          <w:sz w:val="21"/>
          <w:szCs w:val="21"/>
          <w:lang w:val="en-US" w:eastAsia="zh-CN"/>
        </w:rPr>
        <w:t>箱门可设置打开密码；</w:t>
      </w:r>
    </w:p>
    <w:p>
      <w:pPr>
        <w:numPr>
          <w:ilvl w:val="0"/>
          <w:numId w:val="0"/>
        </w:numPr>
        <w:spacing w:line="360" w:lineRule="exact"/>
        <w:ind w:leftChars="0"/>
        <w:jc w:val="left"/>
        <w:rPr>
          <w:rFonts w:hint="eastAsia" w:ascii="宋体" w:hAnsi="宋体" w:cs="宋体"/>
          <w:sz w:val="21"/>
          <w:szCs w:val="21"/>
          <w:lang w:val="en-US" w:eastAsia="zh-CN"/>
        </w:rPr>
      </w:pPr>
      <w:r>
        <w:rPr>
          <w:rFonts w:hint="eastAsia" w:ascii="宋体" w:hAnsi="宋体" w:cs="宋体"/>
          <w:sz w:val="21"/>
          <w:szCs w:val="21"/>
          <w:lang w:val="en-US" w:eastAsia="zh-CN"/>
        </w:rPr>
        <w:t>15.</w:t>
      </w:r>
      <w:r>
        <w:rPr>
          <w:rFonts w:hint="eastAsia" w:ascii="宋体" w:hAnsi="宋体" w:cs="宋体"/>
          <w:sz w:val="21"/>
          <w:szCs w:val="21"/>
          <w:lang w:eastAsia="zh-CN"/>
        </w:rPr>
        <w:t>▲</w:t>
      </w:r>
      <w:r>
        <w:rPr>
          <w:rFonts w:hint="eastAsia" w:ascii="宋体" w:hAnsi="宋体" w:cs="宋体"/>
          <w:sz w:val="21"/>
          <w:szCs w:val="21"/>
          <w:lang w:val="en-US" w:eastAsia="zh-CN"/>
        </w:rPr>
        <w:t>支持联网功能：可在PC和手机端实时显示工作状态，并支持远程调整工作模式以及调节温度。</w:t>
      </w:r>
    </w:p>
    <w:p>
      <w:pPr>
        <w:numPr>
          <w:ilvl w:val="0"/>
          <w:numId w:val="0"/>
        </w:numPr>
        <w:spacing w:line="360" w:lineRule="exact"/>
        <w:ind w:leftChars="0"/>
        <w:jc w:val="left"/>
        <w:rPr>
          <w:b/>
          <w:bCs/>
          <w:color w:val="auto"/>
        </w:rPr>
      </w:pPr>
      <w:r>
        <w:rPr>
          <w:rFonts w:hint="eastAsia"/>
          <w:b/>
          <w:bCs/>
          <w:color w:val="auto"/>
        </w:rPr>
        <w:t>三、商务要求：</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1.</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eastAsia="zh-CN"/>
        </w:rPr>
        <w:t>及地点</w:t>
      </w:r>
    </w:p>
    <w:p>
      <w:pPr>
        <w:numPr>
          <w:ilvl w:val="0"/>
          <w:numId w:val="0"/>
        </w:numPr>
        <w:spacing w:line="360" w:lineRule="exact"/>
        <w:rPr>
          <w:rFonts w:hint="default" w:ascii="宋体" w:hAnsi="宋体" w:eastAsia="宋体" w:cs="宋体"/>
          <w:color w:val="000000"/>
          <w:kern w:val="0"/>
          <w:lang w:val="en-US" w:eastAsia="zh-CN"/>
        </w:rPr>
      </w:pPr>
      <w:r>
        <w:rPr>
          <w:rFonts w:hint="eastAsia" w:ascii="宋体" w:hAnsi="宋体" w:eastAsia="宋体" w:cs="宋体"/>
          <w:color w:val="000000"/>
          <w:kern w:val="0"/>
          <w:lang w:eastAsia="zh-CN"/>
        </w:rPr>
        <w:t xml:space="preserve">1.1 </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eastAsia="zh-CN"/>
        </w:rPr>
        <w:t>：</w:t>
      </w:r>
      <w:r>
        <w:rPr>
          <w:rFonts w:hint="eastAsia" w:ascii="宋体" w:hAnsi="宋体" w:eastAsia="宋体" w:cs="宋体"/>
          <w:color w:val="000000"/>
          <w:kern w:val="0"/>
          <w:lang w:val="en-US" w:eastAsia="zh-CN"/>
        </w:rPr>
        <w:t>经甲乙双方法定代表人（或授权代表）签字并加盖公章（或合同专用章）之日起生效</w:t>
      </w:r>
      <w:r>
        <w:rPr>
          <w:rFonts w:hint="eastAsia" w:ascii="宋体" w:hAnsi="宋体" w:eastAsia="宋体" w:cs="宋体"/>
          <w:color w:val="000000"/>
          <w:kern w:val="0"/>
          <w:lang w:eastAsia="zh-CN"/>
        </w:rPr>
        <w:t>，完成日期：</w:t>
      </w:r>
      <w:r>
        <w:rPr>
          <w:rFonts w:hint="eastAsia" w:ascii="宋体" w:hAnsi="宋体" w:eastAsia="宋体" w:cs="宋体"/>
          <w:color w:val="000000"/>
          <w:kern w:val="0"/>
          <w:lang w:val="en-US" w:eastAsia="zh-CN"/>
        </w:rPr>
        <w:t>质保期结束之日</w:t>
      </w:r>
      <w:r>
        <w:rPr>
          <w:rFonts w:hint="eastAsia" w:ascii="宋体" w:hAnsi="宋体" w:eastAsia="宋体" w:cs="宋体"/>
          <w:color w:val="000000"/>
          <w:kern w:val="0"/>
          <w:lang w:eastAsia="zh-CN"/>
        </w:rPr>
        <w:t>。</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 xml:space="preserve">1.2 </w:t>
      </w:r>
      <w:r>
        <w:rPr>
          <w:rFonts w:hint="eastAsia" w:ascii="宋体" w:hAnsi="宋体" w:eastAsia="宋体" w:cs="宋体"/>
          <w:color w:val="000000"/>
          <w:kern w:val="0"/>
          <w:lang w:val="en-US" w:eastAsia="zh-CN"/>
        </w:rPr>
        <w:t>合同履行</w:t>
      </w:r>
      <w:r>
        <w:rPr>
          <w:rFonts w:hint="eastAsia" w:ascii="宋体" w:hAnsi="宋体" w:eastAsia="宋体" w:cs="宋体"/>
          <w:color w:val="000000"/>
          <w:kern w:val="0"/>
          <w:lang w:eastAsia="zh-CN"/>
        </w:rPr>
        <w:t>地点：四川省妇幼保健院。</w:t>
      </w:r>
    </w:p>
    <w:p>
      <w:pPr>
        <w:numPr>
          <w:ilvl w:val="0"/>
          <w:numId w:val="0"/>
        </w:numPr>
        <w:spacing w:line="360" w:lineRule="exact"/>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1.3交货期限：</w:t>
      </w:r>
      <w:r>
        <w:rPr>
          <w:rFonts w:hint="eastAsia" w:ascii="宋体" w:hAnsi="宋体" w:eastAsia="宋体" w:cs="宋体"/>
          <w:color w:val="000000"/>
          <w:kern w:val="0"/>
          <w:lang w:eastAsia="zh-CN"/>
        </w:rPr>
        <w:t>合同签订生效后，收到采购人通知后30日内完成安装调试并交付采购人验收。</w:t>
      </w:r>
    </w:p>
    <w:p>
      <w:pPr>
        <w:spacing w:line="360" w:lineRule="exact"/>
        <w:rPr>
          <w:rFonts w:hint="eastAsia" w:ascii="宋体" w:hAnsi="宋体" w:cs="宋体"/>
          <w:color w:val="000000"/>
          <w:kern w:val="0"/>
        </w:rPr>
      </w:pPr>
      <w:r>
        <w:rPr>
          <w:rFonts w:hint="eastAsia" w:ascii="宋体" w:hAnsi="宋体" w:cs="宋体"/>
          <w:color w:val="000000"/>
          <w:kern w:val="0"/>
        </w:rPr>
        <w:t>2.付款方法和条件：</w:t>
      </w:r>
    </w:p>
    <w:p>
      <w:pPr>
        <w:spacing w:line="360" w:lineRule="exact"/>
        <w:rPr>
          <w:rFonts w:hint="eastAsia" w:ascii="宋体" w:hAnsi="宋体" w:cs="宋体"/>
          <w:color w:val="000000"/>
          <w:kern w:val="0"/>
        </w:rPr>
      </w:pPr>
      <w:r>
        <w:rPr>
          <w:rFonts w:hint="eastAsia" w:ascii="宋体" w:hAnsi="宋体" w:cs="宋体"/>
          <w:color w:val="000000"/>
          <w:kern w:val="0"/>
        </w:rPr>
        <w:t>采购人验收合格后5日内，供应商须向采购人出具合法有效完整的完税发票及凭证资料，采购人自收到上述发票及凭证资料后60 日内支付合同总价 100%的货款给供应商</w:t>
      </w:r>
    </w:p>
    <w:p>
      <w:pPr>
        <w:spacing w:line="360" w:lineRule="exact"/>
        <w:rPr>
          <w:rFonts w:hint="eastAsia" w:ascii="宋体" w:hAnsi="宋体" w:cs="宋体"/>
          <w:color w:val="000000"/>
          <w:kern w:val="0"/>
        </w:rPr>
      </w:pPr>
      <w:r>
        <w:rPr>
          <w:rFonts w:hint="eastAsia" w:ascii="宋体" w:hAnsi="宋体" w:cs="宋体"/>
          <w:color w:val="000000"/>
          <w:kern w:val="0"/>
        </w:rPr>
        <w:t>3.安装调试及验收：</w:t>
      </w:r>
    </w:p>
    <w:p>
      <w:pPr>
        <w:spacing w:line="360" w:lineRule="exact"/>
        <w:rPr>
          <w:rFonts w:hint="eastAsia" w:ascii="宋体" w:hAnsi="宋体" w:cs="宋体"/>
          <w:color w:val="000000"/>
          <w:kern w:val="0"/>
        </w:rPr>
      </w:pPr>
      <w:r>
        <w:rPr>
          <w:rFonts w:hint="eastAsia" w:ascii="宋体" w:hAnsi="宋体" w:cs="宋体"/>
          <w:color w:val="000000"/>
          <w:kern w:val="0"/>
        </w:rPr>
        <w:t>3.1中标人负责货物安装、调试。</w:t>
      </w:r>
    </w:p>
    <w:p>
      <w:pPr>
        <w:spacing w:line="360" w:lineRule="exact"/>
        <w:rPr>
          <w:rFonts w:hint="eastAsia" w:ascii="宋体" w:hAnsi="宋体" w:cs="宋体"/>
          <w:color w:val="000000"/>
          <w:kern w:val="0"/>
        </w:rPr>
      </w:pPr>
      <w:r>
        <w:rPr>
          <w:rFonts w:hint="eastAsia" w:ascii="宋体" w:hAnsi="宋体" w:cs="宋体"/>
          <w:color w:val="000000"/>
          <w:kern w:val="0"/>
        </w:rPr>
        <w:t>3.2货物安装调试完毕后，中标人应对采购人操作人员进行现场培训，直至采购人的技术人员能独立操作，同时能完成一般常见故障的维修工作。</w:t>
      </w:r>
    </w:p>
    <w:p>
      <w:pPr>
        <w:spacing w:line="360" w:lineRule="exact"/>
        <w:rPr>
          <w:rFonts w:hint="eastAsia" w:ascii="宋体" w:hAnsi="宋体" w:cs="宋体"/>
          <w:color w:val="000000"/>
          <w:kern w:val="0"/>
        </w:rPr>
      </w:pPr>
      <w:r>
        <w:rPr>
          <w:rFonts w:hint="eastAsia" w:ascii="宋体" w:hAnsi="宋体" w:cs="宋体"/>
          <w:color w:val="000000"/>
          <w:kern w:val="0"/>
        </w:rPr>
        <w:t>3.3完成中标产品所有安装、调试、培训后，采购人组织项目验收，验收标准按照《财政部关于进一步加强政府采购需求和履约验收管理的指导意见》（财库〔2016〕205号）、招标文件、中标人投标文件为准。</w:t>
      </w:r>
    </w:p>
    <w:p>
      <w:pPr>
        <w:spacing w:line="360" w:lineRule="exact"/>
        <w:rPr>
          <w:rFonts w:hint="eastAsia" w:ascii="宋体" w:hAnsi="宋体" w:cs="宋体"/>
          <w:color w:val="000000"/>
          <w:kern w:val="0"/>
        </w:rPr>
      </w:pPr>
      <w:r>
        <w:rPr>
          <w:rFonts w:hint="eastAsia" w:ascii="宋体" w:hAnsi="宋体" w:cs="宋体"/>
          <w:color w:val="000000"/>
          <w:kern w:val="0"/>
        </w:rPr>
        <w:t>4.售后服务：</w:t>
      </w:r>
    </w:p>
    <w:p>
      <w:pPr>
        <w:spacing w:line="360" w:lineRule="exact"/>
        <w:rPr>
          <w:rFonts w:hint="eastAsia" w:ascii="宋体" w:hAnsi="宋体" w:cs="宋体"/>
          <w:color w:val="000000"/>
          <w:kern w:val="0"/>
        </w:rPr>
      </w:pPr>
      <w:r>
        <w:rPr>
          <w:rFonts w:hint="eastAsia" w:ascii="宋体" w:hAnsi="宋体" w:cs="宋体"/>
          <w:color w:val="000000"/>
          <w:kern w:val="0"/>
        </w:rPr>
        <w:t>4.1质保期：最终验收合格后提供至少</w:t>
      </w:r>
      <w:r>
        <w:rPr>
          <w:rFonts w:hint="eastAsia" w:ascii="宋体" w:hAnsi="宋体" w:cs="宋体"/>
          <w:color w:val="FF0000"/>
          <w:kern w:val="0"/>
          <w:lang w:val="en-US" w:eastAsia="zh-CN"/>
        </w:rPr>
        <w:t>3</w:t>
      </w:r>
      <w:r>
        <w:rPr>
          <w:rFonts w:hint="eastAsia" w:ascii="宋体" w:hAnsi="宋体" w:cs="宋体"/>
          <w:color w:val="FF0000"/>
          <w:kern w:val="0"/>
        </w:rPr>
        <w:t>年</w:t>
      </w:r>
      <w:r>
        <w:rPr>
          <w:rFonts w:hint="eastAsia" w:ascii="宋体" w:hAnsi="宋体" w:cs="宋体"/>
          <w:color w:val="000000"/>
          <w:kern w:val="0"/>
        </w:rPr>
        <w:t>原厂质保（含整机所有部件；如质保期内部件损坏，中标人免费更换全新原厂配件，并对更换部件延长一年质保）。</w:t>
      </w:r>
    </w:p>
    <w:p>
      <w:pPr>
        <w:spacing w:line="360" w:lineRule="exact"/>
        <w:rPr>
          <w:rFonts w:hint="eastAsia" w:ascii="宋体" w:hAnsi="宋体" w:cs="宋体"/>
          <w:color w:val="000000"/>
          <w:kern w:val="0"/>
        </w:rPr>
      </w:pPr>
      <w:r>
        <w:rPr>
          <w:rFonts w:hint="eastAsia" w:ascii="宋体" w:hAnsi="宋体" w:cs="宋体"/>
          <w:color w:val="000000"/>
          <w:kern w:val="0"/>
        </w:rPr>
        <w:t>4.2中标人接到采购人故障通知后4小时内响应，24小时内到达现场维修，如维修不涉及零配件更换，应在48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rPr>
          <w:rFonts w:hint="eastAsia" w:ascii="宋体" w:hAnsi="宋体" w:cs="宋体"/>
          <w:color w:val="000000"/>
          <w:kern w:val="0"/>
        </w:rPr>
      </w:pPr>
      <w:r>
        <w:rPr>
          <w:rFonts w:hint="eastAsia" w:ascii="宋体" w:hAnsi="宋体" w:cs="宋体"/>
          <w:color w:val="000000"/>
          <w:kern w:val="0"/>
        </w:rPr>
        <w:t>4.3如质保期内货物经中标人两次维修仍不能达到国家相关质量标准，采购人有权要求中标人无条件更换全新货物或退货，并追究中标人违约责任。</w:t>
      </w:r>
    </w:p>
    <w:p>
      <w:pPr>
        <w:spacing w:line="360" w:lineRule="exact"/>
        <w:rPr>
          <w:rFonts w:hint="eastAsia" w:ascii="宋体" w:hAnsi="宋体" w:cs="宋体"/>
          <w:color w:val="000000"/>
          <w:kern w:val="0"/>
        </w:rPr>
      </w:pPr>
      <w:r>
        <w:rPr>
          <w:rFonts w:hint="eastAsia" w:ascii="宋体" w:hAnsi="宋体" w:cs="宋体"/>
          <w:color w:val="000000"/>
          <w:kern w:val="0"/>
        </w:rPr>
        <w:t>4.4如货物涉及软件升级，中标人承诺为采购人提供软件升级服务，费用包含在投标总价内，采购人不再另行支付费用。</w:t>
      </w:r>
    </w:p>
    <w:p>
      <w:pPr>
        <w:spacing w:line="360" w:lineRule="exact"/>
        <w:rPr>
          <w:rFonts w:hint="eastAsia" w:ascii="宋体" w:hAnsi="宋体" w:cs="宋体"/>
          <w:color w:val="000000"/>
          <w:kern w:val="0"/>
        </w:rPr>
      </w:pPr>
      <w:r>
        <w:rPr>
          <w:rFonts w:hint="eastAsia" w:ascii="宋体" w:hAnsi="宋体" w:cs="宋体"/>
          <w:color w:val="000000"/>
          <w:kern w:val="0"/>
        </w:rPr>
        <w:t>4.5中标人应承诺保证设备停产后至少5年的零配件供应。</w:t>
      </w:r>
      <w:r>
        <w:rPr>
          <w:rFonts w:hint="eastAsia" w:ascii="宋体" w:hAnsi="宋体" w:cs="宋体"/>
          <w:b w:val="0"/>
          <w:color w:val="000000"/>
          <w:sz w:val="21"/>
          <w:szCs w:val="21"/>
          <w:lang w:eastAsia="zh-CN"/>
        </w:rPr>
        <w:t>质</w:t>
      </w:r>
      <w:r>
        <w:rPr>
          <w:rFonts w:hint="eastAsia" w:ascii="宋体" w:hAnsi="宋体" w:cs="宋体"/>
          <w:b w:val="0"/>
          <w:color w:val="000000"/>
          <w:sz w:val="21"/>
          <w:szCs w:val="21"/>
          <w:highlight w:val="none"/>
          <w:lang w:eastAsia="zh-CN"/>
        </w:rPr>
        <w:t>保期</w:t>
      </w:r>
      <w:r>
        <w:rPr>
          <w:rFonts w:hint="eastAsia" w:ascii="宋体" w:hAnsi="宋体" w:eastAsia="宋体" w:cs="宋体"/>
          <w:bCs/>
          <w:color w:val="auto"/>
          <w:sz w:val="21"/>
          <w:szCs w:val="21"/>
          <w:highlight w:val="none"/>
        </w:rPr>
        <w:t>内，</w:t>
      </w:r>
      <w:r>
        <w:rPr>
          <w:rFonts w:hint="eastAsia" w:ascii="宋体" w:hAnsi="宋体" w:eastAsia="宋体" w:cs="宋体"/>
          <w:color w:val="000000"/>
          <w:sz w:val="21"/>
          <w:szCs w:val="21"/>
          <w:highlight w:val="none"/>
          <w:lang w:val="en-US" w:eastAsia="zh-CN"/>
        </w:rPr>
        <w:t>乙方每半年</w:t>
      </w:r>
      <w:r>
        <w:rPr>
          <w:rFonts w:hint="eastAsia" w:ascii="宋体" w:hAnsi="宋体" w:cs="宋体"/>
          <w:color w:val="000000"/>
          <w:sz w:val="21"/>
          <w:szCs w:val="21"/>
          <w:highlight w:val="none"/>
          <w:lang w:val="en-US" w:eastAsia="zh-CN"/>
        </w:rPr>
        <w:t>提供巡检及保养</w:t>
      </w:r>
      <w:r>
        <w:rPr>
          <w:rFonts w:hint="eastAsia" w:ascii="宋体" w:hAnsi="宋体" w:eastAsia="宋体" w:cs="宋体"/>
          <w:color w:val="000000"/>
          <w:sz w:val="21"/>
          <w:szCs w:val="21"/>
          <w:highlight w:val="none"/>
          <w:lang w:val="en-US" w:eastAsia="zh-CN"/>
        </w:rPr>
        <w:t>≥1次，</w:t>
      </w:r>
      <w:r>
        <w:rPr>
          <w:rFonts w:hint="eastAsia" w:ascii="宋体" w:hAnsi="宋体" w:eastAsia="宋体" w:cs="宋体"/>
          <w:color w:val="000000"/>
          <w:sz w:val="21"/>
          <w:szCs w:val="21"/>
          <w:lang w:val="en-US" w:eastAsia="zh-CN"/>
        </w:rPr>
        <w:t>并按医院要求</w:t>
      </w:r>
      <w:r>
        <w:rPr>
          <w:rFonts w:hint="eastAsia" w:ascii="宋体" w:hAnsi="宋体" w:cs="宋体"/>
          <w:color w:val="000000"/>
          <w:sz w:val="21"/>
          <w:szCs w:val="21"/>
          <w:lang w:val="en-US" w:eastAsia="zh-CN"/>
        </w:rPr>
        <w:t>提供巡检及保养</w:t>
      </w:r>
      <w:r>
        <w:rPr>
          <w:rFonts w:hint="eastAsia" w:ascii="宋体" w:hAnsi="宋体" w:eastAsia="宋体" w:cs="宋体"/>
          <w:color w:val="000000"/>
          <w:sz w:val="21"/>
          <w:szCs w:val="21"/>
          <w:lang w:val="en-US" w:eastAsia="zh-CN"/>
        </w:rPr>
        <w:t>记录。</w:t>
      </w:r>
    </w:p>
    <w:p>
      <w:pPr>
        <w:spacing w:line="360" w:lineRule="exact"/>
        <w:rPr>
          <w:rFonts w:hint="eastAsia" w:ascii="宋体" w:hAnsi="宋体" w:cs="宋体"/>
          <w:b/>
          <w:color w:val="000000"/>
          <w:kern w:val="0"/>
        </w:rPr>
      </w:pPr>
      <w:r>
        <w:rPr>
          <w:rFonts w:hint="eastAsia" w:ascii="宋体" w:hAnsi="宋体" w:cs="宋体"/>
          <w:b/>
          <w:color w:val="000000"/>
          <w:kern w:val="0"/>
        </w:rPr>
        <w:t>备注:</w:t>
      </w:r>
      <w:r>
        <w:rPr>
          <w:rFonts w:ascii="宋体" w:hAnsi="宋体" w:cs="宋体"/>
          <w:b/>
          <w:color w:val="000000"/>
          <w:kern w:val="0"/>
        </w:rPr>
        <w:t xml:space="preserve"> </w:t>
      </w:r>
      <w:r>
        <w:rPr>
          <w:rFonts w:hint="eastAsia" w:ascii="宋体" w:hAnsi="宋体" w:cs="宋体"/>
          <w:b/>
          <w:color w:val="000000"/>
          <w:kern w:val="0"/>
        </w:rPr>
        <w:t>商务条款为本次招标项目的实质性要求，不允许有负偏离。</w:t>
      </w:r>
      <w:r>
        <w:rPr>
          <w:rFonts w:hint="eastAsia" w:ascii="宋体" w:hAnsi="宋体" w:cs="宋体"/>
          <w:b/>
          <w:color w:val="000000"/>
          <w:kern w:val="0"/>
        </w:rPr>
        <w:t>备注:</w:t>
      </w:r>
      <w:r>
        <w:rPr>
          <w:rFonts w:ascii="宋体" w:hAnsi="宋体" w:cs="宋体"/>
          <w:b/>
          <w:color w:val="000000"/>
          <w:kern w:val="0"/>
        </w:rPr>
        <w:t xml:space="preserve"> </w:t>
      </w:r>
      <w:r>
        <w:rPr>
          <w:rFonts w:hint="eastAsia" w:ascii="宋体" w:hAnsi="宋体" w:cs="宋体"/>
          <w:b/>
          <w:color w:val="000000"/>
          <w:kern w:val="0"/>
        </w:rPr>
        <w:t>商务条款为本次招标项目的实质性要求，不允许有负偏离。</w:t>
      </w:r>
    </w:p>
    <w:p>
      <w:pPr>
        <w:pStyle w:val="2"/>
        <w:numPr>
          <w:ilvl w:val="0"/>
          <w:numId w:val="2"/>
        </w:numPr>
        <w:rPr>
          <w:rFonts w:hint="eastAsia" w:ascii="宋体" w:hAnsi="宋体" w:cs="宋体"/>
          <w:b/>
          <w:color w:val="000000"/>
          <w:kern w:val="0"/>
          <w:lang w:val="en-US" w:eastAsia="zh-CN"/>
        </w:rPr>
      </w:pPr>
      <w:r>
        <w:rPr>
          <w:rFonts w:hint="eastAsia" w:ascii="宋体" w:hAnsi="宋体" w:cs="宋体"/>
          <w:b/>
          <w:color w:val="000000"/>
          <w:kern w:val="0"/>
          <w:lang w:val="en-US" w:eastAsia="zh-CN"/>
        </w:rPr>
        <w:t>履约担保：</w:t>
      </w:r>
    </w:p>
    <w:p>
      <w:pPr>
        <w:adjustRightInd w:val="0"/>
        <w:snapToGrid w:val="0"/>
        <w:spacing w:line="360" w:lineRule="auto"/>
        <w:rPr>
          <w:rFonts w:hint="eastAsia" w:ascii="宋体" w:hAnsi="宋体" w:cs="宋体"/>
        </w:rPr>
      </w:pPr>
      <w:r>
        <w:rPr>
          <w:rFonts w:hint="eastAsia" w:ascii="宋体" w:hAnsi="宋体" w:cs="宋体"/>
          <w:bCs/>
        </w:rPr>
        <w:t>履约担保：</w:t>
      </w:r>
      <w:r>
        <w:rPr>
          <w:rFonts w:hint="eastAsia" w:ascii="宋体" w:hAnsi="宋体" w:cs="宋体"/>
        </w:rPr>
        <w:t>是否收取履约保证金：</w:t>
      </w:r>
      <w:r>
        <w:rPr>
          <w:rFonts w:hint="eastAsia" w:ascii="宋体" w:hAnsi="宋体" w:cs="宋体"/>
          <w:iCs/>
        </w:rPr>
        <w:sym w:font="Wingdings" w:char="00FE"/>
      </w:r>
      <w:r>
        <w:rPr>
          <w:rFonts w:hint="eastAsia" w:ascii="宋体" w:hAnsi="宋体" w:cs="宋体"/>
        </w:rPr>
        <w:t xml:space="preserve">是    </w:t>
      </w:r>
      <w:r>
        <w:rPr>
          <w:rFonts w:hint="eastAsia" w:ascii="宋体" w:hAnsi="宋体" w:cs="宋体"/>
        </w:rPr>
        <w:sym w:font="Wingdings" w:char="00A8"/>
      </w:r>
      <w:r>
        <w:rPr>
          <w:rFonts w:hint="eastAsia" w:ascii="宋体" w:hAnsi="宋体" w:cs="宋体"/>
        </w:rPr>
        <w:t>否</w:t>
      </w:r>
    </w:p>
    <w:p>
      <w:pPr>
        <w:numPr>
          <w:ilvl w:val="0"/>
          <w:numId w:val="0"/>
        </w:numPr>
        <w:rPr>
          <w:rFonts w:hint="default"/>
          <w:lang w:val="en-US" w:eastAsia="zh-CN"/>
        </w:rPr>
      </w:pPr>
      <w:r>
        <w:rPr>
          <w:rFonts w:hint="default"/>
          <w:lang w:val="en-US" w:eastAsia="zh-CN"/>
        </w:rPr>
        <w:t>履约保证金缴纳说明</w:t>
      </w:r>
      <w:r>
        <w:rPr>
          <w:rFonts w:hint="eastAsia"/>
          <w:lang w:val="en-US" w:eastAsia="zh-CN"/>
        </w:rPr>
        <w:t>：</w:t>
      </w:r>
    </w:p>
    <w:p>
      <w:pPr>
        <w:numPr>
          <w:ilvl w:val="0"/>
          <w:numId w:val="0"/>
        </w:numPr>
        <w:rPr>
          <w:rFonts w:hint="default"/>
          <w:lang w:val="en-US" w:eastAsia="zh-CN"/>
        </w:rPr>
      </w:pPr>
      <w:r>
        <w:rPr>
          <w:rFonts w:hint="default"/>
          <w:lang w:val="en-US" w:eastAsia="zh-CN"/>
        </w:rPr>
        <w:t>（1）交款方式：</w:t>
      </w:r>
      <w:r>
        <w:rPr>
          <w:rFonts w:hint="eastAsia" w:ascii="宋体" w:hAnsi="宋体" w:cs="宋体"/>
          <w:color w:val="000000"/>
          <w:kern w:val="0"/>
        </w:rPr>
        <w:t>按合同总价10%支付履约保证金</w:t>
      </w:r>
      <w:r>
        <w:rPr>
          <w:rFonts w:hint="eastAsia" w:ascii="宋体" w:hAnsi="宋体" w:cs="宋体"/>
          <w:color w:val="000000"/>
          <w:kern w:val="0"/>
          <w:lang w:eastAsia="zh-CN"/>
        </w:rPr>
        <w:t>。</w:t>
      </w:r>
      <w:r>
        <w:rPr>
          <w:rFonts w:hint="default"/>
          <w:lang w:val="en-US" w:eastAsia="zh-CN"/>
        </w:rPr>
        <w:t>以支票、汇票、本票或者金融机构、担保机构出具的保函等非现金形式向采购人交纳</w:t>
      </w:r>
      <w:r>
        <w:rPr>
          <w:rFonts w:hint="eastAsia" w:ascii="宋体" w:hAnsi="宋体" w:cs="宋体"/>
          <w:color w:val="000000"/>
          <w:kern w:val="0"/>
        </w:rPr>
        <w:t>；</w:t>
      </w:r>
    </w:p>
    <w:p>
      <w:pPr>
        <w:numPr>
          <w:ilvl w:val="0"/>
          <w:numId w:val="0"/>
        </w:numPr>
        <w:rPr>
          <w:rFonts w:hint="default"/>
          <w:lang w:val="en-US" w:eastAsia="zh-CN"/>
        </w:rPr>
      </w:pPr>
      <w:r>
        <w:rPr>
          <w:rFonts w:hint="default"/>
          <w:lang w:val="en-US" w:eastAsia="zh-CN"/>
        </w:rPr>
        <w:t>（2）交款时间：投标人在收到采购人通知后7日内、设备安装前；</w:t>
      </w:r>
    </w:p>
    <w:p>
      <w:pPr>
        <w:numPr>
          <w:ilvl w:val="0"/>
          <w:numId w:val="0"/>
        </w:numPr>
        <w:rPr>
          <w:rFonts w:hint="default"/>
          <w:lang w:val="en-US" w:eastAsia="zh-CN"/>
        </w:rPr>
      </w:pPr>
      <w:r>
        <w:rPr>
          <w:rFonts w:hint="default"/>
          <w:lang w:val="en-US" w:eastAsia="zh-CN"/>
        </w:rPr>
        <w:t>（3）收款单位：采购人指定；</w:t>
      </w:r>
    </w:p>
    <w:p>
      <w:pPr>
        <w:numPr>
          <w:ilvl w:val="0"/>
          <w:numId w:val="0"/>
        </w:numPr>
        <w:rPr>
          <w:rFonts w:hint="default"/>
          <w:lang w:val="en-US" w:eastAsia="zh-CN"/>
        </w:rPr>
      </w:pPr>
      <w:r>
        <w:rPr>
          <w:rFonts w:hint="default"/>
          <w:lang w:val="en-US" w:eastAsia="zh-CN"/>
        </w:rPr>
        <w:t>（4）开户银行：采购人指定；</w:t>
      </w:r>
    </w:p>
    <w:p>
      <w:pPr>
        <w:numPr>
          <w:ilvl w:val="0"/>
          <w:numId w:val="0"/>
        </w:numPr>
        <w:rPr>
          <w:rFonts w:hint="default"/>
          <w:lang w:val="en-US" w:eastAsia="zh-CN"/>
        </w:rPr>
      </w:pPr>
      <w:r>
        <w:rPr>
          <w:rFonts w:hint="default"/>
          <w:lang w:val="en-US" w:eastAsia="zh-CN"/>
        </w:rPr>
        <w:t>（5）账号：采购人指定；</w:t>
      </w:r>
    </w:p>
    <w:p>
      <w:pPr>
        <w:numPr>
          <w:ilvl w:val="0"/>
          <w:numId w:val="0"/>
        </w:numPr>
        <w:rPr>
          <w:rFonts w:hint="default"/>
          <w:lang w:val="en-US" w:eastAsia="zh-CN"/>
        </w:rPr>
      </w:pPr>
      <w:r>
        <w:rPr>
          <w:rFonts w:hint="default"/>
          <w:lang w:val="en-US" w:eastAsia="zh-CN"/>
        </w:rPr>
        <w:t>（6）退还时间：设备自最终验收合格之日满2年，采购人接到投标人付款申请后30个工作日内，采购人一次性无息退还投标人的履约保证金，若履约保证金缴纳方式为保函，则按照保函相关流程退回。</w:t>
      </w:r>
    </w:p>
    <w:p>
      <w:pPr>
        <w:numPr>
          <w:ilvl w:val="0"/>
          <w:numId w:val="0"/>
        </w:numPr>
        <w:rPr>
          <w:rFonts w:hint="default"/>
          <w:lang w:val="en-US" w:eastAsia="zh-CN"/>
        </w:rPr>
      </w:pPr>
      <w:r>
        <w:rPr>
          <w:rFonts w:hint="default"/>
          <w:lang w:val="en-US" w:eastAsia="zh-CN"/>
        </w:rPr>
        <w:t>（7）履约保证金不予退还情形：</w:t>
      </w:r>
    </w:p>
    <w:p>
      <w:pPr>
        <w:numPr>
          <w:ilvl w:val="0"/>
          <w:numId w:val="0"/>
        </w:numPr>
        <w:ind w:firstLine="210" w:firstLineChars="100"/>
        <w:rPr>
          <w:rFonts w:hint="default"/>
          <w:lang w:val="en-US" w:eastAsia="zh-CN"/>
        </w:rPr>
      </w:pPr>
      <w:r>
        <w:rPr>
          <w:rFonts w:hint="default"/>
          <w:lang w:val="en-US" w:eastAsia="zh-CN"/>
        </w:rPr>
        <w:t>1）中标供应商不履行与采购人订立的合同的，给采购人造成的损失超过履约保证金数额的，还应当对超过部分予以赔偿；</w:t>
      </w:r>
    </w:p>
    <w:p>
      <w:pPr>
        <w:numPr>
          <w:ilvl w:val="0"/>
          <w:numId w:val="0"/>
        </w:numPr>
        <w:ind w:firstLine="210" w:firstLineChars="100"/>
        <w:rPr>
          <w:rFonts w:hint="default"/>
          <w:lang w:val="en-US" w:eastAsia="zh-CN"/>
        </w:rPr>
      </w:pPr>
      <w:r>
        <w:rPr>
          <w:rFonts w:hint="default"/>
          <w:lang w:val="en-US" w:eastAsia="zh-CN"/>
        </w:rPr>
        <w:t>2）项目验收结果不合格的；</w:t>
      </w:r>
    </w:p>
    <w:p>
      <w:pPr>
        <w:numPr>
          <w:ilvl w:val="0"/>
          <w:numId w:val="0"/>
        </w:numPr>
        <w:ind w:firstLine="210" w:firstLineChars="100"/>
        <w:rPr>
          <w:rFonts w:hint="default"/>
          <w:lang w:val="en-US" w:eastAsia="zh-CN"/>
        </w:rPr>
      </w:pPr>
      <w:r>
        <w:rPr>
          <w:rFonts w:hint="default"/>
          <w:lang w:val="en-US" w:eastAsia="zh-CN"/>
        </w:rPr>
        <w:t>3）其他违反国家相关法律法规的情形；</w:t>
      </w:r>
    </w:p>
    <w:p>
      <w:pPr>
        <w:numPr>
          <w:ilvl w:val="0"/>
          <w:numId w:val="0"/>
        </w:numPr>
        <w:rPr>
          <w:rFonts w:hint="default"/>
          <w:lang w:val="en-US" w:eastAsia="zh-CN"/>
        </w:rPr>
      </w:pPr>
      <w:r>
        <w:rPr>
          <w:rFonts w:hint="default"/>
          <w:lang w:val="en-US" w:eastAsia="zh-CN"/>
        </w:rPr>
        <w:t>（8）若投标人接到支付履约保证金通知未在7个工作日内缴纳履约保证金，采购人有权解除合同。</w:t>
      </w:r>
    </w:p>
    <w:p>
      <w:pPr>
        <w:numPr>
          <w:ilvl w:val="0"/>
          <w:numId w:val="0"/>
        </w:numPr>
        <w:rPr>
          <w:rFonts w:hint="default"/>
          <w:lang w:val="en-US" w:eastAsia="zh-CN"/>
        </w:rPr>
      </w:pPr>
      <w:r>
        <w:rPr>
          <w:rFonts w:hint="default"/>
          <w:lang w:val="en-US" w:eastAsia="zh-CN"/>
        </w:rPr>
        <w:t>注：以保函形式交纳履约保证金的，保函受益人为采购人。由中标供应商基本账户所在银行或其他经相应主管部门批准可以开展保函业务的金融或担保机构出具的保函</w:t>
      </w:r>
      <w:r>
        <w:rPr>
          <w:rFonts w:hint="eastAsia"/>
          <w:lang w:val="en-US" w:eastAsia="zh-CN"/>
        </w:rPr>
        <w:t>。</w:t>
      </w:r>
    </w:p>
    <w:p>
      <w:pPr>
        <w:widowControl/>
        <w:jc w:val="left"/>
        <w:rPr>
          <w:rFonts w:ascii="宋体" w:hAnsi="宋体" w:eastAsia="宋体" w:cs="Segoe UI"/>
          <w:b/>
          <w:bCs/>
          <w:color w:val="auto"/>
          <w:kern w:val="0"/>
          <w:sz w:val="28"/>
          <w:szCs w:val="28"/>
        </w:rPr>
      </w:pPr>
      <w:r>
        <w:rPr>
          <w:rFonts w:hint="eastAsia" w:ascii="宋体" w:hAnsi="宋体" w:eastAsia="宋体" w:cs="Segoe UI"/>
          <w:b/>
          <w:bCs/>
          <w:color w:val="auto"/>
          <w:kern w:val="0"/>
          <w:sz w:val="28"/>
          <w:szCs w:val="28"/>
        </w:rPr>
        <w:t>附件</w:t>
      </w:r>
      <w:r>
        <w:rPr>
          <w:rFonts w:hint="eastAsia" w:ascii="Segoe UI" w:hAnsi="Segoe UI" w:eastAsia="宋体" w:cs="Segoe UI"/>
          <w:b/>
          <w:bCs/>
          <w:color w:val="auto"/>
          <w:kern w:val="0"/>
          <w:sz w:val="28"/>
          <w:szCs w:val="28"/>
          <w:lang w:val="en-US" w:eastAsia="zh-CN"/>
        </w:rPr>
        <w:t>2</w:t>
      </w:r>
      <w:r>
        <w:rPr>
          <w:rFonts w:hint="eastAsia" w:ascii="宋体" w:hAnsi="宋体" w:eastAsia="宋体" w:cs="Segoe UI"/>
          <w:b/>
          <w:bCs/>
          <w:color w:val="auto"/>
          <w:kern w:val="0"/>
          <w:sz w:val="28"/>
          <w:szCs w:val="28"/>
        </w:rPr>
        <w:t>：评审办法（评分细则表）</w:t>
      </w:r>
    </w:p>
    <w:tbl>
      <w:tblPr>
        <w:tblStyle w:val="12"/>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594"/>
        <w:gridCol w:w="1002"/>
        <w:gridCol w:w="932"/>
        <w:gridCol w:w="5787"/>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83"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cs="宋体"/>
                <w:color w:val="auto"/>
                <w:kern w:val="0"/>
              </w:rPr>
            </w:pPr>
            <w:r>
              <w:rPr>
                <w:rFonts w:hint="eastAsia" w:cs="宋体"/>
                <w:color w:val="000000"/>
                <w:kern w:val="0"/>
              </w:rPr>
              <w:t>细则</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333333"/>
                <w:kern w:val="0"/>
              </w:rPr>
              <w:t>序号</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333333"/>
                <w:kern w:val="0"/>
              </w:rPr>
              <w:t>评分因素</w:t>
            </w:r>
          </w:p>
        </w:tc>
        <w:tc>
          <w:tcPr>
            <w:tcW w:w="93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eastAsia="宋体" w:cs="宋体"/>
                <w:color w:val="000000"/>
                <w:kern w:val="0"/>
              </w:rPr>
              <w:t>分值</w:t>
            </w:r>
            <w:r>
              <w:rPr>
                <w:rFonts w:hint="eastAsia" w:ascii="宋体" w:hAnsi="宋体" w:eastAsia="宋体" w:cs="宋体"/>
                <w:color w:val="000000"/>
                <w:kern w:val="0"/>
                <w:lang w:eastAsia="zh-CN"/>
              </w:rPr>
              <w:t>（</w:t>
            </w:r>
            <w:r>
              <w:rPr>
                <w:rFonts w:hint="eastAsia" w:ascii="宋体" w:hAnsi="宋体" w:eastAsia="宋体" w:cs="宋体"/>
                <w:color w:val="000000"/>
                <w:kern w:val="0"/>
                <w:lang w:val="en-US" w:eastAsia="zh-CN"/>
              </w:rPr>
              <w:t>总分100分</w:t>
            </w:r>
            <w:r>
              <w:rPr>
                <w:rFonts w:hint="eastAsia" w:ascii="宋体" w:hAnsi="宋体" w:eastAsia="宋体" w:cs="宋体"/>
                <w:color w:val="000000"/>
                <w:kern w:val="0"/>
                <w:lang w:eastAsia="zh-CN"/>
              </w:rPr>
              <w:t>）</w:t>
            </w:r>
          </w:p>
        </w:tc>
        <w:tc>
          <w:tcPr>
            <w:tcW w:w="57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333333"/>
                <w:kern w:val="0"/>
              </w:rPr>
              <w:t>评分标准</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3" w:type="dxa"/>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1</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30%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Segoe UI" w:eastAsiaTheme="minorEastAsia"/>
                <w:color w:val="333333"/>
                <w:kern w:val="0"/>
                <w:sz w:val="21"/>
                <w:szCs w:val="22"/>
                <w:lang w:val="en-US" w:eastAsia="zh-CN" w:bidi="ar-SA"/>
              </w:rPr>
            </w:pPr>
            <w:r>
              <w:rPr>
                <w:rFonts w:hint="eastAsia" w:ascii="宋体" w:hAnsi="宋体" w:eastAsia="宋体" w:cs="宋体"/>
                <w:color w:val="000000"/>
                <w:kern w:val="0"/>
                <w:sz w:val="21"/>
                <w:szCs w:val="21"/>
              </w:rPr>
              <w:t>30</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满足招标文件要求且投标报价最低的有效投标报价为评标基准价，其投标人的报价分为30分。其他投标人的报价分按以下公式计算：报价得分=(评标基准价／投标报价)×30。</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s="宋体" w:eastAsiaTheme="minorEastAsia"/>
                <w:kern w:val="2"/>
                <w:sz w:val="21"/>
                <w:szCs w:val="22"/>
                <w:lang w:val="en-US" w:eastAsia="zh-CN" w:bidi="ar-SA"/>
              </w:rPr>
            </w:pPr>
            <w:r>
              <w:rPr>
                <w:rFonts w:hint="eastAsia" w:ascii="宋体" w:hAnsi="宋体" w:eastAsia="宋体" w:cs="宋体"/>
                <w:sz w:val="21"/>
                <w:szCs w:val="21"/>
              </w:rPr>
              <w:t>注：小微企业（监狱企业、残疾人福利性单位视同小微企业）价格扣除等政策评分按照须知前附表规定执行。</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Segoe UI" w:eastAsiaTheme="minorEastAsia"/>
                <w:kern w:val="0"/>
                <w:sz w:val="21"/>
                <w:szCs w:val="22"/>
                <w:lang w:val="en-US" w:eastAsia="zh-CN" w:bidi="ar-SA"/>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3" w:type="dxa"/>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333333"/>
                <w:kern w:val="0"/>
              </w:rPr>
              <w:t>2</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lang w:val="en-US" w:eastAsia="zh-CN"/>
              </w:rPr>
              <w:t>60</w:t>
            </w:r>
            <w:r>
              <w:rPr>
                <w:rFonts w:hint="eastAsia" w:ascii="宋体" w:hAnsi="宋体" w:cs="Segoe UI"/>
                <w:color w:val="000000"/>
                <w:kern w:val="0"/>
              </w:rPr>
              <w:t>%</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宋体" w:hAnsi="宋体" w:eastAsia="宋体" w:cs="Segoe UI"/>
                <w:color w:val="333333"/>
                <w:kern w:val="0"/>
                <w:sz w:val="21"/>
                <w:szCs w:val="22"/>
                <w:lang w:val="en-US" w:eastAsia="zh-CN" w:bidi="ar-SA"/>
              </w:rPr>
            </w:pPr>
            <w:r>
              <w:rPr>
                <w:rFonts w:hint="eastAsia" w:ascii="宋体" w:hAnsi="宋体" w:cs="Segoe UI"/>
                <w:color w:val="333333"/>
                <w:kern w:val="0"/>
                <w:lang w:val="en-US" w:eastAsia="zh-CN"/>
              </w:rPr>
              <w:t>60</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eastAsia="宋体" w:cs="宋体"/>
              </w:rPr>
            </w:pPr>
            <w:r>
              <w:rPr>
                <w:rFonts w:hint="eastAsia" w:ascii="宋体" w:hAnsi="宋体" w:eastAsia="宋体" w:cs="宋体"/>
              </w:rPr>
              <w:t>完全符合招标文件技术参数要求得</w:t>
            </w:r>
            <w:r>
              <w:rPr>
                <w:rFonts w:hint="eastAsia" w:ascii="宋体" w:hAnsi="宋体" w:eastAsia="宋体" w:cs="宋体"/>
                <w:lang w:val="en-US" w:eastAsia="zh-CN"/>
              </w:rPr>
              <w:t>60</w:t>
            </w:r>
            <w:r>
              <w:rPr>
                <w:rFonts w:hint="eastAsia" w:ascii="宋体" w:hAnsi="宋体" w:eastAsia="宋体" w:cs="宋体"/>
              </w:rPr>
              <w:t>分。</w:t>
            </w:r>
          </w:p>
          <w:p>
            <w:pPr>
              <w:widowControl/>
              <w:spacing w:line="360" w:lineRule="exact"/>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一般技术参数条款的响应得分规则如下：（一般技术参数条款指未标注 “▲”或“★”的条款） 一般技术参数条款响应得分=（投标人满足一般技术参数条款的数量÷一般技术参数条款的总数量）×</w:t>
            </w:r>
            <w:r>
              <w:rPr>
                <w:rFonts w:hint="eastAsia" w:ascii="宋体" w:hAnsi="宋体" w:eastAsia="宋体" w:cs="宋体"/>
                <w:color w:val="FF0000"/>
                <w:lang w:val="en-US" w:eastAsia="zh-CN"/>
              </w:rPr>
              <w:t>18</w:t>
            </w:r>
            <w:r>
              <w:rPr>
                <w:rFonts w:hint="eastAsia" w:ascii="宋体" w:hAnsi="宋体" w:eastAsia="宋体" w:cs="宋体"/>
              </w:rPr>
              <w:t xml:space="preserve">分。 </w:t>
            </w:r>
          </w:p>
          <w:p>
            <w:pPr>
              <w:widowControl/>
              <w:spacing w:line="360" w:lineRule="exact"/>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“▲”技术参数条款的响应得分规则如下： “▲”技术参数条款响应得分=（投标人满足“▲”技术参数条款的数量÷ “▲”技术参数条款的总数量）×</w:t>
            </w:r>
            <w:r>
              <w:rPr>
                <w:rFonts w:hint="eastAsia" w:ascii="宋体" w:hAnsi="宋体" w:eastAsia="宋体" w:cs="宋体"/>
                <w:color w:val="FF0000"/>
                <w:lang w:val="en-US" w:eastAsia="zh-CN"/>
              </w:rPr>
              <w:t>42</w:t>
            </w:r>
            <w:r>
              <w:rPr>
                <w:rFonts w:hint="eastAsia" w:ascii="宋体" w:hAnsi="宋体" w:eastAsia="宋体" w:cs="宋体"/>
              </w:rPr>
              <w:t>分。</w:t>
            </w:r>
          </w:p>
          <w:p>
            <w:pPr>
              <w:widowControl/>
              <w:spacing w:line="360" w:lineRule="exact"/>
              <w:rPr>
                <w:rFonts w:hint="eastAsia" w:ascii="宋体" w:hAnsi="宋体" w:cs="宋体" w:eastAsiaTheme="minorEastAsia"/>
                <w:kern w:val="2"/>
                <w:sz w:val="21"/>
                <w:szCs w:val="22"/>
                <w:lang w:val="en-US" w:eastAsia="zh-CN" w:bidi="ar-SA"/>
              </w:rPr>
            </w:pPr>
            <w:r>
              <w:rPr>
                <w:rFonts w:hint="eastAsia" w:ascii="宋体" w:hAnsi="宋体" w:eastAsia="宋体" w:cs="宋体"/>
              </w:rPr>
              <w:t>注：（1）▲号条款需提供证明文件（按招标文件要求提供资料, ▲号条款招标文件未要求提供证明材料的，提供所投产品</w:t>
            </w:r>
            <w:r>
              <w:rPr>
                <w:rFonts w:hint="eastAsia" w:ascii="宋体" w:hAnsi="宋体" w:eastAsia="宋体" w:cs="宋体"/>
                <w:lang w:val="en-US" w:eastAsia="zh-CN"/>
              </w:rPr>
              <w:t>生产厂家出具的</w:t>
            </w:r>
            <w:r>
              <w:rPr>
                <w:rFonts w:hint="eastAsia" w:ascii="宋体" w:hAnsi="宋体" w:eastAsia="宋体" w:cs="宋体"/>
              </w:rPr>
              <w:t xml:space="preserve">说明书或向社会公开的彩页资料或国家认可的合法的检测机构出具的检测报告证明材料并加盖投标人公章）。（2）如技术指标在投标文件中未对应出现或在投标文件中存在自相矛盾之处或未提供的不得分。 </w:t>
            </w: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 xml:space="preserve">得分保留小数点后两位小数，四舍五入。 </w:t>
            </w: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标注“★”的条款为本项目实质性要求，不作为本项评审。</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kern w:val="0"/>
                <w:sz w:val="21"/>
                <w:szCs w:val="22"/>
                <w:lang w:val="en-US" w:eastAsia="zh-CN" w:bidi="ar-SA"/>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3" w:type="dxa"/>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Segoe UI"/>
                <w:color w:val="000000"/>
                <w:kern w:val="0"/>
                <w:lang w:val="en-US" w:eastAsia="zh-CN"/>
              </w:rPr>
            </w:pPr>
            <w:r>
              <w:rPr>
                <w:rFonts w:hint="eastAsia" w:ascii="宋体" w:hAnsi="宋体" w:cs="Segoe UI"/>
                <w:color w:val="333333"/>
                <w:kern w:val="0"/>
                <w:lang w:val="en-US" w:eastAsia="zh-CN"/>
              </w:rPr>
              <w:t>3</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rPr>
            </w:pPr>
            <w:r>
              <w:rPr>
                <w:rFonts w:hint="eastAsia" w:ascii="宋体" w:hAnsi="宋体" w:cs="宋体"/>
              </w:rPr>
              <w:t>业绩</w:t>
            </w:r>
          </w:p>
          <w:p>
            <w:pPr>
              <w:widowControl/>
              <w:spacing w:line="360" w:lineRule="exact"/>
              <w:jc w:val="center"/>
              <w:rPr>
                <w:rFonts w:hint="eastAsia" w:ascii="宋体" w:hAnsi="宋体" w:cs="Segoe UI"/>
                <w:color w:val="auto"/>
                <w:kern w:val="0"/>
                <w:lang w:val="en-US" w:eastAsia="zh-CN"/>
              </w:rPr>
            </w:pPr>
            <w:r>
              <w:rPr>
                <w:rFonts w:hint="eastAsia" w:ascii="宋体" w:hAnsi="宋体" w:cs="宋体"/>
                <w:lang w:val="en-US" w:eastAsia="zh-CN"/>
              </w:rPr>
              <w:t>2</w:t>
            </w:r>
            <w:r>
              <w:rPr>
                <w:rFonts w:hint="eastAsia" w:ascii="宋体" w:hAnsi="宋体" w:cs="宋体"/>
              </w:rPr>
              <w:t>%</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Segoe UI"/>
                <w:color w:val="auto"/>
                <w:kern w:val="0"/>
                <w:lang w:val="en-US" w:eastAsia="zh-CN"/>
              </w:rPr>
            </w:pPr>
            <w:r>
              <w:rPr>
                <w:rFonts w:hint="eastAsia" w:ascii="宋体" w:hAnsi="宋体" w:cs="宋体"/>
                <w:lang w:val="en-US" w:eastAsia="zh-CN"/>
              </w:rPr>
              <w:t>2</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eastAsia="宋体" w:cs="宋体"/>
                <w:lang w:val="en-US" w:eastAsia="zh-CN"/>
              </w:rPr>
            </w:pPr>
            <w:r>
              <w:rPr>
                <w:rFonts w:hint="eastAsia" w:ascii="宋体" w:hAnsi="宋体" w:eastAsia="宋体" w:cs="宋体"/>
                <w:lang w:val="en-US" w:eastAsia="zh-CN"/>
              </w:rPr>
              <w:t>自2022年1月1日（含）至今，以合同签订时间为准，</w:t>
            </w:r>
            <w:r>
              <w:rPr>
                <w:rFonts w:hint="eastAsia" w:ascii="宋体" w:hAnsi="宋体" w:eastAsia="宋体" w:cs="宋体"/>
              </w:rPr>
              <w:t>投标人</w:t>
            </w:r>
            <w:r>
              <w:rPr>
                <w:rFonts w:hint="eastAsia" w:ascii="宋体" w:hAnsi="宋体" w:eastAsia="宋体" w:cs="宋体"/>
                <w:lang w:val="en-US" w:eastAsia="zh-CN"/>
              </w:rPr>
              <w:t xml:space="preserve">每具有一个投标产品业绩的得1分，最高得2分。 </w:t>
            </w:r>
          </w:p>
          <w:p>
            <w:pPr>
              <w:widowControl/>
              <w:spacing w:line="360" w:lineRule="exact"/>
              <w:rPr>
                <w:rFonts w:hint="eastAsia" w:ascii="宋体" w:hAnsi="宋体" w:eastAsia="宋体" w:cs="Times New Roman"/>
                <w:szCs w:val="21"/>
                <w:lang w:val="en-US" w:eastAsia="zh-CN"/>
              </w:rPr>
            </w:pPr>
            <w:r>
              <w:rPr>
                <w:rFonts w:hint="eastAsia" w:ascii="宋体" w:hAnsi="宋体" w:eastAsia="宋体" w:cs="宋体"/>
                <w:lang w:val="en-US" w:eastAsia="zh-CN"/>
              </w:rPr>
              <w:t>注：提供项目合同复印件或中标（成交）通知书复印件并加盖投标人公章（鲜章）。</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683" w:type="dxa"/>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333333"/>
                <w:kern w:val="0"/>
                <w:lang w:val="en-US" w:eastAsia="zh-CN"/>
              </w:rPr>
              <w:t>4</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rPr>
            </w:pPr>
            <w:r>
              <w:rPr>
                <w:rFonts w:hint="eastAsia" w:ascii="宋体" w:hAnsi="宋体" w:cs="宋体"/>
              </w:rPr>
              <w:t>售后服务方案</w:t>
            </w:r>
          </w:p>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8%</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kern w:val="2"/>
                <w:sz w:val="21"/>
                <w:szCs w:val="22"/>
                <w:lang w:val="en-US" w:eastAsia="zh-CN" w:bidi="ar-SA"/>
              </w:rPr>
            </w:pPr>
            <w:r>
              <w:rPr>
                <w:rFonts w:hint="eastAsia" w:ascii="宋体" w:hAnsi="宋体" w:cs="宋体"/>
              </w:rPr>
              <w:t>8</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（1）根据投标人提供的售后服务方案，包含：①质量保障方案；②技术支持方案；③应急方案；④服务响应方案。方案包含以上4个方面的得4分，每缺少一项的扣1分，每有一项存在内容缺陷扣0.5分，扣完为止。</w:t>
            </w:r>
          </w:p>
          <w:p>
            <w:pPr>
              <w:widowControl/>
              <w:spacing w:line="360" w:lineRule="exact"/>
              <w:rPr>
                <w:rFonts w:hint="eastAsia" w:ascii="宋体" w:hAnsi="宋体" w:cs="宋体"/>
              </w:rPr>
            </w:pPr>
            <w:r>
              <w:rPr>
                <w:rFonts w:hint="eastAsia" w:ascii="宋体" w:hAnsi="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eastAsiaTheme="minorEastAsia"/>
                <w:kern w:val="2"/>
                <w:sz w:val="21"/>
                <w:szCs w:val="22"/>
                <w:lang w:val="en-US" w:eastAsia="zh-CN" w:bidi="ar-SA"/>
              </w:rPr>
            </w:pPr>
            <w:r>
              <w:rPr>
                <w:rFonts w:hint="eastAsia" w:ascii="宋体" w:hAnsi="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技术评审因素</w:t>
            </w:r>
          </w:p>
        </w:tc>
      </w:tr>
    </w:tbl>
    <w:p>
      <w:pPr>
        <w:spacing w:line="360" w:lineRule="exact"/>
        <w:jc w:val="center"/>
        <w:rPr>
          <w:rFonts w:hint="eastAsia" w:ascii="Times New Roman" w:hAnsi="Times New Roman" w:eastAsia="宋体" w:cs="Times New Roman"/>
          <w:b/>
          <w:bCs/>
          <w:sz w:val="28"/>
          <w:szCs w:val="28"/>
          <w:lang w:val="en-US" w:eastAsia="zh-CN"/>
        </w:rPr>
      </w:pPr>
    </w:p>
    <w:p>
      <w:pPr>
        <w:spacing w:line="360" w:lineRule="exact"/>
        <w:jc w:val="center"/>
        <w:rPr>
          <w:rFonts w:hint="eastAsia" w:ascii="Times New Roman" w:hAnsi="Times New Roman" w:eastAsia="宋体" w:cs="Times New Roman"/>
          <w:b/>
          <w:bCs/>
          <w:sz w:val="28"/>
          <w:szCs w:val="28"/>
          <w:lang w:val="en-US" w:eastAsia="zh-CN"/>
        </w:rPr>
      </w:pPr>
    </w:p>
    <w:p>
      <w:pPr>
        <w:spacing w:line="360" w:lineRule="exact"/>
        <w:jc w:val="center"/>
        <w:rPr>
          <w:rFonts w:hint="eastAsia" w:ascii="Times New Roman" w:hAnsi="Times New Roman" w:eastAsia="宋体" w:cs="Times New Roman"/>
          <w:b/>
          <w:bCs/>
          <w:sz w:val="28"/>
          <w:szCs w:val="28"/>
          <w:lang w:val="en-US" w:eastAsia="zh-CN"/>
        </w:rPr>
      </w:pPr>
    </w:p>
    <w:p>
      <w:pPr>
        <w:pStyle w:val="2"/>
        <w:rPr>
          <w:rFonts w:hint="eastAsia" w:ascii="仿宋_GB2312" w:hAnsi="Segoe UI" w:eastAsia="仿宋_GB2312" w:cs="Segoe UI"/>
          <w:color w:val="auto"/>
          <w:kern w:val="0"/>
          <w:sz w:val="24"/>
          <w:szCs w:val="24"/>
          <w:lang w:eastAsia="zh-CN"/>
        </w:rPr>
      </w:pPr>
      <w:r>
        <w:rPr>
          <w:rFonts w:hint="eastAsia" w:ascii="仿宋_GB2312" w:hAnsi="Segoe UI" w:eastAsia="仿宋_GB2312" w:cs="Segoe UI"/>
          <w:color w:val="auto"/>
          <w:kern w:val="0"/>
          <w:sz w:val="24"/>
          <w:szCs w:val="24"/>
        </w:rPr>
        <w:t>注：</w:t>
      </w:r>
      <w:r>
        <w:rPr>
          <w:rFonts w:hint="eastAsia" w:ascii="仿宋_GB2312" w:hAnsi="Segoe UI" w:eastAsia="仿宋_GB2312" w:cs="Segoe UI"/>
          <w:color w:val="auto"/>
          <w:kern w:val="0"/>
          <w:sz w:val="24"/>
          <w:szCs w:val="24"/>
          <w:lang w:val="en-US" w:eastAsia="zh-CN"/>
        </w:rPr>
        <w:t>1.</w:t>
      </w:r>
      <w:r>
        <w:rPr>
          <w:rFonts w:hint="eastAsia" w:ascii="仿宋_GB2312" w:hAnsi="Segoe UI" w:eastAsia="仿宋_GB2312" w:cs="Segoe UI"/>
          <w:color w:val="auto"/>
          <w:kern w:val="0"/>
          <w:sz w:val="24"/>
          <w:szCs w:val="24"/>
        </w:rPr>
        <w:t>报价应是最终用户验收合格后的总价，包括设备运输、保险、代理、安装调试、培训、税费、系统集成费用和采购文件规定的其它费用</w:t>
      </w:r>
      <w:r>
        <w:rPr>
          <w:rFonts w:hint="eastAsia" w:ascii="仿宋_GB2312" w:hAnsi="Segoe UI" w:eastAsia="仿宋_GB2312" w:cs="Segoe UI"/>
          <w:color w:val="auto"/>
          <w:kern w:val="0"/>
          <w:sz w:val="24"/>
          <w:szCs w:val="24"/>
          <w:lang w:eastAsia="zh-CN"/>
        </w:rPr>
        <w:t>。</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2.“序号”，按照各产品技术参数对应的序号填写。</w:t>
      </w:r>
    </w:p>
    <w:p>
      <w:pPr>
        <w:widowControl/>
        <w:shd w:val="clear" w:color="auto" w:fill="FFFFFF"/>
        <w:wordWrap w:val="0"/>
        <w:jc w:val="left"/>
        <w:rPr>
          <w:rFonts w:hint="eastAsia"/>
          <w:lang w:eastAsia="zh-CN"/>
        </w:rPr>
      </w:pPr>
      <w:r>
        <w:rPr>
          <w:rFonts w:hint="eastAsia" w:ascii="仿宋_GB2312" w:hAnsi="Segoe UI" w:eastAsia="仿宋_GB2312" w:cs="Segoe UI"/>
          <w:color w:val="auto"/>
          <w:kern w:val="0"/>
          <w:sz w:val="24"/>
          <w:szCs w:val="24"/>
        </w:rPr>
        <w:t>3.“</w:t>
      </w:r>
      <w:r>
        <w:rPr>
          <w:rFonts w:hint="eastAsia" w:ascii="仿宋_GB2312" w:hAnsi="Segoe UI" w:eastAsia="仿宋_GB2312" w:cs="Segoe UI"/>
          <w:color w:val="auto"/>
          <w:kern w:val="0"/>
          <w:sz w:val="24"/>
          <w:szCs w:val="24"/>
          <w:lang w:val="en-US" w:eastAsia="zh-CN"/>
        </w:rPr>
        <w:t>设备配套检验项目报价表</w:t>
      </w:r>
      <w:r>
        <w:rPr>
          <w:rFonts w:hint="eastAsia" w:ascii="仿宋_GB2312" w:hAnsi="Segoe UI" w:eastAsia="仿宋_GB2312" w:cs="Segoe UI"/>
          <w:color w:val="auto"/>
          <w:kern w:val="0"/>
          <w:sz w:val="24"/>
          <w:szCs w:val="24"/>
        </w:rPr>
        <w:t>”为多页的，每页均需由法定代表人或授权代表签字并盖投标人印章。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pPr>
        <w:widowControl/>
        <w:shd w:val="clear" w:color="auto" w:fill="FFFFFF"/>
        <w:wordWrap w:val="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法定代表人或授权代表（签字）：日期：</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pStyle w:val="15"/>
        <w:jc w:val="both"/>
        <w:rPr>
          <w:color w:val="auto"/>
        </w:rPr>
      </w:pPr>
    </w:p>
    <w:bookmarkEnd w:id="0"/>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采购文件书装订顺序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2、目录</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3、品目及报价表（格式见附件</w:t>
      </w:r>
      <w:r>
        <w:rPr>
          <w:rFonts w:hint="eastAsia" w:ascii="仿宋_GB2312" w:hAnsi="Segoe UI" w:eastAsia="仿宋_GB2312" w:cs="Segoe UI"/>
          <w:color w:val="auto"/>
          <w:spacing w:val="8"/>
          <w:kern w:val="0"/>
          <w:sz w:val="24"/>
          <w:szCs w:val="24"/>
          <w:lang w:val="en-US" w:eastAsia="zh-CN"/>
        </w:rPr>
        <w:t>4</w:t>
      </w:r>
      <w:r>
        <w:rPr>
          <w:rFonts w:hint="eastAsia" w:ascii="仿宋_GB2312" w:hAnsi="Segoe UI" w:eastAsia="仿宋_GB2312" w:cs="Segoe UI"/>
          <w:color w:val="auto"/>
          <w:spacing w:val="8"/>
          <w:kern w:val="0"/>
          <w:sz w:val="24"/>
          <w:szCs w:val="24"/>
        </w:rPr>
        <w:t>）</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4、规格型号、配置及偏离表（格式见附件</w:t>
      </w:r>
      <w:r>
        <w:rPr>
          <w:rFonts w:hint="eastAsia" w:ascii="仿宋_GB2312" w:hAnsi="Segoe UI" w:eastAsia="仿宋_GB2312" w:cs="Segoe UI"/>
          <w:color w:val="auto"/>
          <w:spacing w:val="8"/>
          <w:kern w:val="0"/>
          <w:sz w:val="24"/>
          <w:szCs w:val="24"/>
          <w:lang w:val="en-US" w:eastAsia="zh-CN"/>
        </w:rPr>
        <w:t>4</w:t>
      </w:r>
      <w:r>
        <w:rPr>
          <w:rFonts w:hint="eastAsia" w:ascii="仿宋_GB2312" w:hAnsi="Segoe UI" w:eastAsia="仿宋_GB2312" w:cs="Segoe UI"/>
          <w:color w:val="auto"/>
          <w:spacing w:val="8"/>
          <w:kern w:val="0"/>
          <w:sz w:val="24"/>
          <w:szCs w:val="24"/>
        </w:rPr>
        <w:t>）</w:t>
      </w:r>
    </w:p>
    <w:p>
      <w:pPr>
        <w:widowControl/>
        <w:shd w:val="clear" w:color="auto" w:fill="FFFFFF"/>
        <w:wordWrap w:val="0"/>
        <w:jc w:val="left"/>
        <w:rPr>
          <w:rFonts w:hint="default" w:eastAsia="仿宋_GB2312"/>
          <w:lang w:val="en-US" w:eastAsia="zh-CN"/>
        </w:rPr>
      </w:pPr>
      <w:r>
        <w:rPr>
          <w:rFonts w:hint="eastAsia" w:ascii="仿宋_GB2312" w:hAnsi="Segoe UI" w:eastAsia="仿宋_GB2312" w:cs="Segoe UI"/>
          <w:color w:val="auto"/>
          <w:kern w:val="0"/>
          <w:sz w:val="24"/>
          <w:szCs w:val="24"/>
          <w:lang w:val="en-US" w:eastAsia="zh-CN"/>
        </w:rPr>
        <w:t xml:space="preserve">    5、投标人的资格证明文件（复印件，详见采购公告）</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6</w:t>
      </w:r>
      <w:r>
        <w:rPr>
          <w:rFonts w:hint="eastAsia" w:ascii="仿宋_GB2312" w:hAnsi="Segoe UI" w:eastAsia="仿宋_GB2312" w:cs="Segoe UI"/>
          <w:color w:val="auto"/>
          <w:kern w:val="0"/>
          <w:sz w:val="24"/>
          <w:szCs w:val="24"/>
        </w:rPr>
        <w:t>、如有产品质量和企业管理体系认证（考核），请提供的有效证明文件的复印或扫描件，质量管理体系认证包括FDA、CE、ISO等认证（提供中文翻译复印件）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7</w:t>
      </w:r>
      <w:r>
        <w:rPr>
          <w:rFonts w:hint="eastAsia" w:ascii="仿宋_GB2312" w:hAnsi="Segoe UI" w:eastAsia="仿宋_GB2312" w:cs="Segoe UI"/>
          <w:color w:val="auto"/>
          <w:kern w:val="0"/>
          <w:sz w:val="24"/>
          <w:szCs w:val="24"/>
        </w:rPr>
        <w:t>、质量检测中心或法定机构出具的产品检测报告，性能自测报告，出厂检验报告的复印或扫描件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8</w:t>
      </w:r>
      <w:r>
        <w:rPr>
          <w:rFonts w:hint="eastAsia" w:ascii="仿宋_GB2312" w:hAnsi="Segoe UI" w:eastAsia="仿宋_GB2312" w:cs="Segoe UI"/>
          <w:color w:val="auto"/>
          <w:kern w:val="0"/>
          <w:sz w:val="24"/>
          <w:szCs w:val="24"/>
        </w:rPr>
        <w:t>、如有其他证书：产品在技术、节能、安全、环保和自主创新方面获得的认证证书或制造厂家和产品所获国家级荣誉称号等复印或扫描件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9</w:t>
      </w:r>
      <w:r>
        <w:rPr>
          <w:rFonts w:hint="eastAsia" w:ascii="仿宋_GB2312" w:hAnsi="Segoe UI" w:eastAsia="仿宋_GB2312" w:cs="Segoe UI"/>
          <w:color w:val="auto"/>
          <w:kern w:val="0"/>
          <w:sz w:val="24"/>
          <w:szCs w:val="24"/>
        </w:rPr>
        <w:t>、产品如有执行标准请提供相应资料（提供产品注册标准：YZB等资料供评审）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10</w:t>
      </w:r>
      <w:r>
        <w:rPr>
          <w:rFonts w:hint="eastAsia" w:ascii="仿宋_GB2312" w:hAnsi="Segoe UI" w:eastAsia="仿宋_GB2312" w:cs="Segoe UI"/>
          <w:color w:val="auto"/>
          <w:kern w:val="0"/>
          <w:sz w:val="24"/>
          <w:szCs w:val="24"/>
        </w:rPr>
        <w:t>、产品质量及货源保证书</w:t>
      </w:r>
    </w:p>
    <w:p>
      <w:pPr>
        <w:widowControl/>
        <w:shd w:val="clear" w:color="auto" w:fill="FFFFFF"/>
        <w:wordWrap w:val="0"/>
        <w:ind w:firstLine="512" w:firstLineChars="200"/>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lang w:val="en-US" w:eastAsia="zh-CN"/>
        </w:rPr>
        <w:t>11</w:t>
      </w:r>
      <w:r>
        <w:rPr>
          <w:rFonts w:hint="eastAsia" w:ascii="仿宋_GB2312" w:hAnsi="Segoe UI" w:eastAsia="仿宋_GB2312" w:cs="Segoe UI"/>
          <w:color w:val="auto"/>
          <w:spacing w:val="8"/>
          <w:kern w:val="0"/>
          <w:sz w:val="24"/>
          <w:szCs w:val="24"/>
        </w:rPr>
        <w:t>、售后</w:t>
      </w:r>
      <w:r>
        <w:rPr>
          <w:rFonts w:hint="eastAsia" w:ascii="仿宋_GB2312" w:hAnsi="Segoe UI" w:eastAsia="仿宋_GB2312" w:cs="Segoe UI"/>
          <w:color w:val="auto"/>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lang w:val="en-US" w:eastAsia="zh-CN"/>
        </w:rPr>
        <w:t>12</w:t>
      </w:r>
      <w:r>
        <w:rPr>
          <w:rFonts w:hint="eastAsia" w:ascii="仿宋_GB2312" w:hAnsi="Segoe UI" w:eastAsia="仿宋_GB2312" w:cs="Segoe UI"/>
          <w:color w:val="auto"/>
          <w:spacing w:val="8"/>
          <w:kern w:val="0"/>
          <w:sz w:val="24"/>
          <w:szCs w:val="24"/>
        </w:rPr>
        <w:t>、如有，提供进口原材料证明书或产品报关资料等</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lang w:val="en-US" w:eastAsia="zh-CN"/>
        </w:rPr>
        <w:t>13</w:t>
      </w:r>
      <w:r>
        <w:rPr>
          <w:rFonts w:hint="eastAsia" w:ascii="仿宋_GB2312" w:hAnsi="Segoe UI" w:eastAsia="仿宋_GB2312" w:cs="Segoe UI"/>
          <w:color w:val="auto"/>
          <w:spacing w:val="8"/>
          <w:kern w:val="0"/>
          <w:sz w:val="24"/>
          <w:szCs w:val="24"/>
        </w:rPr>
        <w:t>、产品说明书或</w:t>
      </w:r>
      <w:r>
        <w:rPr>
          <w:rFonts w:hint="eastAsia" w:ascii="仿宋_GB2312" w:hAnsi="Segoe UI" w:eastAsia="仿宋_GB2312" w:cs="Segoe UI"/>
          <w:color w:val="auto"/>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14</w:t>
      </w:r>
      <w:r>
        <w:rPr>
          <w:rFonts w:hint="eastAsia" w:ascii="仿宋_GB2312" w:hAnsi="Segoe UI" w:eastAsia="仿宋_GB2312" w:cs="Segoe UI"/>
          <w:color w:val="auto"/>
          <w:kern w:val="0"/>
          <w:sz w:val="24"/>
          <w:szCs w:val="24"/>
        </w:rPr>
        <w:t>、业绩证明文件（用户名单及联系人与联系方式，格式见附件</w:t>
      </w:r>
      <w:r>
        <w:rPr>
          <w:rFonts w:hint="eastAsia" w:ascii="仿宋_GB2312" w:hAnsi="Segoe UI" w:eastAsia="仿宋_GB2312" w:cs="Segoe UI"/>
          <w:color w:val="auto"/>
          <w:kern w:val="0"/>
          <w:sz w:val="24"/>
          <w:szCs w:val="24"/>
          <w:lang w:val="en-US" w:eastAsia="zh-CN"/>
        </w:rPr>
        <w:t>4</w:t>
      </w:r>
      <w:r>
        <w:rPr>
          <w:rFonts w:hint="eastAsia" w:ascii="仿宋_GB2312" w:hAnsi="Segoe UI" w:eastAsia="仿宋_GB2312" w:cs="Segoe UI"/>
          <w:color w:val="auto"/>
          <w:kern w:val="0"/>
          <w:sz w:val="24"/>
          <w:szCs w:val="24"/>
        </w:rPr>
        <w:t>），并提供相应证明文件，要求见评分办法“业绩”说明</w:t>
      </w:r>
    </w:p>
    <w:p>
      <w:pPr>
        <w:widowControl/>
        <w:shd w:val="clear" w:color="auto" w:fill="FFFFFF"/>
        <w:wordWrap w:val="0"/>
        <w:ind w:firstLine="48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lang w:val="en-US" w:eastAsia="zh-CN"/>
        </w:rPr>
        <w:t>15</w:t>
      </w:r>
      <w:r>
        <w:rPr>
          <w:rFonts w:hint="eastAsia" w:ascii="仿宋_GB2312" w:hAnsi="Segoe UI" w:eastAsia="仿宋_GB2312" w:cs="Segoe UI"/>
          <w:color w:val="auto"/>
          <w:kern w:val="0"/>
          <w:sz w:val="24"/>
          <w:szCs w:val="24"/>
        </w:rPr>
        <w:t>、如有，国家规定的其它相关资质证明文件或其它涉及特许经营许可的须提供相关证书。如：卫生许可证、药品经营许可证、生产批件或新药证书等</w:t>
      </w:r>
    </w:p>
    <w:p>
      <w:pPr>
        <w:pStyle w:val="2"/>
        <w:ind w:firstLine="480" w:firstLineChars="200"/>
        <w:rPr>
          <w:rFonts w:hint="default" w:eastAsiaTheme="minorEastAsia"/>
          <w:lang w:val="en-US" w:eastAsia="zh-CN"/>
        </w:rPr>
      </w:pPr>
      <w:r>
        <w:rPr>
          <w:rFonts w:hint="eastAsia" w:ascii="仿宋_GB2312" w:hAnsi="仿宋_GB2312" w:eastAsia="仿宋_GB2312" w:cs="仿宋_GB2312"/>
          <w:sz w:val="24"/>
          <w:lang w:val="en-US" w:eastAsia="zh-CN"/>
        </w:rPr>
        <w:t>16、如有其它补充文件，请自行补充</w:t>
      </w:r>
    </w:p>
    <w:p>
      <w:pPr>
        <w:widowControl/>
        <w:shd w:val="clear" w:color="auto" w:fill="FFFFFF"/>
        <w:wordWrap w:val="0"/>
        <w:ind w:firstLine="480"/>
        <w:jc w:val="left"/>
        <w:rPr>
          <w:rFonts w:hint="eastAsia" w:ascii="仿宋_GB2312" w:hAnsi="Segoe UI" w:eastAsia="仿宋_GB2312" w:cs="Segoe UI"/>
          <w:color w:val="auto"/>
          <w:spacing w:val="8"/>
          <w:kern w:val="0"/>
          <w:sz w:val="24"/>
          <w:szCs w:val="24"/>
        </w:rPr>
      </w:pPr>
      <w:r>
        <w:rPr>
          <w:rFonts w:hint="eastAsia" w:ascii="仿宋_GB2312" w:hAnsi="Segoe UI" w:eastAsia="仿宋_GB2312" w:cs="Segoe UI"/>
          <w:color w:val="auto"/>
          <w:kern w:val="0"/>
          <w:sz w:val="24"/>
          <w:szCs w:val="24"/>
          <w:lang w:val="en-US" w:eastAsia="zh-CN"/>
        </w:rPr>
        <w:t>17</w:t>
      </w:r>
      <w:r>
        <w:rPr>
          <w:rFonts w:hint="eastAsia" w:ascii="仿宋_GB2312" w:hAnsi="Segoe UI" w:eastAsia="仿宋_GB2312" w:cs="Segoe UI"/>
          <w:color w:val="auto"/>
          <w:kern w:val="0"/>
          <w:sz w:val="24"/>
          <w:szCs w:val="24"/>
        </w:rPr>
        <w:t>、</w:t>
      </w:r>
      <w:r>
        <w:rPr>
          <w:rFonts w:hint="eastAsia" w:ascii="仿宋_GB2312" w:hAnsi="Segoe UI" w:eastAsia="仿宋_GB2312" w:cs="Segoe UI"/>
          <w:color w:val="auto"/>
          <w:spacing w:val="8"/>
          <w:kern w:val="0"/>
          <w:sz w:val="24"/>
          <w:szCs w:val="24"/>
        </w:rPr>
        <w:t>封底</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注：请</w:t>
      </w:r>
      <w:r>
        <w:rPr>
          <w:rFonts w:hint="eastAsia" w:ascii="仿宋_GB2312" w:hAnsi="Segoe UI" w:eastAsia="仿宋_GB2312" w:cs="Segoe UI"/>
          <w:b/>
          <w:bCs/>
          <w:color w:val="auto"/>
          <w:kern w:val="0"/>
          <w:sz w:val="24"/>
          <w:szCs w:val="24"/>
          <w:lang w:val="en-US" w:eastAsia="zh-CN"/>
        </w:rPr>
        <w:t>参照</w:t>
      </w:r>
      <w:r>
        <w:rPr>
          <w:rFonts w:hint="eastAsia" w:ascii="仿宋_GB2312" w:hAnsi="Segoe UI" w:eastAsia="仿宋_GB2312" w:cs="Segoe UI"/>
          <w:b/>
          <w:bCs/>
          <w:color w:val="auto"/>
          <w:kern w:val="0"/>
          <w:sz w:val="24"/>
          <w:szCs w:val="24"/>
        </w:rPr>
        <w:t>以上顺序装订资料，如有非中文资料，请同时提供中文翻译件。</w:t>
      </w:r>
    </w:p>
    <w:p>
      <w:pPr>
        <w:widowControl/>
        <w:jc w:val="left"/>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br w:type="page"/>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附件4：主要表格格式</w:t>
      </w:r>
    </w:p>
    <w:p>
      <w:pPr>
        <w:widowControl/>
        <w:shd w:val="clear" w:color="auto" w:fill="FFFFFF"/>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附件4-1：</w:t>
      </w:r>
    </w:p>
    <w:p>
      <w:pPr>
        <w:widowControl/>
        <w:shd w:val="clear" w:color="auto" w:fill="FFFFFF"/>
        <w:wordWrap w:val="0"/>
        <w:spacing w:line="270" w:lineRule="atLeast"/>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偏离表</w:t>
      </w:r>
    </w:p>
    <w:tbl>
      <w:tblPr>
        <w:tblStyle w:val="12"/>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1、偏离表</w:t>
      </w:r>
      <w:r>
        <w:rPr>
          <w:rFonts w:hint="eastAsia" w:ascii="仿宋_GB2312" w:hAnsi="Segoe UI" w:eastAsia="仿宋_GB2312" w:cs="Segoe UI"/>
          <w:color w:val="auto"/>
          <w:kern w:val="0"/>
          <w:sz w:val="22"/>
          <w:lang w:val="en-US" w:eastAsia="zh-CN"/>
        </w:rPr>
        <w:t>内容包含技术要求、商务要求，</w:t>
      </w:r>
      <w:r>
        <w:rPr>
          <w:rFonts w:hint="eastAsia" w:ascii="仿宋_GB2312" w:hAnsi="Segoe UI" w:eastAsia="仿宋_GB2312" w:cs="Segoe UI"/>
          <w:color w:val="auto"/>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2．投标文件中与招标文件要求有负偏离的内容必须在此表中列出，否则视为无效投标。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auto"/>
          <w:kern w:val="0"/>
          <w:sz w:val="24"/>
          <w:szCs w:val="24"/>
        </w:rPr>
      </w:pP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附件4-2：</w:t>
      </w:r>
    </w:p>
    <w:p>
      <w:pPr>
        <w:widowControl/>
        <w:shd w:val="clear" w:color="auto" w:fill="FFFFFF"/>
        <w:wordWrap w:val="0"/>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r>
        <w:rPr>
          <w:rFonts w:hint="eastAsia" w:ascii="仿宋_GB2312" w:hAnsi="Segoe UI" w:eastAsia="仿宋_GB2312" w:cs="Segoe UI"/>
          <w:b/>
          <w:bCs/>
          <w:color w:val="auto"/>
          <w:kern w:val="0"/>
          <w:sz w:val="24"/>
          <w:szCs w:val="24"/>
        </w:rPr>
        <w:t>:</w:t>
      </w:r>
    </w:p>
    <w:p>
      <w:pPr>
        <w:widowControl/>
        <w:shd w:val="clear" w:color="auto" w:fill="FFFFFF"/>
        <w:wordWrap w:val="0"/>
        <w:spacing w:line="270" w:lineRule="atLeast"/>
        <w:jc w:val="left"/>
        <w:rPr>
          <w:rFonts w:ascii="Segoe UI" w:hAnsi="Segoe UI" w:eastAsia="宋体" w:cs="Segoe UI"/>
          <w:color w:val="auto"/>
          <w:kern w:val="0"/>
          <w:sz w:val="18"/>
          <w:szCs w:val="18"/>
        </w:rPr>
      </w:pPr>
      <w:bookmarkStart w:id="2" w:name="_Toc95295163"/>
      <w:bookmarkEnd w:id="2"/>
      <w:r>
        <w:rPr>
          <w:rFonts w:hint="eastAsia" w:ascii="仿宋_GB2312" w:hAnsi="Segoe UI" w:eastAsia="仿宋_GB2312" w:cs="Segoe UI"/>
          <w:b/>
          <w:bCs/>
          <w:color w:val="auto"/>
          <w:kern w:val="0"/>
          <w:sz w:val="24"/>
          <w:szCs w:val="24"/>
        </w:rPr>
        <w:t>附件4-3：</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品目及报价表</w:t>
      </w:r>
    </w:p>
    <w:tbl>
      <w:tblPr>
        <w:tblStyle w:val="12"/>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产品</w:t>
            </w:r>
          </w:p>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单价</w:t>
            </w:r>
          </w:p>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bl>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2.“序号”，按照各产品技术参数对应的序号填写。</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4.“品目及报价表”需单独密封。</w:t>
      </w:r>
    </w:p>
    <w:p>
      <w:pPr>
        <w:widowControl/>
        <w:shd w:val="clear" w:color="auto" w:fill="FFFFFF"/>
        <w:wordWrap w:val="0"/>
        <w:jc w:val="left"/>
        <w:rPr>
          <w:rFonts w:hint="eastAsia" w:ascii="仿宋_GB2312" w:hAnsi="Segoe UI" w:eastAsia="仿宋_GB2312" w:cs="Segoe UI"/>
          <w:color w:val="auto"/>
          <w:kern w:val="0"/>
          <w:sz w:val="24"/>
          <w:szCs w:val="24"/>
          <w:lang w:eastAsia="zh-CN"/>
        </w:rPr>
      </w:pPr>
      <w:r>
        <w:rPr>
          <w:rFonts w:hint="eastAsia" w:ascii="仿宋_GB2312" w:hAnsi="Segoe UI" w:eastAsia="仿宋_GB2312" w:cs="Segoe UI"/>
          <w:color w:val="auto"/>
          <w:kern w:val="0"/>
          <w:sz w:val="24"/>
          <w:szCs w:val="24"/>
        </w:rPr>
        <w:t>5</w:t>
      </w:r>
      <w:r>
        <w:rPr>
          <w:rFonts w:hint="eastAsia" w:ascii="仿宋_GB2312" w:hAnsi="Segoe UI" w:eastAsia="仿宋_GB2312" w:cs="Segoe UI"/>
          <w:color w:val="auto"/>
          <w:kern w:val="0"/>
          <w:sz w:val="24"/>
          <w:szCs w:val="24"/>
          <w:lang w:eastAsia="zh-CN"/>
        </w:rPr>
        <w:t>.</w:t>
      </w:r>
      <w:r>
        <w:rPr>
          <w:rFonts w:hint="eastAsia" w:ascii="仿宋_GB2312" w:hAnsi="Segoe UI" w:eastAsia="仿宋_GB2312" w:cs="Segoe UI"/>
          <w:color w:val="auto"/>
          <w:kern w:val="0"/>
          <w:sz w:val="24"/>
          <w:szCs w:val="24"/>
        </w:rPr>
        <w:t>如有配套耗材，请参照此表报价</w:t>
      </w:r>
      <w:r>
        <w:rPr>
          <w:rFonts w:hint="eastAsia" w:ascii="仿宋_GB2312" w:hAnsi="Segoe UI" w:eastAsia="仿宋_GB2312" w:cs="Segoe UI"/>
          <w:color w:val="auto"/>
          <w:kern w:val="0"/>
          <w:sz w:val="24"/>
          <w:szCs w:val="24"/>
          <w:lang w:eastAsia="zh-CN"/>
        </w:rPr>
        <w:t>。</w:t>
      </w:r>
      <w:r>
        <w:rPr>
          <w:rFonts w:hint="eastAsia" w:ascii="仿宋_GB2312" w:hAnsi="Segoe UI" w:eastAsia="仿宋_GB2312" w:cs="Segoe UI"/>
          <w:color w:val="auto"/>
          <w:kern w:val="0"/>
          <w:sz w:val="24"/>
          <w:szCs w:val="24"/>
          <w:lang w:val="en-US" w:eastAsia="zh-CN"/>
        </w:rPr>
        <w:t>请以</w:t>
      </w:r>
      <w:r>
        <w:rPr>
          <w:rFonts w:hint="eastAsia" w:ascii="仿宋_GB2312" w:hAnsi="Segoe UI" w:eastAsia="仿宋_GB2312" w:cs="Segoe UI"/>
          <w:color w:val="auto"/>
          <w:kern w:val="0"/>
          <w:sz w:val="24"/>
          <w:szCs w:val="24"/>
          <w:lang w:eastAsia="zh-CN"/>
        </w:rPr>
        <w:t>最小完整包装单位进行报价（如：盒/瓶/套），不得拆分包装内的子项目单独报价。若试剂原厂包装包含多个检测项目（例如：1盒试剂含多个项目），需按完整包装总价报价，并注明包装内所含项目明细及数量。拆分报价视为无效投标。</w:t>
      </w:r>
    </w:p>
    <w:p>
      <w:pPr>
        <w:widowControl/>
        <w:shd w:val="clear" w:color="auto" w:fill="FFFFFF"/>
        <w:wordWrap w:val="0"/>
        <w:jc w:val="left"/>
        <w:rPr>
          <w:rFonts w:hint="eastAsia" w:ascii="仿宋_GB2312" w:hAnsi="Segoe UI" w:eastAsia="仿宋_GB2312" w:cs="Segoe UI"/>
          <w:b/>
          <w:color w:val="auto"/>
          <w:kern w:val="0"/>
          <w:sz w:val="24"/>
          <w:szCs w:val="24"/>
        </w:rPr>
      </w:pPr>
      <w:r>
        <w:rPr>
          <w:rFonts w:hint="eastAsia" w:ascii="仿宋_GB2312" w:hAnsi="Segoe UI" w:eastAsia="仿宋_GB2312" w:cs="Segoe UI"/>
          <w:b/>
          <w:color w:val="auto"/>
          <w:kern w:val="0"/>
          <w:sz w:val="24"/>
          <w:szCs w:val="24"/>
        </w:rPr>
        <w:t>6</w:t>
      </w:r>
      <w:r>
        <w:rPr>
          <w:rFonts w:hint="eastAsia" w:ascii="仿宋_GB2312" w:hAnsi="Segoe UI" w:eastAsia="仿宋_GB2312" w:cs="Segoe UI"/>
          <w:b/>
          <w:color w:val="auto"/>
          <w:kern w:val="0"/>
          <w:sz w:val="24"/>
          <w:szCs w:val="24"/>
          <w:lang w:eastAsia="zh-CN"/>
        </w:rPr>
        <w:t>.</w:t>
      </w:r>
      <w:r>
        <w:rPr>
          <w:rFonts w:hint="eastAsia" w:ascii="仿宋_GB2312" w:hAnsi="Segoe UI" w:eastAsia="仿宋_GB2312" w:cs="Segoe UI"/>
          <w:b/>
          <w:color w:val="auto"/>
          <w:kern w:val="0"/>
          <w:sz w:val="24"/>
          <w:szCs w:val="24"/>
        </w:rPr>
        <w:t>如有多种规格，请按每种规格分别报价，产品的最终计算单价以不同规格报价的均价为准。</w:t>
      </w:r>
    </w:p>
    <w:p>
      <w:pPr>
        <w:pStyle w:val="2"/>
        <w:rPr>
          <w:rFonts w:hint="default" w:eastAsia="仿宋_GB2312"/>
          <w:b w:val="0"/>
          <w:bCs/>
          <w:lang w:val="en-US" w:eastAsia="zh-CN"/>
        </w:rPr>
      </w:pPr>
      <w:r>
        <w:rPr>
          <w:rFonts w:hint="eastAsia" w:ascii="仿宋_GB2312" w:hAnsi="Segoe UI" w:eastAsia="仿宋_GB2312" w:cs="Segoe UI"/>
          <w:b w:val="0"/>
          <w:bCs/>
          <w:color w:val="auto"/>
          <w:kern w:val="0"/>
          <w:sz w:val="24"/>
          <w:szCs w:val="24"/>
          <w:lang w:val="en-US" w:eastAsia="zh-CN"/>
        </w:rPr>
        <w:t>7.试剂不进行二轮报价。</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pPr>
        <w:widowControl/>
        <w:shd w:val="clear" w:color="auto" w:fill="FFFFFF"/>
        <w:wordWrap w:val="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法定代表人或授权代表（签字）：日期：</w:t>
      </w:r>
    </w:p>
    <w:p>
      <w:pPr>
        <w:pStyle w:val="2"/>
        <w:rPr>
          <w:rFonts w:hint="eastAsia" w:ascii="仿宋_GB2312" w:hAnsi="Segoe UI" w:eastAsia="仿宋_GB2312" w:cs="Segoe UI"/>
          <w:color w:val="auto"/>
          <w:kern w:val="0"/>
          <w:sz w:val="24"/>
          <w:szCs w:val="24"/>
        </w:rPr>
      </w:pPr>
    </w:p>
    <w:p>
      <w:pPr>
        <w:jc w:val="left"/>
        <w:rPr>
          <w:rFonts w:asciiTheme="minorHAnsi" w:hAnsiTheme="minorHAnsi" w:eastAsiaTheme="minorEastAsia" w:cstheme="minorBidi"/>
          <w:kern w:val="2"/>
          <w:sz w:val="21"/>
          <w:szCs w:val="22"/>
          <w:lang w:val="en-US" w:eastAsia="zh-CN" w:bidi="ar-SA"/>
        </w:rPr>
      </w:pPr>
    </w:p>
    <w:p>
      <w:pPr>
        <w:widowControl/>
        <w:shd w:val="clear" w:color="auto" w:fill="FFFFFF"/>
        <w:wordWrap w:val="0"/>
        <w:ind w:left="720" w:hanging="72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附件4-4：</w:t>
      </w:r>
      <w:r>
        <w:rPr>
          <w:rFonts w:hint="eastAsia" w:ascii="黑体" w:hAnsi="黑体" w:eastAsia="黑体" w:cs="Segoe UI"/>
          <w:b/>
          <w:bCs/>
          <w:color w:val="auto"/>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（法定代表人姓名、职务）授权（被授权人姓名、职务）为我方</w:t>
      </w:r>
      <w:r>
        <w:rPr>
          <w:rFonts w:hint="eastAsia" w:ascii="仿宋_GB2312" w:hAnsi="Segoe UI" w:eastAsia="仿宋_GB2312" w:cs="Segoe UI"/>
          <w:color w:val="auto"/>
          <w:kern w:val="0"/>
          <w:sz w:val="24"/>
          <w:szCs w:val="24"/>
          <w:u w:val="single"/>
        </w:rPr>
        <w:t>“”</w:t>
      </w:r>
      <w:r>
        <w:rPr>
          <w:rFonts w:hint="eastAsia" w:ascii="仿宋_GB2312" w:hAnsi="Segoe UI" w:eastAsia="仿宋_GB2312" w:cs="Segoe UI"/>
          <w:color w:val="auto"/>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r>
        <w:rPr>
          <w:rFonts w:hint="eastAsia" w:ascii="仿宋_GB2312" w:hAnsi="Segoe UI" w:eastAsia="仿宋_GB2312" w:cs="Segoe UI"/>
          <w:color w:val="auto"/>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auto"/>
          <w:kern w:val="0"/>
          <w:sz w:val="24"/>
          <w:szCs w:val="24"/>
        </w:rPr>
      </w:pPr>
      <w:r>
        <w:rPr>
          <w:rFonts w:hint="eastAsia" w:ascii="微软雅黑" w:hAnsi="微软雅黑" w:eastAsia="微软雅黑" w:cs="Segoe UI"/>
          <w:color w:val="auto"/>
          <w:kern w:val="0"/>
          <w:sz w:val="24"/>
          <w:szCs w:val="24"/>
        </w:rPr>
        <w:t>附件6：</w:t>
      </w:r>
    </w:p>
    <w:p>
      <w:pPr>
        <w:pStyle w:val="2"/>
        <w:ind w:firstLine="2108" w:firstLineChars="750"/>
        <w:rPr>
          <w:rFonts w:ascii="仿宋_GB2312" w:hAnsi="Segoe UI" w:eastAsia="仿宋_GB2312" w:cs="Segoe UI"/>
          <w:b/>
          <w:bCs/>
          <w:color w:val="auto"/>
          <w:kern w:val="0"/>
          <w:sz w:val="28"/>
          <w:szCs w:val="28"/>
        </w:rPr>
      </w:pPr>
      <w:r>
        <w:rPr>
          <w:rFonts w:hint="eastAsia" w:ascii="仿宋_GB2312" w:hAnsi="Segoe UI" w:eastAsia="仿宋_GB2312" w:cs="Segoe UI"/>
          <w:b/>
          <w:bCs/>
          <w:color w:val="auto"/>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auto"/>
          <w:kern w:val="0"/>
          <w:sz w:val="44"/>
          <w:szCs w:val="44"/>
        </w:rPr>
      </w:pPr>
      <w:r>
        <w:rPr>
          <w:rFonts w:hint="eastAsia" w:ascii="微软雅黑" w:hAnsi="微软雅黑" w:eastAsia="微软雅黑" w:cs="Segoe UI"/>
          <w:bCs/>
          <w:color w:val="auto"/>
          <w:kern w:val="0"/>
          <w:sz w:val="28"/>
          <w:szCs w:val="28"/>
        </w:rPr>
        <w:t>附件7：</w:t>
      </w:r>
    </w:p>
    <w:p>
      <w:pPr>
        <w:widowControl/>
        <w:jc w:val="center"/>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t>供应商遵守招标采购纪律承诺书</w:t>
      </w:r>
    </w:p>
    <w:p>
      <w:pPr>
        <w:jc w:val="center"/>
        <w:rPr>
          <w:rFonts w:ascii="Times New Roman" w:hAnsi="Times New Roman" w:cs="Times New Roman"/>
          <w:color w:val="auto"/>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十、与我方存在直接控股关系的单位为：</w:t>
      </w:r>
      <w:r>
        <w:rPr>
          <w:rFonts w:hint="eastAsia" w:ascii="仿宋_GB2312" w:hAnsi="Segoe UI" w:eastAsia="仿宋_GB2312" w:cs="Segoe UI"/>
          <w:color w:val="auto"/>
          <w:kern w:val="0"/>
          <w:sz w:val="24"/>
          <w:szCs w:val="24"/>
        </w:rPr>
        <w:t>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存在管理关系单位为：</w:t>
      </w:r>
      <w:r>
        <w:rPr>
          <w:rFonts w:hint="eastAsia" w:ascii="仿宋_GB2312" w:hAnsi="Segoe UI" w:eastAsia="仿宋_GB2312" w:cs="Segoe UI"/>
          <w:color w:val="auto"/>
          <w:kern w:val="0"/>
          <w:sz w:val="24"/>
          <w:szCs w:val="24"/>
        </w:rPr>
        <w:t>____________________________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1.“负责人”是指单位法定代表人或者法律、行政法规规定代表单位行使职权的主要负责人。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4A7754"/>
    <w:multiLevelType w:val="singleLevel"/>
    <w:tmpl w:val="D54A7754"/>
    <w:lvl w:ilvl="0" w:tentative="0">
      <w:start w:val="4"/>
      <w:numFmt w:val="chineseCounting"/>
      <w:suff w:val="nothing"/>
      <w:lvlText w:val="%1、"/>
      <w:lvlJc w:val="left"/>
      <w:rPr>
        <w:rFonts w:hint="eastAsia"/>
      </w:rPr>
    </w:lvl>
  </w:abstractNum>
  <w:abstractNum w:abstractNumId="1">
    <w:nsid w:val="7285E0BA"/>
    <w:multiLevelType w:val="singleLevel"/>
    <w:tmpl w:val="7285E0BA"/>
    <w:lvl w:ilvl="0" w:tentative="0">
      <w:start w:val="7"/>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1E06A99"/>
    <w:rsid w:val="01FA13EF"/>
    <w:rsid w:val="02B27DEE"/>
    <w:rsid w:val="03CC59BF"/>
    <w:rsid w:val="03E545BA"/>
    <w:rsid w:val="047F41C1"/>
    <w:rsid w:val="06181458"/>
    <w:rsid w:val="06186C78"/>
    <w:rsid w:val="06403EE4"/>
    <w:rsid w:val="0809162A"/>
    <w:rsid w:val="083A1CBA"/>
    <w:rsid w:val="08552EB3"/>
    <w:rsid w:val="08E067A9"/>
    <w:rsid w:val="09883DB3"/>
    <w:rsid w:val="0B7702C0"/>
    <w:rsid w:val="0B890D43"/>
    <w:rsid w:val="0BD63719"/>
    <w:rsid w:val="0C0A0390"/>
    <w:rsid w:val="0C69586C"/>
    <w:rsid w:val="0CA92162"/>
    <w:rsid w:val="0E9B5314"/>
    <w:rsid w:val="0EB033E5"/>
    <w:rsid w:val="10AE580A"/>
    <w:rsid w:val="11AF4731"/>
    <w:rsid w:val="11CD7309"/>
    <w:rsid w:val="12906D89"/>
    <w:rsid w:val="12E17349"/>
    <w:rsid w:val="134A0345"/>
    <w:rsid w:val="15B626DC"/>
    <w:rsid w:val="15D20258"/>
    <w:rsid w:val="15EF4184"/>
    <w:rsid w:val="17E0197B"/>
    <w:rsid w:val="18472232"/>
    <w:rsid w:val="18B93B85"/>
    <w:rsid w:val="19206A0E"/>
    <w:rsid w:val="192A70CD"/>
    <w:rsid w:val="19761A7B"/>
    <w:rsid w:val="19E954D2"/>
    <w:rsid w:val="1A707F41"/>
    <w:rsid w:val="1C624763"/>
    <w:rsid w:val="1CA24BC8"/>
    <w:rsid w:val="1DE05766"/>
    <w:rsid w:val="1E997E27"/>
    <w:rsid w:val="1F19224C"/>
    <w:rsid w:val="1F5A67EC"/>
    <w:rsid w:val="1FD176EC"/>
    <w:rsid w:val="20215CDC"/>
    <w:rsid w:val="211E0E79"/>
    <w:rsid w:val="212F2EA4"/>
    <w:rsid w:val="22827069"/>
    <w:rsid w:val="229A64BD"/>
    <w:rsid w:val="22F464E8"/>
    <w:rsid w:val="24264E0A"/>
    <w:rsid w:val="24A33CB9"/>
    <w:rsid w:val="25933A00"/>
    <w:rsid w:val="263133EF"/>
    <w:rsid w:val="275B43E3"/>
    <w:rsid w:val="285D2747"/>
    <w:rsid w:val="28AC38B3"/>
    <w:rsid w:val="28E254DE"/>
    <w:rsid w:val="293176DC"/>
    <w:rsid w:val="2AAE49EC"/>
    <w:rsid w:val="2B742A3A"/>
    <w:rsid w:val="2ECF39F6"/>
    <w:rsid w:val="2EE87601"/>
    <w:rsid w:val="2F9049E6"/>
    <w:rsid w:val="31336B9D"/>
    <w:rsid w:val="31FB7325"/>
    <w:rsid w:val="33B0104D"/>
    <w:rsid w:val="3459137F"/>
    <w:rsid w:val="351D2E6B"/>
    <w:rsid w:val="35E40AE0"/>
    <w:rsid w:val="368F2498"/>
    <w:rsid w:val="375C3E0F"/>
    <w:rsid w:val="38D806EF"/>
    <w:rsid w:val="38ED2171"/>
    <w:rsid w:val="395149AF"/>
    <w:rsid w:val="3955089B"/>
    <w:rsid w:val="3955563A"/>
    <w:rsid w:val="398C201F"/>
    <w:rsid w:val="39CE1F6A"/>
    <w:rsid w:val="3A493FE5"/>
    <w:rsid w:val="3C864743"/>
    <w:rsid w:val="3DA970F6"/>
    <w:rsid w:val="3DB632A9"/>
    <w:rsid w:val="3DE1558E"/>
    <w:rsid w:val="3DE462AE"/>
    <w:rsid w:val="3E38673D"/>
    <w:rsid w:val="41016309"/>
    <w:rsid w:val="41201061"/>
    <w:rsid w:val="41337157"/>
    <w:rsid w:val="414F57E3"/>
    <w:rsid w:val="45FE0BC5"/>
    <w:rsid w:val="462A26FB"/>
    <w:rsid w:val="473577A3"/>
    <w:rsid w:val="47717868"/>
    <w:rsid w:val="47A53522"/>
    <w:rsid w:val="49141AF9"/>
    <w:rsid w:val="498B6D72"/>
    <w:rsid w:val="499556B2"/>
    <w:rsid w:val="49A664ED"/>
    <w:rsid w:val="4A9A19FE"/>
    <w:rsid w:val="4B2D6AF7"/>
    <w:rsid w:val="4B671727"/>
    <w:rsid w:val="4C76008D"/>
    <w:rsid w:val="4F954CC0"/>
    <w:rsid w:val="4FEA1E5B"/>
    <w:rsid w:val="51A72EFC"/>
    <w:rsid w:val="51BA020E"/>
    <w:rsid w:val="57075B3E"/>
    <w:rsid w:val="59213BB4"/>
    <w:rsid w:val="59DD504C"/>
    <w:rsid w:val="5B1829CF"/>
    <w:rsid w:val="5CC1509B"/>
    <w:rsid w:val="5DD15028"/>
    <w:rsid w:val="5F381B5D"/>
    <w:rsid w:val="5FD013FE"/>
    <w:rsid w:val="60021495"/>
    <w:rsid w:val="622F0396"/>
    <w:rsid w:val="63902AC3"/>
    <w:rsid w:val="63D266D5"/>
    <w:rsid w:val="66341D0E"/>
    <w:rsid w:val="667A5332"/>
    <w:rsid w:val="689A5A5A"/>
    <w:rsid w:val="6BC72F30"/>
    <w:rsid w:val="6C314319"/>
    <w:rsid w:val="6CA02C6A"/>
    <w:rsid w:val="6D8C2362"/>
    <w:rsid w:val="6F0B72BF"/>
    <w:rsid w:val="70093271"/>
    <w:rsid w:val="700B2FC9"/>
    <w:rsid w:val="70ED05F8"/>
    <w:rsid w:val="71573D01"/>
    <w:rsid w:val="72571257"/>
    <w:rsid w:val="72926C09"/>
    <w:rsid w:val="734A410E"/>
    <w:rsid w:val="7481459E"/>
    <w:rsid w:val="76451E51"/>
    <w:rsid w:val="76935636"/>
    <w:rsid w:val="77CF51AC"/>
    <w:rsid w:val="7A0C7325"/>
    <w:rsid w:val="7A370C4A"/>
    <w:rsid w:val="7BE04533"/>
    <w:rsid w:val="7DAB1B13"/>
    <w:rsid w:val="7EE56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9"/>
    <w:unhideWhenUsed/>
    <w:qFormat/>
    <w:uiPriority w:val="99"/>
    <w:pPr>
      <w:spacing w:after="120"/>
    </w:pPr>
    <w:rPr>
      <w:szCs w:val="24"/>
    </w:rPr>
  </w:style>
  <w:style w:type="paragraph" w:styleId="3">
    <w:name w:val="toc 7"/>
    <w:basedOn w:val="1"/>
    <w:next w:val="1"/>
    <w:qFormat/>
    <w:uiPriority w:val="0"/>
    <w:pPr>
      <w:ind w:left="1200"/>
    </w:pPr>
    <w:rPr>
      <w:rFonts w:ascii="Calibri"/>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Plain Text"/>
    <w:basedOn w:val="1"/>
    <w:qFormat/>
    <w:uiPriority w:val="0"/>
    <w:rPr>
      <w:rFonts w:ascii="宋体" w:hAnsi="Courier New" w:eastAsia="宋体" w:cs="Courier New"/>
      <w:szCs w:val="21"/>
    </w:rPr>
  </w:style>
  <w:style w:type="paragraph" w:styleId="7">
    <w:name w:val="Body Text Indent 2"/>
    <w:basedOn w:val="1"/>
    <w:qFormat/>
    <w:uiPriority w:val="0"/>
    <w:pPr>
      <w:spacing w:after="120" w:afterLines="0" w:line="480" w:lineRule="auto"/>
      <w:ind w:left="420" w:leftChars="200"/>
    </w:p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qFormat/>
    <w:uiPriority w:val="98"/>
    <w:pPr>
      <w:spacing w:before="240" w:after="60"/>
      <w:jc w:val="center"/>
      <w:outlineLvl w:val="0"/>
    </w:pPr>
    <w:rPr>
      <w:rFonts w:ascii="等线 Light" w:hAnsi="等线 Light"/>
      <w:b/>
      <w:bCs/>
      <w:sz w:val="32"/>
      <w:szCs w:val="32"/>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5">
    <w:name w:val="Default"/>
    <w:basedOn w:val="11"/>
    <w:next w:val="4"/>
    <w:qFormat/>
    <w:uiPriority w:val="99"/>
    <w:pPr>
      <w:autoSpaceDE w:val="0"/>
      <w:autoSpaceDN w:val="0"/>
      <w:adjustRightInd w:val="0"/>
    </w:pPr>
    <w:rPr>
      <w:rFonts w:ascii="宋体" w:hAnsi="Times New Roman" w:cs="宋体"/>
      <w:color w:val="000000"/>
      <w:sz w:val="24"/>
      <w:szCs w:val="24"/>
    </w:rPr>
  </w:style>
  <w:style w:type="character" w:customStyle="1" w:styleId="16">
    <w:name w:val="页眉 字符"/>
    <w:basedOn w:val="14"/>
    <w:link w:val="9"/>
    <w:qFormat/>
    <w:uiPriority w:val="99"/>
    <w:rPr>
      <w:sz w:val="18"/>
      <w:szCs w:val="18"/>
    </w:rPr>
  </w:style>
  <w:style w:type="character" w:customStyle="1" w:styleId="17">
    <w:name w:val="页脚 字符"/>
    <w:basedOn w:val="14"/>
    <w:link w:val="8"/>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 字符"/>
    <w:basedOn w:val="14"/>
    <w:link w:val="2"/>
    <w:qFormat/>
    <w:uiPriority w:val="99"/>
    <w:rPr>
      <w:szCs w:val="24"/>
    </w:rPr>
  </w:style>
  <w:style w:type="paragraph" w:customStyle="1" w:styleId="20">
    <w:name w:val="样式 首行缩进:  2 字符"/>
    <w:basedOn w:val="1"/>
    <w:qFormat/>
    <w:uiPriority w:val="0"/>
    <w:pPr>
      <w:spacing w:line="400" w:lineRule="exact"/>
      <w:ind w:firstLine="200" w:firstLineChars="200"/>
    </w:pPr>
    <w:rPr>
      <w:rFonts w:cs="宋体"/>
      <w:sz w:val="24"/>
    </w:rPr>
  </w:style>
  <w:style w:type="paragraph" w:customStyle="1" w:styleId="21">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3571</Words>
  <Characters>3808</Characters>
  <Lines>58</Lines>
  <Paragraphs>16</Paragraphs>
  <TotalTime>1</TotalTime>
  <ScaleCrop>false</ScaleCrop>
  <LinksUpToDate>false</LinksUpToDate>
  <CharactersWithSpaces>3869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lxy</cp:lastModifiedBy>
  <cp:lastPrinted>2025-04-29T03:53:00Z</cp:lastPrinted>
  <dcterms:modified xsi:type="dcterms:W3CDTF">2025-08-01T09:18:47Z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06887F346064436283D2F9769A26DFB5_13</vt:lpwstr>
  </property>
  <property fmtid="{D5CDD505-2E9C-101B-9397-08002B2CF9AE}" pid="4" name="KSOTemplateDocerSaveRecord">
    <vt:lpwstr>eyJoZGlkIjoiNzZiMTRhYzQ5NzUzZjJmNGVkNzRmYmRlNjYxMjM0NzgiLCJ1c2VySWQiOiI3NjYyOTE4MjQifQ==</vt:lpwstr>
  </property>
</Properties>
</file>