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附件1</w:t>
      </w:r>
      <w:bookmarkStart w:id="0" w:name="_GoBack"/>
      <w:r>
        <w:rPr>
          <w:rFonts w:hint="eastAsia" w:ascii="宋体" w:hAnsi="宋体" w:eastAsia="宋体" w:cs="宋体"/>
          <w:b/>
          <w:sz w:val="32"/>
          <w:szCs w:val="32"/>
          <w:lang w:val="en-US" w:eastAsia="zh-CN"/>
        </w:rPr>
        <w:t>：</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四川省妇幼保健院天府院区</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一期和二期监控室合并改造项目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一、项目概述</w:t>
      </w:r>
      <w:r>
        <w:rPr>
          <w:rFonts w:hint="eastAsia" w:ascii="仿宋_GB2312" w:hAnsi="仿宋_GB2312" w:eastAsia="仿宋_GB2312" w:cs="仿宋_GB2312"/>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ind w:firstLine="640" w:firstLineChars="200"/>
        <w:rPr>
          <w:rFonts w:hint="eastAsia"/>
          <w:lang w:val="en-US" w:eastAsia="zh-CN"/>
        </w:rPr>
      </w:pPr>
      <w:r>
        <w:rPr>
          <w:rFonts w:hint="eastAsia" w:ascii="仿宋_GB2312" w:hAnsi="仿宋_GB2312" w:eastAsia="仿宋_GB2312" w:cs="仿宋_GB2312"/>
          <w:sz w:val="32"/>
          <w:szCs w:val="32"/>
          <w:lang w:val="en-US" w:eastAsia="zh-CN"/>
        </w:rPr>
        <w:t>为实现“天府院区一期、二期监控室物理合并、系统融合、统一管理”的目的，拟将一期消防控制室设施设备整体搬迁至二期预留监控室的综合监控指挥中心。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项目需求</w:t>
      </w:r>
    </w:p>
    <w:p>
      <w:pPr>
        <w:pStyle w:val="4"/>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府院区一期、二期监控室合并改造项目设计阶段需提供建筑设计、消防专项、智能化、安防等专业出图。施工完成后须取得消防验收合格意见书及安防系统检测报告，出具相关消防设计图及安防系统拓扑图。在必须满足国家工程建设强制性规范、行业标准和公安部门的管理要求同时项目需达到国家三级医院“平安医院”评审标准，并实现院区消防、安防设备功能正常使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）在有效期内的建筑工程施工总承包三级及以上资质或消防设施工程专业承包</w:t>
      </w:r>
      <w:r>
        <w:rPr>
          <w:rFonts w:hint="eastAsia" w:ascii="仿宋_GB2312" w:hAnsi="仿宋_GB2312" w:eastAsia="仿宋_GB2312" w:cs="仿宋_GB2312"/>
          <w:sz w:val="32"/>
          <w:szCs w:val="32"/>
          <w:lang w:val="en-US" w:eastAsia="zh-CN"/>
        </w:rPr>
        <w:t>及电子与智能化工程专业承包</w:t>
      </w:r>
      <w:r>
        <w:rPr>
          <w:rFonts w:hint="eastAsia" w:ascii="仿宋_GB2312" w:hAnsi="仿宋_GB2312" w:eastAsia="仿宋_GB2312" w:cs="仿宋_GB2312"/>
          <w:sz w:val="32"/>
          <w:szCs w:val="32"/>
        </w:rPr>
        <w:t>二级及以上资质（资质证书换证符合《住房和城乡建设部关于印发建设工程企业资质管理制度改革方案的通知》（建市〔2020〕94号）相关规定的按其执行）；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）在有效期内的施工企业安全生产许可证；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）企业主要负责人具备建设行政主管部门颁发的有效的安全生产考核合格证书（A证）；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）项目负责人具备建设行政主管部门颁发的有效的二级及以上注册建造师（机电工程专业）、安全生产考核合格证书（B证）；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）专职安全生产管理人具备建设行政主管部门颁发的有效的安全生产考核合格证书（C证）；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施工作</w:t>
      </w:r>
      <w:r>
        <w:rPr>
          <w:rFonts w:hint="eastAsia" w:ascii="仿宋_GB2312" w:hAnsi="仿宋_GB2312" w:eastAsia="仿宋_GB2312" w:cs="仿宋_GB2312"/>
          <w:sz w:val="32"/>
          <w:szCs w:val="32"/>
        </w:rPr>
        <w:t>业团队中至少具备以下证书：应急管理部门核发的《特种作业操作证（低压电工作业）》或《高处安装、维护、拆除作业证》；《消防设施操作员证》（或《建（构）筑物消防员证》过渡期内有效证书）。</w:t>
      </w:r>
    </w:p>
    <w:p>
      <w:pPr>
        <w:pStyle w:val="4"/>
        <w:keepNext w:val="0"/>
        <w:keepLines w:val="0"/>
        <w:pageBreakBefore w:val="0"/>
        <w:widowControl w:val="0"/>
        <w:numPr>
          <w:ilvl w:val="0"/>
          <w:numId w:val="0"/>
        </w:numPr>
        <w:kinsoku/>
        <w:wordWrap/>
        <w:overflowPunct/>
        <w:topLinePunct w:val="0"/>
        <w:autoSpaceDE/>
        <w:autoSpaceDN/>
        <w:bidi w:val="0"/>
        <w:adjustRightInd/>
        <w:snapToGrid/>
        <w:ind w:left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（七）该项目质保期不少于两年。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清单如下表：</w:t>
      </w:r>
    </w:p>
    <w:tbl>
      <w:tblPr>
        <w:tblStyle w:val="6"/>
        <w:tblW w:w="6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75"/>
        <w:gridCol w:w="3043"/>
        <w:gridCol w:w="1362"/>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3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项目名称</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计量单位</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火灾报警系统控制主机）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消防联动控制主机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消防图形显示装置（CRT）</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消防广播主机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消防讲电话主机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消防备用电源盘</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电气火灾监控主机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消防设备电源监控主机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防火门监控主机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液氧站监控主机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应急照明控制主机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有毒有害气体报警控制器</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液位显示装置</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消防水炮联动控制主机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模块箱 500*600（原监控室1个）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端子箱 500*600（新监控室4个、原监控室4个）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液晶拼接屏</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电视墙</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操作台</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液晶显示器</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台式电脑</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入侵报警控制器</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交换机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电梯五方对讲主机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视频解码器</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视频车位引导服务器</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UPS不间断电源主机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蓄电柜</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蓄电池</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网络机柜</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光缆终端盒  12口（新监控室2个、原监控室2个）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光纤连接</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芯</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单模光纤收发器  3KM（新监控室3个、原监控室3个）</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自动报警系统调试</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安全防范系统工程试运行</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防火电缆桥架 200*100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防火电缆桥架 100*50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单模光纤 12芯</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控制电缆 WDZB1N-KYJY-24*2.5mm²</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控制电缆 WDZB1N-KYJY-7*2.5mm²</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控制电缆 WDZB1N-KYJY-5*2.5mm²</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配线 WDZB1N-RVSP-2*2.5mm²</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配线 WDZB1N-RVSP-2.5mm²</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控制电缆头 ≤6芯</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控制电缆头 ≤14芯</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eastAsia" w:ascii="宋体" w:hAnsi="宋体" w:eastAsia="宋体" w:cs="宋体"/>
                <w:i w:val="0"/>
                <w:color w:val="000000"/>
                <w:sz w:val="20"/>
                <w:szCs w:val="20"/>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控制电缆头 ≤24芯</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ind w:left="425" w:leftChars="0" w:hanging="425" w:firstLineChars="0"/>
              <w:jc w:val="center"/>
              <w:rPr>
                <w:rFonts w:hint="default" w:ascii="宋体" w:hAnsi="宋体" w:eastAsia="宋体" w:cs="宋体"/>
                <w:i w:val="0"/>
                <w:color w:val="000000"/>
                <w:kern w:val="0"/>
                <w:sz w:val="20"/>
                <w:szCs w:val="20"/>
                <w:u w:val="none"/>
                <w:lang w:val="en-US" w:eastAsia="zh-CN" w:bidi="ar"/>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监控IP通道</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b/>
          <w:bCs/>
          <w:spacing w:val="-6"/>
          <w:sz w:val="24"/>
          <w:szCs w:val="24"/>
          <w:lang w:val="en-US" w:eastAsia="zh-CN"/>
        </w:rPr>
      </w:pPr>
      <w:r>
        <w:rPr>
          <w:rFonts w:hint="eastAsia" w:ascii="仿宋_GB2312" w:hAnsi="仿宋_GB2312" w:eastAsia="仿宋_GB2312" w:cs="仿宋_GB2312"/>
          <w:b/>
          <w:bCs/>
          <w:sz w:val="32"/>
          <w:szCs w:val="32"/>
          <w:lang w:val="en-US" w:eastAsia="zh-CN"/>
        </w:rPr>
        <w:t>注：</w:t>
      </w:r>
      <w:r>
        <w:rPr>
          <w:rFonts w:hint="eastAsia" w:ascii="仿宋_GB2312" w:hAnsi="仿宋_GB2312" w:eastAsia="仿宋_GB2312" w:cs="仿宋_GB2312"/>
          <w:b w:val="0"/>
          <w:bCs w:val="0"/>
          <w:spacing w:val="-6"/>
          <w:sz w:val="32"/>
          <w:szCs w:val="32"/>
          <w:lang w:val="en-US" w:eastAsia="zh-CN"/>
        </w:rPr>
        <w:t>1.</w:t>
      </w:r>
      <w:r>
        <w:rPr>
          <w:rFonts w:hint="eastAsia" w:ascii="仿宋_GB2312" w:hAnsi="仿宋_GB2312" w:eastAsia="仿宋_GB2312" w:cs="仿宋_GB2312"/>
          <w:spacing w:val="-6"/>
          <w:sz w:val="32"/>
          <w:szCs w:val="32"/>
        </w:rPr>
        <w:t>报价表中的价格应包括货物设计、材料、制造、包装、运输、装卸、保险、关税、增值税、仓储、商检、卫检、报关、输机、清关手续费、调试、培训、质检、保修、其它伴随服务等所有费用。</w:t>
      </w:r>
    </w:p>
    <w:p>
      <w:pPr>
        <w:pStyle w:val="4"/>
        <w:ind w:firstLine="616" w:firstLineChars="200"/>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2.明敷穿金属管或封闭金属线槽，外涂防火涂料，耐火≥1小时</w:t>
      </w:r>
    </w:p>
    <w:p>
      <w:pPr>
        <w:pStyle w:val="4"/>
        <w:numPr>
          <w:ilvl w:val="0"/>
          <w:numId w:val="0"/>
        </w:numPr>
        <w:ind w:firstLine="616" w:firstLineChars="200"/>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3.暗敷埋设于不燃结构内，保护层厚度≥30mm</w:t>
      </w:r>
    </w:p>
    <w:p>
      <w:pPr>
        <w:pStyle w:val="4"/>
        <w:numPr>
          <w:ilvl w:val="0"/>
          <w:numId w:val="0"/>
        </w:numPr>
        <w:ind w:leftChars="0" w:firstLine="616" w:firstLineChars="200"/>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4.竖井/桥架 与非消防电缆分侧布置，间距≥200mm</w:t>
      </w:r>
    </w:p>
    <w:p>
      <w:pPr>
        <w:pStyle w:val="4"/>
        <w:numPr>
          <w:ilvl w:val="0"/>
          <w:numId w:val="0"/>
        </w:numPr>
        <w:ind w:leftChars="0" w:firstLine="616" w:firstLineChars="200"/>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5.穿越楼板/墙体采用防火封堵材料密封，桥架穿越处设防隔板</w:t>
      </w:r>
    </w:p>
    <w:p>
      <w:pPr>
        <w:pStyle w:val="4"/>
        <w:numPr>
          <w:ilvl w:val="0"/>
          <w:numId w:val="0"/>
        </w:numPr>
        <w:ind w:leftChars="0" w:firstLine="616" w:firstLineChars="200"/>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6.防火桥架（耐火时限≥1h）</w:t>
      </w:r>
    </w:p>
    <w:p>
      <w:pPr>
        <w:pStyle w:val="4"/>
        <w:numPr>
          <w:ilvl w:val="0"/>
          <w:numId w:val="0"/>
        </w:numPr>
        <w:ind w:leftChars="0" w:firstLine="616" w:firstLineChars="200"/>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7.导体材质必须为铜芯</w:t>
      </w:r>
    </w:p>
    <w:p>
      <w:pPr>
        <w:pStyle w:val="4"/>
        <w:numPr>
          <w:ilvl w:val="0"/>
          <w:numId w:val="0"/>
        </w:numPr>
        <w:ind w:leftChars="0" w:firstLine="616" w:firstLineChars="200"/>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8.绝缘材料低烟无卤（WD）或矿物绝缘（MI）</w:t>
      </w:r>
    </w:p>
    <w:p>
      <w:pPr>
        <w:pStyle w:val="4"/>
        <w:numPr>
          <w:ilvl w:val="0"/>
          <w:numId w:val="0"/>
        </w:numPr>
        <w:ind w:leftChars="0" w:firstLine="616" w:firstLineChars="200"/>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9.耐火等级主干线采用矿物绝缘类不燃电缆（BTTZ或NG-A），耐火温度≥950℃/180min；支线须采用WDZN-YJFE或NH-KVV型，≥750℃/90min</w:t>
      </w:r>
    </w:p>
    <w:p>
      <w:pPr>
        <w:pStyle w:val="4"/>
        <w:numPr>
          <w:ilvl w:val="0"/>
          <w:numId w:val="0"/>
        </w:numPr>
        <w:ind w:leftChars="0" w:firstLine="616" w:firstLineChars="200"/>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10.阻燃等级报警总线：≥B1级阻燃（GB31247-2014）</w:t>
      </w:r>
    </w:p>
    <w:p>
      <w:pPr>
        <w:pStyle w:val="4"/>
        <w:numPr>
          <w:ilvl w:val="0"/>
          <w:numId w:val="0"/>
        </w:numPr>
        <w:ind w:leftChars="0" w:firstLine="616" w:firstLineChars="200"/>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11.电压等级控制线：≥300/500V；动力线：≥0.6/1kV</w:t>
      </w:r>
    </w:p>
    <w:p>
      <w:pPr>
        <w:pStyle w:val="4"/>
        <w:numPr>
          <w:ilvl w:val="0"/>
          <w:numId w:val="0"/>
        </w:numPr>
        <w:ind w:leftChars="0" w:firstLine="616" w:firstLineChars="200"/>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12.线径要求最小截面：控制线≥1.0mm²；电源线≥2.5mm²</w:t>
      </w:r>
    </w:p>
    <w:p>
      <w:pPr>
        <w:pStyle w:val="4"/>
        <w:numPr>
          <w:ilvl w:val="0"/>
          <w:numId w:val="0"/>
        </w:numPr>
        <w:ind w:leftChars="0" w:firstLine="616" w:firstLineChars="200"/>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13.报价应是最终用户验收合格后的总价，含搬运、调试费用税费、垃圾清运费、采购文件规定的其它费用。</w:t>
      </w:r>
    </w:p>
    <w:p>
      <w:pPr>
        <w:pStyle w:val="4"/>
        <w:numPr>
          <w:ilvl w:val="0"/>
          <w:numId w:val="0"/>
        </w:numPr>
        <w:ind w:leftChars="0" w:firstLine="616" w:firstLineChars="200"/>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14.项目进行相关备案，满足国家工程建设强制性规范、行业标准和公安部门的管理要求同时项目需达到国家三级医院“平安医院”评审标准，并实现院区消防、安防设备功能正常使用。该项目质保期不少于两年。</w:t>
      </w:r>
    </w:p>
    <w:p>
      <w:pPr>
        <w:rPr>
          <w:rFonts w:hint="eastAsia" w:ascii="仿宋_GB2312" w:hAnsi="仿宋_GB2312" w:eastAsia="仿宋_GB2312" w:cs="仿宋_GB2312"/>
          <w:b w:val="0"/>
          <w:bCs w:val="0"/>
          <w:kern w:val="2"/>
          <w:sz w:val="32"/>
          <w:szCs w:val="32"/>
          <w:lang w:val="en-US" w:eastAsia="zh-CN" w:bidi="ar-SA"/>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spacing w:line="480" w:lineRule="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keepNext w:val="0"/>
        <w:keepLines w:val="0"/>
        <w:pageBreakBefore w:val="0"/>
        <w:widowControl w:val="0"/>
        <w:kinsoku/>
        <w:wordWrap/>
        <w:overflowPunct/>
        <w:topLinePunct w:val="0"/>
        <w:autoSpaceDE/>
        <w:autoSpaceDN/>
        <w:bidi w:val="0"/>
        <w:adjustRightInd/>
        <w:snapToGrid/>
        <w:spacing w:line="440" w:lineRule="exact"/>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封面（公司、项目、联系人、联系方式）；</w:t>
      </w:r>
    </w:p>
    <w:p>
      <w:pPr>
        <w:keepNext w:val="0"/>
        <w:keepLines w:val="0"/>
        <w:pageBreakBefore w:val="0"/>
        <w:widowControl w:val="0"/>
        <w:kinsoku/>
        <w:wordWrap/>
        <w:overflowPunct/>
        <w:topLinePunct w:val="0"/>
        <w:autoSpaceDE/>
        <w:autoSpaceDN/>
        <w:bidi w:val="0"/>
        <w:adjustRightInd/>
        <w:snapToGrid/>
        <w:spacing w:line="440" w:lineRule="exact"/>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目录；</w:t>
      </w:r>
    </w:p>
    <w:p>
      <w:pPr>
        <w:keepNext w:val="0"/>
        <w:keepLines w:val="0"/>
        <w:pageBreakBefore w:val="0"/>
        <w:widowControl w:val="0"/>
        <w:kinsoku/>
        <w:wordWrap/>
        <w:overflowPunct/>
        <w:topLinePunct w:val="0"/>
        <w:autoSpaceDE/>
        <w:autoSpaceDN/>
        <w:bidi w:val="0"/>
        <w:adjustRightInd/>
        <w:snapToGrid/>
        <w:spacing w:line="440" w:lineRule="exact"/>
        <w:rPr>
          <w:rFonts w:hint="eastAsia" w:ascii="仿宋_GB2312" w:eastAsia="仿宋_GB2312"/>
          <w:sz w:val="28"/>
          <w:szCs w:val="28"/>
          <w:lang w:eastAsia="zh-CN"/>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报价一览表（格式见附件3）</w:t>
      </w:r>
      <w:r>
        <w:rPr>
          <w:rFonts w:hint="eastAsia" w:ascii="仿宋_GB2312" w:eastAsia="仿宋_GB2312"/>
          <w:sz w:val="28"/>
          <w:szCs w:val="28"/>
          <w:lang w:eastAsia="zh-CN"/>
        </w:rPr>
        <w:t>；</w:t>
      </w:r>
    </w:p>
    <w:p>
      <w:pPr>
        <w:spacing w:line="360" w:lineRule="auto"/>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w:t>
      </w:r>
      <w:r>
        <w:rPr>
          <w:rFonts w:hint="eastAsia" w:ascii="仿宋_GB2312" w:eastAsia="仿宋_GB2312"/>
          <w:sz w:val="28"/>
          <w:szCs w:val="28"/>
        </w:rPr>
        <w:t>企业营业执照、组织机构代码证、税务登记证（或三证合一）（复印件）；</w:t>
      </w:r>
    </w:p>
    <w:p>
      <w:pPr>
        <w:keepNext w:val="0"/>
        <w:keepLines w:val="0"/>
        <w:pageBreakBefore w:val="0"/>
        <w:widowControl w:val="0"/>
        <w:kinsoku/>
        <w:wordWrap/>
        <w:overflowPunct/>
        <w:topLinePunct w:val="0"/>
        <w:autoSpaceDE/>
        <w:autoSpaceDN/>
        <w:bidi w:val="0"/>
        <w:adjustRightInd/>
        <w:snapToGrid/>
        <w:spacing w:line="440" w:lineRule="exact"/>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w:t>
      </w:r>
      <w:r>
        <w:rPr>
          <w:rFonts w:hint="eastAsia" w:ascii="仿宋_GB2312" w:eastAsia="仿宋_GB2312"/>
          <w:sz w:val="28"/>
          <w:szCs w:val="28"/>
        </w:rPr>
        <w:t>法定代表人授权书（原件，格式见附件3）暨经办人授权书，法人、经办人身份证（复印件）资质复印件需要盖章</w:t>
      </w:r>
      <w:r>
        <w:rPr>
          <w:rFonts w:hint="eastAsia" w:ascii="仿宋_GB2312" w:eastAsia="仿宋_GB2312"/>
          <w:sz w:val="28"/>
          <w:szCs w:val="28"/>
          <w:lang w:eastAsia="zh-CN"/>
        </w:rPr>
        <w:t>（</w:t>
      </w:r>
      <w:r>
        <w:rPr>
          <w:rFonts w:hint="eastAsia" w:ascii="仿宋_GB2312" w:eastAsia="仿宋_GB2312"/>
          <w:sz w:val="28"/>
          <w:szCs w:val="28"/>
        </w:rPr>
        <w:t>格式见附件</w:t>
      </w:r>
      <w:r>
        <w:rPr>
          <w:rFonts w:hint="eastAsia" w:ascii="仿宋_GB2312" w:eastAsia="仿宋_GB2312"/>
          <w:sz w:val="28"/>
          <w:szCs w:val="28"/>
          <w:lang w:val="en-US" w:eastAsia="zh-CN"/>
        </w:rPr>
        <w:t>4</w:t>
      </w:r>
      <w:r>
        <w:rPr>
          <w:rFonts w:hint="eastAsia" w:ascii="仿宋_GB2312" w:eastAsia="仿宋_GB2312"/>
          <w:sz w:val="28"/>
          <w:szCs w:val="28"/>
          <w:lang w:eastAsia="zh-CN"/>
        </w:rPr>
        <w:t>）</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rPr>
          <w:rFonts w:hint="eastAsia" w:ascii="仿宋_GB2312" w:eastAsia="仿宋_GB2312"/>
          <w:sz w:val="28"/>
          <w:szCs w:val="28"/>
          <w:lang w:eastAsia="zh-CN"/>
        </w:rPr>
      </w:pPr>
      <w:r>
        <w:rPr>
          <w:rFonts w:hint="eastAsia" w:ascii="仿宋_GB2312" w:eastAsia="仿宋_GB2312"/>
          <w:sz w:val="28"/>
          <w:szCs w:val="28"/>
        </w:rPr>
        <w:t>6</w:t>
      </w:r>
      <w:r>
        <w:rPr>
          <w:rFonts w:hint="eastAsia" w:ascii="仿宋_GB2312" w:eastAsia="仿宋_GB2312"/>
          <w:sz w:val="28"/>
          <w:szCs w:val="28"/>
          <w:lang w:val="en-US" w:eastAsia="zh-CN"/>
        </w:rPr>
        <w:t>.</w:t>
      </w:r>
      <w:r>
        <w:rPr>
          <w:rFonts w:hint="eastAsia" w:ascii="仿宋_GB2312" w:eastAsia="仿宋_GB2312"/>
          <w:sz w:val="28"/>
          <w:szCs w:val="28"/>
        </w:rPr>
        <w:t>设计规范或标准</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rPr>
          <w:rFonts w:hint="eastAsia" w:ascii="仿宋_GB2312" w:eastAsia="仿宋_GB2312"/>
          <w:sz w:val="28"/>
          <w:szCs w:val="28"/>
          <w:lang w:eastAsia="zh-CN"/>
        </w:rPr>
      </w:pPr>
      <w:r>
        <w:rPr>
          <w:rFonts w:hint="eastAsia" w:ascii="仿宋_GB2312" w:eastAsia="仿宋_GB2312"/>
          <w:sz w:val="28"/>
          <w:szCs w:val="28"/>
        </w:rPr>
        <w:t>7</w:t>
      </w:r>
      <w:r>
        <w:rPr>
          <w:rFonts w:hint="eastAsia" w:ascii="仿宋_GB2312" w:eastAsia="仿宋_GB2312"/>
          <w:sz w:val="28"/>
          <w:szCs w:val="28"/>
          <w:lang w:val="en-US" w:eastAsia="zh-CN"/>
        </w:rPr>
        <w:t>.</w:t>
      </w:r>
      <w:r>
        <w:rPr>
          <w:rFonts w:hint="eastAsia" w:ascii="仿宋_GB2312" w:eastAsia="仿宋_GB2312"/>
          <w:sz w:val="28"/>
          <w:szCs w:val="28"/>
        </w:rPr>
        <w:t>售后服务承诺书</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keepNext w:val="0"/>
        <w:keepLines w:val="0"/>
        <w:pageBreakBefore w:val="0"/>
        <w:widowControl w:val="0"/>
        <w:kinsoku/>
        <w:wordWrap/>
        <w:overflowPunct/>
        <w:topLinePunct w:val="0"/>
        <w:autoSpaceDE/>
        <w:autoSpaceDN/>
        <w:bidi w:val="0"/>
        <w:adjustRightInd/>
        <w:snapToGrid/>
        <w:spacing w:line="440" w:lineRule="exact"/>
        <w:rPr>
          <w:rFonts w:hint="eastAsia" w:ascii="仿宋_GB2312" w:eastAsia="仿宋_GB2312"/>
          <w:sz w:val="28"/>
          <w:szCs w:val="28"/>
          <w:lang w:eastAsia="zh-CN"/>
        </w:rPr>
      </w:pPr>
      <w:r>
        <w:rPr>
          <w:rFonts w:hint="eastAsia" w:ascii="仿宋_GB2312" w:eastAsia="仿宋_GB2312"/>
          <w:sz w:val="28"/>
          <w:szCs w:val="28"/>
          <w:lang w:val="en-US" w:eastAsia="zh-CN"/>
        </w:rPr>
        <w:t>9.</w:t>
      </w:r>
      <w:r>
        <w:rPr>
          <w:rFonts w:hint="eastAsia" w:ascii="仿宋_GB2312" w:eastAsia="仿宋_GB2312"/>
          <w:sz w:val="28"/>
          <w:szCs w:val="28"/>
          <w:lang w:eastAsia="zh-CN"/>
        </w:rPr>
        <w:t>反商业贿赂承诺书（</w:t>
      </w:r>
      <w:r>
        <w:rPr>
          <w:rFonts w:hint="eastAsia" w:ascii="仿宋_GB2312" w:eastAsia="仿宋_GB2312"/>
          <w:sz w:val="28"/>
          <w:szCs w:val="28"/>
        </w:rPr>
        <w:t>格式见附件</w:t>
      </w:r>
      <w:r>
        <w:rPr>
          <w:rFonts w:hint="eastAsia" w:ascii="仿宋_GB2312" w:eastAsia="仿宋_GB2312"/>
          <w:sz w:val="28"/>
          <w:szCs w:val="28"/>
          <w:lang w:val="en-US" w:eastAsia="zh-CN"/>
        </w:rPr>
        <w:t>5</w:t>
      </w:r>
      <w:r>
        <w:rPr>
          <w:rFonts w:hint="eastAsia" w:ascii="仿宋_GB2312" w:eastAsia="仿宋_GB2312"/>
          <w:sz w:val="28"/>
          <w:szCs w:val="28"/>
          <w:lang w:eastAsia="zh-CN"/>
        </w:rPr>
        <w:t>）</w:t>
      </w:r>
    </w:p>
    <w:p>
      <w:pPr>
        <w:pStyle w:val="4"/>
        <w:rPr>
          <w:rFonts w:hint="default"/>
          <w:lang w:val="en-US" w:eastAsia="zh-CN"/>
        </w:rPr>
      </w:pPr>
      <w:r>
        <w:rPr>
          <w:rFonts w:hint="eastAsia" w:ascii="仿宋_GB2312" w:eastAsia="仿宋_GB2312"/>
          <w:sz w:val="28"/>
          <w:szCs w:val="28"/>
          <w:lang w:val="en-US" w:eastAsia="zh-CN"/>
        </w:rPr>
        <w:t>10.相关资质证书</w:t>
      </w:r>
    </w:p>
    <w:p>
      <w:pPr>
        <w:keepNext w:val="0"/>
        <w:keepLines w:val="0"/>
        <w:pageBreakBefore w:val="0"/>
        <w:widowControl w:val="0"/>
        <w:kinsoku/>
        <w:wordWrap/>
        <w:overflowPunct/>
        <w:topLinePunct w:val="0"/>
        <w:autoSpaceDE/>
        <w:autoSpaceDN/>
        <w:bidi w:val="0"/>
        <w:adjustRightInd/>
        <w:snapToGrid/>
        <w:spacing w:line="440" w:lineRule="exact"/>
        <w:rPr>
          <w:rFonts w:ascii="仿宋_GB2312" w:eastAsia="仿宋_GB2312"/>
          <w:sz w:val="28"/>
          <w:szCs w:val="28"/>
        </w:rPr>
      </w:pPr>
      <w:r>
        <w:rPr>
          <w:rFonts w:hint="eastAsia" w:ascii="仿宋_GB2312" w:eastAsia="仿宋_GB2312"/>
          <w:sz w:val="28"/>
          <w:szCs w:val="28"/>
        </w:rPr>
        <w:t>封底</w:t>
      </w:r>
    </w:p>
    <w:p>
      <w:pPr>
        <w:keepNext w:val="0"/>
        <w:keepLines w:val="0"/>
        <w:pageBreakBefore w:val="0"/>
        <w:widowControl w:val="0"/>
        <w:kinsoku/>
        <w:wordWrap/>
        <w:overflowPunct/>
        <w:topLinePunct w:val="0"/>
        <w:autoSpaceDE/>
        <w:autoSpaceDN/>
        <w:bidi w:val="0"/>
        <w:adjustRightInd/>
        <w:snapToGrid/>
        <w:spacing w:line="44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hint="eastAsia" w:ascii="黑体" w:hAnsi="黑体" w:eastAsia="黑体" w:cs="仿宋"/>
          <w:color w:val="000000"/>
          <w:sz w:val="28"/>
          <w:szCs w:val="28"/>
        </w:rPr>
      </w:pPr>
      <w:r>
        <w:rPr>
          <w:rFonts w:hint="eastAsia" w:ascii="黑体" w:hAnsi="黑体" w:eastAsia="黑体" w:cs="仿宋"/>
          <w:color w:val="000000"/>
          <w:sz w:val="28"/>
          <w:szCs w:val="28"/>
        </w:rPr>
        <w:t>附件</w:t>
      </w:r>
      <w:r>
        <w:rPr>
          <w:rFonts w:hint="eastAsia" w:ascii="黑体" w:hAnsi="黑体" w:eastAsia="黑体" w:cs="仿宋"/>
          <w:color w:val="000000"/>
          <w:sz w:val="28"/>
          <w:szCs w:val="28"/>
          <w:lang w:val="en-US" w:eastAsia="zh-CN"/>
        </w:rPr>
        <w:t>3</w:t>
      </w:r>
      <w:r>
        <w:rPr>
          <w:rFonts w:hint="eastAsia" w:ascii="黑体" w:hAnsi="黑体" w:eastAsia="黑体" w:cs="仿宋"/>
          <w:color w:val="000000"/>
          <w:sz w:val="28"/>
          <w:szCs w:val="28"/>
        </w:rPr>
        <w:t>:</w:t>
      </w:r>
    </w:p>
    <w:p>
      <w:pPr>
        <w:widowControl/>
        <w:spacing w:line="360" w:lineRule="auto"/>
        <w:jc w:val="center"/>
        <w:rPr>
          <w:rFonts w:hint="eastAsia" w:ascii="方正小标宋简体" w:hAnsi="方正小标宋简体" w:eastAsia="方正小标宋简体" w:cs="方正小标宋简体"/>
          <w:color w:val="333333"/>
          <w:kern w:val="0"/>
          <w:sz w:val="30"/>
          <w:szCs w:val="30"/>
        </w:rPr>
      </w:pPr>
      <w:r>
        <w:rPr>
          <w:rFonts w:hint="eastAsia" w:ascii="方正小标宋简体" w:hAnsi="方正小标宋简体" w:eastAsia="方正小标宋简体" w:cs="方正小标宋简体"/>
          <w:color w:val="000000"/>
          <w:kern w:val="0"/>
          <w:sz w:val="30"/>
          <w:szCs w:val="30"/>
        </w:rPr>
        <w:t>报价一览表</w:t>
      </w:r>
    </w:p>
    <w:tbl>
      <w:tblPr>
        <w:tblStyle w:val="6"/>
        <w:tblW w:w="6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75"/>
        <w:gridCol w:w="2548"/>
        <w:gridCol w:w="1230"/>
        <w:gridCol w:w="1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项目名称</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单位</w:t>
            </w:r>
          </w:p>
        </w:tc>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价格（万元）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69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合计报价（含税）：</w:t>
            </w:r>
          </w:p>
        </w:tc>
      </w:tr>
    </w:tbl>
    <w:p>
      <w:pPr>
        <w:pStyle w:val="5"/>
        <w:widowControl/>
        <w:spacing w:line="440" w:lineRule="atLeast"/>
        <w:rPr>
          <w:rFonts w:hint="eastAsia" w:ascii="黑体" w:hAnsi="黑体" w:eastAsia="黑体" w:cs="仿宋"/>
          <w:color w:val="000000"/>
          <w:sz w:val="28"/>
          <w:szCs w:val="28"/>
        </w:rPr>
      </w:pPr>
    </w:p>
    <w:p>
      <w:pPr>
        <w:keepNext w:val="0"/>
        <w:keepLines w:val="0"/>
        <w:pageBreakBefore w:val="0"/>
        <w:widowControl/>
        <w:kinsoku/>
        <w:wordWrap/>
        <w:overflowPunct/>
        <w:topLinePunct w:val="0"/>
        <w:autoSpaceDE/>
        <w:autoSpaceDN/>
        <w:bidi w:val="0"/>
        <w:adjustRightInd/>
        <w:snapToGrid/>
        <w:spacing w:line="400" w:lineRule="exact"/>
        <w:ind w:left="561" w:leftChars="267"/>
        <w:jc w:val="left"/>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ab/>
      </w:r>
      <w:r>
        <w:rPr>
          <w:rFonts w:hint="eastAsia" w:ascii="黑体" w:hAnsi="黑体" w:eastAsia="黑体" w:cs="黑体"/>
          <w:b/>
          <w:bCs/>
          <w:color w:val="000000"/>
          <w:kern w:val="0"/>
          <w:sz w:val="28"/>
          <w:szCs w:val="28"/>
        </w:rPr>
        <w:tab/>
      </w:r>
      <w:r>
        <w:rPr>
          <w:rFonts w:hint="eastAsia" w:ascii="黑体" w:hAnsi="黑体" w:eastAsia="黑体" w:cs="黑体"/>
          <w:b/>
          <w:bCs/>
          <w:color w:val="000000"/>
          <w:kern w:val="0"/>
          <w:sz w:val="28"/>
          <w:szCs w:val="28"/>
          <w:lang w:val="en-US" w:eastAsia="zh-CN" w:bidi="ar-SA"/>
        </w:rPr>
        <w:tab/>
      </w:r>
      <w:r>
        <w:rPr>
          <w:rFonts w:hint="eastAsia" w:ascii="黑体" w:hAnsi="黑体" w:eastAsia="黑体" w:cs="黑体"/>
          <w:b/>
          <w:bCs/>
          <w:color w:val="000000"/>
          <w:kern w:val="0"/>
          <w:sz w:val="28"/>
          <w:szCs w:val="28"/>
          <w:lang w:val="en-US" w:eastAsia="zh-CN" w:bidi="ar-SA"/>
        </w:rPr>
        <w:tab/>
      </w: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4"/>
        <w:rPr>
          <w:rFonts w:hint="default"/>
          <w:lang w:val="en-US" w:eastAsia="zh-CN"/>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rPr>
          <w:rFonts w:hint="default"/>
          <w:lang w:val="en-US" w:eastAsia="zh-CN"/>
        </w:rPr>
      </w:pPr>
    </w:p>
    <w:p>
      <w:pPr>
        <w:pStyle w:val="2"/>
        <w:tabs>
          <w:tab w:val="left" w:pos="540"/>
        </w:tabs>
        <w:ind w:left="720" w:hanging="720"/>
        <w:jc w:val="center"/>
        <w:rPr>
          <w:bCs w:val="0"/>
          <w:sz w:val="24"/>
          <w:szCs w:val="24"/>
          <w:lang w:val="zh-CN"/>
        </w:rPr>
      </w:pPr>
      <w:r>
        <w:rPr>
          <w:rFonts w:hint="eastAsia"/>
          <w:bCs w:val="0"/>
          <w:sz w:val="24"/>
          <w:szCs w:val="24"/>
          <w:lang w:val="zh-CN"/>
        </w:rPr>
        <w:t>法定代表人身份授权书</w:t>
      </w:r>
    </w:p>
    <w:p>
      <w:pPr>
        <w:rPr>
          <w:rFonts w:ascii="宋体" w:hAnsi="宋体" w:cs="宋体"/>
          <w:sz w:val="24"/>
          <w:szCs w:val="24"/>
          <w:lang w:val="zh-CN"/>
        </w:rPr>
      </w:pPr>
    </w:p>
    <w:p>
      <w:pPr>
        <w:tabs>
          <w:tab w:val="left" w:pos="6300"/>
        </w:tabs>
        <w:spacing w:line="360" w:lineRule="auto"/>
        <w:rPr>
          <w:rFonts w:ascii="宋体" w:hAnsi="宋体" w:cs="宋体"/>
          <w:sz w:val="24"/>
          <w:szCs w:val="24"/>
          <w:lang w:val="zh-CN"/>
        </w:rPr>
      </w:pPr>
      <w:r>
        <w:rPr>
          <w:rFonts w:hint="eastAsia" w:ascii="宋体" w:hAnsi="宋体" w:cs="宋体"/>
          <w:sz w:val="24"/>
          <w:szCs w:val="24"/>
          <w:u w:val="single"/>
          <w:lang w:val="zh-CN"/>
        </w:rPr>
        <w:t xml:space="preserve">                                      </w:t>
      </w:r>
      <w:r>
        <w:rPr>
          <w:rFonts w:hint="eastAsia" w:ascii="宋体" w:hAnsi="宋体" w:cs="宋体"/>
          <w:sz w:val="24"/>
          <w:szCs w:val="24"/>
          <w:lang w:val="zh-CN"/>
        </w:rPr>
        <w:t>（采购单位名称）：</w:t>
      </w:r>
    </w:p>
    <w:p>
      <w:pPr>
        <w:tabs>
          <w:tab w:val="left" w:pos="720"/>
          <w:tab w:val="left" w:pos="6300"/>
        </w:tabs>
        <w:spacing w:line="360" w:lineRule="auto"/>
        <w:ind w:firstLine="573"/>
        <w:rPr>
          <w:rFonts w:ascii="宋体" w:hAnsi="宋体" w:cs="宋体"/>
          <w:sz w:val="24"/>
          <w:szCs w:val="24"/>
          <w:u w:val="single"/>
          <w:lang w:val="zh-CN"/>
        </w:rPr>
      </w:pPr>
      <w:r>
        <w:rPr>
          <w:rFonts w:hint="eastAsia" w:ascii="宋体" w:hAnsi="宋体" w:cs="宋体"/>
          <w:sz w:val="24"/>
          <w:szCs w:val="24"/>
          <w:lang w:val="zh-CN"/>
        </w:rPr>
        <w:t xml:space="preserve">   本授权声明：</w:t>
      </w:r>
      <w:r>
        <w:rPr>
          <w:rFonts w:hint="eastAsia" w:ascii="宋体" w:hAnsi="宋体" w:cs="宋体"/>
          <w:sz w:val="24"/>
          <w:szCs w:val="24"/>
          <w:u w:val="single"/>
          <w:lang w:val="zh-CN"/>
        </w:rPr>
        <w:t xml:space="preserve">                         </w:t>
      </w:r>
      <w:r>
        <w:rPr>
          <w:rFonts w:hint="eastAsia" w:ascii="宋体" w:hAnsi="宋体" w:cs="宋体"/>
          <w:sz w:val="24"/>
          <w:szCs w:val="24"/>
          <w:lang w:val="zh-CN"/>
        </w:rPr>
        <w:t>（投标人名称）</w:t>
      </w:r>
      <w:r>
        <w:rPr>
          <w:rFonts w:hint="eastAsia" w:ascii="宋体" w:hAnsi="宋体" w:cs="宋体"/>
          <w:sz w:val="24"/>
          <w:szCs w:val="24"/>
          <w:u w:val="single"/>
          <w:lang w:val="zh-CN"/>
        </w:rPr>
        <w:t xml:space="preserve">           </w:t>
      </w:r>
    </w:p>
    <w:p>
      <w:pPr>
        <w:tabs>
          <w:tab w:val="left" w:pos="720"/>
          <w:tab w:val="left" w:pos="6300"/>
        </w:tabs>
        <w:spacing w:line="360" w:lineRule="auto"/>
        <w:rPr>
          <w:rFonts w:ascii="宋体" w:hAnsi="宋体" w:cs="宋体"/>
          <w:sz w:val="24"/>
          <w:szCs w:val="24"/>
        </w:rPr>
      </w:pPr>
      <w:r>
        <w:rPr>
          <w:rFonts w:hint="eastAsia" w:ascii="宋体" w:hAnsi="宋体" w:cs="宋体"/>
          <w:sz w:val="24"/>
          <w:szCs w:val="24"/>
          <w:u w:val="single"/>
          <w:lang w:val="zh-CN"/>
        </w:rPr>
        <w:t xml:space="preserve">       </w:t>
      </w:r>
      <w:r>
        <w:rPr>
          <w:rFonts w:hint="eastAsia" w:ascii="宋体" w:hAnsi="宋体" w:cs="宋体"/>
          <w:sz w:val="24"/>
          <w:szCs w:val="24"/>
          <w:lang w:val="zh-CN"/>
        </w:rPr>
        <w:t>（法定代表人姓名、职务）授权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（被授权人姓名、职务）为我方</w:t>
      </w:r>
      <w:r>
        <w:rPr>
          <w:rFonts w:hint="eastAsia" w:ascii="宋体" w:hAnsi="宋体" w:cs="宋体"/>
          <w:sz w:val="24"/>
          <w:szCs w:val="24"/>
          <w:u w:val="single"/>
          <w:lang w:val="zh-CN"/>
        </w:rPr>
        <w:t xml:space="preserve"> “                                          ”</w:t>
      </w:r>
      <w:r>
        <w:rPr>
          <w:rFonts w:hint="eastAsia" w:ascii="宋体" w:hAnsi="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特此声明。</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法定代表人签字：</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授权代表签字：</w:t>
      </w:r>
    </w:p>
    <w:p>
      <w:pPr>
        <w:spacing w:line="360" w:lineRule="auto"/>
        <w:ind w:firstLine="48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（加盖公章）</w:t>
      </w:r>
    </w:p>
    <w:p>
      <w:pPr>
        <w:spacing w:line="360" w:lineRule="auto"/>
        <w:ind w:firstLine="480"/>
        <w:rPr>
          <w:rFonts w:ascii="宋体" w:hAnsi="宋体" w:cs="宋体"/>
          <w:sz w:val="24"/>
          <w:szCs w:val="24"/>
        </w:rPr>
      </w:pPr>
      <w:r>
        <w:rPr>
          <w:rFonts w:hint="eastAsia" w:ascii="宋体" w:hAnsi="宋体" w:cs="宋体"/>
          <w:sz w:val="24"/>
          <w:szCs w:val="24"/>
        </w:rPr>
        <w:t>日期：</w:t>
      </w:r>
    </w:p>
    <w:p>
      <w:pPr>
        <w:numPr>
          <w:ilvl w:val="0"/>
          <w:numId w:val="3"/>
        </w:numPr>
        <w:tabs>
          <w:tab w:val="left" w:pos="6300"/>
        </w:tabs>
        <w:spacing w:line="360" w:lineRule="auto"/>
        <w:rPr>
          <w:rFonts w:ascii="宋体" w:hAnsi="宋体" w:cs="宋体"/>
          <w:sz w:val="24"/>
          <w:szCs w:val="24"/>
        </w:rPr>
      </w:pPr>
      <w:r>
        <w:rPr>
          <w:rFonts w:hint="eastAsia" w:ascii="宋体" w:hAnsi="宋体" w:cs="宋体"/>
          <w:sz w:val="24"/>
          <w:szCs w:val="24"/>
        </w:rPr>
        <w:t>说明：上述证明文件附有法定代表人、被授权代表身份证复印件（加盖公章）时才能生效。</w:t>
      </w:r>
    </w:p>
    <w:p>
      <w:pPr>
        <w:rPr>
          <w:rFonts w:ascii="宋体" w:hAnsi="宋体" w:cs="宋体"/>
          <w:sz w:val="24"/>
          <w:szCs w:val="24"/>
        </w:rPr>
      </w:pPr>
    </w:p>
    <w:p>
      <w:pPr>
        <w:pStyle w:val="3"/>
        <w:rPr>
          <w:rFonts w:ascii="宋体" w:hAnsi="宋体" w:cs="宋体"/>
          <w:sz w:val="24"/>
          <w:szCs w:val="24"/>
        </w:rPr>
      </w:pPr>
    </w:p>
    <w:p>
      <w:pPr>
        <w:rPr>
          <w:rFonts w:ascii="宋体" w:hAnsi="宋体" w:cs="宋体"/>
          <w:sz w:val="24"/>
          <w:szCs w:val="24"/>
        </w:rPr>
      </w:pPr>
    </w:p>
    <w:p>
      <w:pPr>
        <w:widowControl/>
        <w:spacing w:before="100" w:beforeAutospacing="1" w:after="100" w:afterAutospacing="1"/>
        <w:jc w:val="center"/>
        <w:rPr>
          <w:rFonts w:ascii="宋体" w:hAnsi="宋体" w:cs="宋体"/>
          <w:color w:val="000000"/>
          <w:kern w:val="0"/>
          <w:sz w:val="24"/>
          <w:szCs w:val="24"/>
        </w:rPr>
      </w:pPr>
    </w:p>
    <w:p>
      <w:pPr>
        <w:pStyle w:val="4"/>
        <w:rPr>
          <w:rFonts w:ascii="宋体" w:hAnsi="宋体" w:cs="宋体"/>
          <w:color w:val="000000"/>
          <w:kern w:val="0"/>
          <w:sz w:val="24"/>
          <w:szCs w:val="24"/>
        </w:rPr>
      </w:pPr>
    </w:p>
    <w:p>
      <w:pPr>
        <w:rPr>
          <w:rFonts w:ascii="宋体" w:hAnsi="宋体" w:cs="宋体"/>
          <w:color w:val="000000"/>
          <w:kern w:val="0"/>
          <w:sz w:val="24"/>
          <w:szCs w:val="24"/>
        </w:rPr>
      </w:pPr>
    </w:p>
    <w:p>
      <w:pPr>
        <w:pStyle w:val="4"/>
        <w:rPr>
          <w:rFonts w:ascii="宋体" w:hAnsi="宋体" w:cs="宋体"/>
          <w:color w:val="000000"/>
          <w:kern w:val="0"/>
          <w:sz w:val="24"/>
          <w:szCs w:val="24"/>
        </w:rPr>
      </w:pPr>
    </w:p>
    <w:p>
      <w:pPr>
        <w:pStyle w:val="4"/>
        <w:rPr>
          <w:rFonts w:ascii="宋体" w:hAnsi="宋体" w:cs="宋体"/>
          <w:color w:val="000000"/>
          <w:kern w:val="0"/>
          <w:sz w:val="24"/>
          <w:szCs w:val="24"/>
        </w:rPr>
      </w:pPr>
    </w:p>
    <w:p>
      <w:pPr>
        <w:pStyle w:val="4"/>
        <w:rPr>
          <w:rFonts w:ascii="宋体" w:hAnsi="宋体" w:cs="宋体"/>
          <w:color w:val="000000"/>
          <w:kern w:val="0"/>
          <w:sz w:val="24"/>
          <w:szCs w:val="24"/>
        </w:rPr>
      </w:pPr>
    </w:p>
    <w:p>
      <w:pPr>
        <w:pStyle w:val="4"/>
        <w:rPr>
          <w:rFonts w:ascii="宋体" w:hAnsi="宋体" w:cs="宋体"/>
          <w:color w:val="000000"/>
          <w:kern w:val="0"/>
          <w:sz w:val="24"/>
          <w:szCs w:val="24"/>
        </w:rPr>
      </w:pPr>
    </w:p>
    <w:p>
      <w:pPr>
        <w:pStyle w:val="4"/>
        <w:rPr>
          <w:rFonts w:ascii="宋体" w:hAnsi="宋体" w:cs="宋体"/>
          <w:color w:val="000000"/>
          <w:kern w:val="0"/>
          <w:sz w:val="24"/>
          <w:szCs w:val="24"/>
        </w:rPr>
      </w:pPr>
    </w:p>
    <w:p>
      <w:pPr>
        <w:pStyle w:val="4"/>
        <w:rPr>
          <w:rFonts w:ascii="宋体" w:hAnsi="宋体" w:cs="宋体"/>
          <w:color w:val="000000"/>
          <w:kern w:val="0"/>
          <w:sz w:val="24"/>
          <w:szCs w:val="24"/>
        </w:rPr>
      </w:pPr>
    </w:p>
    <w:p>
      <w:pPr>
        <w:pStyle w:val="4"/>
        <w:rPr>
          <w:rFonts w:ascii="宋体" w:hAnsi="宋体" w:cs="宋体"/>
          <w:color w:val="000000"/>
          <w:kern w:val="0"/>
          <w:sz w:val="24"/>
          <w:szCs w:val="24"/>
        </w:rPr>
      </w:pPr>
    </w:p>
    <w:p>
      <w:pPr>
        <w:pStyle w:val="4"/>
        <w:rPr>
          <w:rFonts w:ascii="宋体" w:hAnsi="宋体" w:cs="宋体"/>
          <w:color w:val="000000"/>
          <w:kern w:val="0"/>
          <w:sz w:val="24"/>
          <w:szCs w:val="24"/>
        </w:rPr>
      </w:pPr>
    </w:p>
    <w:p>
      <w:pPr>
        <w:pStyle w:val="4"/>
        <w:rPr>
          <w:rFonts w:ascii="宋体" w:hAnsi="宋体" w:cs="宋体"/>
          <w:color w:val="000000"/>
          <w:kern w:val="0"/>
          <w:sz w:val="24"/>
          <w:szCs w:val="24"/>
        </w:rPr>
      </w:pPr>
    </w:p>
    <w:p>
      <w:pPr>
        <w:pStyle w:val="4"/>
        <w:rPr>
          <w:rFonts w:ascii="宋体" w:hAnsi="宋体" w:cs="宋体"/>
          <w:color w:val="000000"/>
          <w:kern w:val="0"/>
          <w:sz w:val="24"/>
          <w:szCs w:val="24"/>
        </w:rPr>
      </w:pPr>
    </w:p>
    <w:p>
      <w:pPr>
        <w:pStyle w:val="4"/>
        <w:rPr>
          <w:rFonts w:ascii="宋体" w:hAnsi="宋体" w:cs="宋体"/>
          <w:color w:val="000000"/>
          <w:kern w:val="0"/>
          <w:sz w:val="24"/>
          <w:szCs w:val="24"/>
        </w:rPr>
      </w:pPr>
    </w:p>
    <w:p>
      <w:pPr>
        <w:rPr>
          <w:rFonts w:ascii="宋体" w:hAnsi="宋体" w:cs="宋体"/>
          <w:color w:val="000000"/>
          <w:kern w:val="0"/>
          <w:sz w:val="24"/>
          <w:szCs w:val="24"/>
        </w:rPr>
      </w:pPr>
    </w:p>
    <w:p>
      <w:pPr>
        <w:pStyle w:val="4"/>
        <w:rPr>
          <w:rFonts w:ascii="宋体" w:hAnsi="宋体" w:cs="宋体"/>
          <w:color w:val="000000"/>
          <w:kern w:val="0"/>
          <w:sz w:val="24"/>
          <w:szCs w:val="24"/>
        </w:rPr>
      </w:pPr>
    </w:p>
    <w:p>
      <w:pPr>
        <w:rPr>
          <w:rFonts w:ascii="宋体" w:hAnsi="宋体" w:cs="宋体"/>
          <w:color w:val="000000"/>
          <w:kern w:val="0"/>
          <w:sz w:val="24"/>
          <w:szCs w:val="24"/>
        </w:rPr>
      </w:pPr>
    </w:p>
    <w:p>
      <w:pPr>
        <w:pStyle w:val="4"/>
        <w:rPr>
          <w:rFonts w:ascii="宋体" w:hAnsi="宋体" w:cs="宋体"/>
          <w:color w:val="000000"/>
          <w:kern w:val="0"/>
          <w:sz w:val="24"/>
          <w:szCs w:val="24"/>
        </w:rPr>
      </w:pPr>
    </w:p>
    <w:p>
      <w:pPr>
        <w:rPr>
          <w:rFonts w:ascii="宋体" w:hAnsi="宋体" w:cs="宋体"/>
          <w:color w:val="000000"/>
          <w:kern w:val="0"/>
          <w:sz w:val="24"/>
          <w:szCs w:val="24"/>
        </w:rPr>
      </w:pPr>
    </w:p>
    <w:p>
      <w:pPr>
        <w:pStyle w:val="4"/>
        <w:rPr>
          <w:rFonts w:ascii="宋体" w:hAnsi="宋体" w:cs="宋体"/>
          <w:color w:val="000000"/>
          <w:kern w:val="0"/>
          <w:sz w:val="24"/>
          <w:szCs w:val="24"/>
        </w:rPr>
      </w:pPr>
    </w:p>
    <w:p/>
    <w:p>
      <w:pPr>
        <w:pStyle w:val="10"/>
      </w:pPr>
    </w:p>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主要项目业绩表</w:t>
      </w:r>
    </w:p>
    <w:tbl>
      <w:tblPr>
        <w:tblStyle w:val="6"/>
        <w:tblW w:w="87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0"/>
        <w:gridCol w:w="1623"/>
        <w:gridCol w:w="2298"/>
        <w:gridCol w:w="21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6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项目名称</w:t>
            </w:r>
          </w:p>
        </w:tc>
        <w:tc>
          <w:tcPr>
            <w:tcW w:w="16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业务类别</w:t>
            </w:r>
          </w:p>
        </w:tc>
        <w:tc>
          <w:tcPr>
            <w:tcW w:w="229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业主联系方式</w:t>
            </w:r>
          </w:p>
        </w:tc>
        <w:tc>
          <w:tcPr>
            <w:tcW w:w="21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项目完成时间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bl>
    <w:p>
      <w:pPr>
        <w:widowControl/>
        <w:spacing w:line="500" w:lineRule="exact"/>
        <w:jc w:val="left"/>
        <w:rPr>
          <w:rFonts w:ascii="宋体" w:hAnsi="宋体" w:cs="宋体"/>
          <w:color w:val="000000"/>
          <w:kern w:val="0"/>
          <w:sz w:val="24"/>
          <w:szCs w:val="24"/>
        </w:rPr>
      </w:pPr>
      <w:r>
        <w:rPr>
          <w:rFonts w:hint="eastAsia" w:ascii="宋体" w:hAnsi="宋体" w:cs="宋体"/>
          <w:color w:val="000000"/>
          <w:kern w:val="0"/>
          <w:sz w:val="24"/>
          <w:szCs w:val="24"/>
        </w:rPr>
        <w:t>说明：1.表中项目为近三年业绩；</w:t>
      </w:r>
    </w:p>
    <w:p>
      <w:pPr>
        <w:widowControl/>
        <w:spacing w:line="500" w:lineRule="exact"/>
        <w:ind w:firstLine="720" w:firstLineChars="300"/>
        <w:jc w:val="left"/>
        <w:rPr>
          <w:rFonts w:ascii="宋体" w:hAnsi="宋体" w:cs="宋体"/>
          <w:kern w:val="0"/>
          <w:sz w:val="24"/>
          <w:szCs w:val="24"/>
        </w:rPr>
      </w:pPr>
      <w:r>
        <w:rPr>
          <w:rFonts w:hint="eastAsia" w:ascii="宋体" w:hAnsi="宋体" w:cs="宋体"/>
          <w:color w:val="000000"/>
          <w:kern w:val="0"/>
          <w:sz w:val="24"/>
          <w:szCs w:val="24"/>
        </w:rPr>
        <w:t>2.只填写与本次市场调研项目</w:t>
      </w:r>
      <w:r>
        <w:rPr>
          <w:rFonts w:hint="eastAsia" w:ascii="宋体" w:hAnsi="宋体" w:cs="宋体"/>
          <w:color w:val="000000"/>
          <w:kern w:val="0"/>
          <w:sz w:val="24"/>
          <w:szCs w:val="24"/>
          <w:lang w:val="en-US" w:eastAsia="zh-CN"/>
        </w:rPr>
        <w:t>类似业绩</w:t>
      </w:r>
      <w:r>
        <w:rPr>
          <w:rFonts w:hint="eastAsia" w:ascii="宋体" w:hAnsi="宋体" w:cs="宋体"/>
          <w:color w:val="000000"/>
          <w:kern w:val="0"/>
          <w:sz w:val="24"/>
          <w:szCs w:val="24"/>
        </w:rPr>
        <w:t>。</w:t>
      </w:r>
    </w:p>
    <w:p>
      <w:pPr>
        <w:pStyle w:val="10"/>
        <w:rPr>
          <w:rFonts w:hAnsi="宋体"/>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right="0"/>
        <w:rPr>
          <w:rFonts w:hint="default" w:ascii="微软雅黑" w:hAnsi="微软雅黑" w:eastAsia="微软雅黑" w:cs="微软雅黑"/>
          <w:i w:val="0"/>
          <w:color w:val="555555"/>
          <w:spacing w:val="0"/>
          <w:sz w:val="24"/>
          <w:szCs w:val="24"/>
          <w:shd w:val="clear" w:color="auto" w:fill="FFFFFF"/>
          <w:lang w:val="en-US" w:eastAsia="zh-CN"/>
        </w:rPr>
      </w:pPr>
      <w:r>
        <w:rPr>
          <w:rFonts w:hint="eastAsia" w:ascii="微软雅黑" w:hAnsi="微软雅黑" w:eastAsia="微软雅黑" w:cs="微软雅黑"/>
          <w:b/>
          <w:bCs/>
          <w:i w:val="0"/>
          <w:color w:val="555555"/>
          <w:spacing w:val="0"/>
          <w:sz w:val="32"/>
          <w:szCs w:val="32"/>
          <w:shd w:val="clear" w:color="auto" w:fill="FFFFFF"/>
          <w:lang w:val="en-US" w:eastAsia="zh-CN"/>
        </w:rPr>
        <w:t>注：需同时提供纸质和电子版资料（电子版也需加盖电子章）</w:t>
      </w:r>
    </w:p>
    <w:p>
      <w:pPr>
        <w:pStyle w:val="10"/>
        <w:rPr>
          <w:rFonts w:hAnsi="宋体"/>
        </w:rPr>
      </w:pPr>
    </w:p>
    <w:p>
      <w:pPr>
        <w:widowControl/>
        <w:spacing w:line="440" w:lineRule="atLeast"/>
        <w:jc w:val="left"/>
        <w:rPr>
          <w:rFonts w:ascii="宋体" w:hAnsi="宋体" w:cs="宋体"/>
          <w:b/>
          <w:bCs/>
          <w:sz w:val="24"/>
          <w:szCs w:val="24"/>
        </w:rPr>
      </w:pPr>
    </w:p>
    <w:p>
      <w:pPr>
        <w:pStyle w:val="10"/>
        <w:rPr>
          <w:rFonts w:hAnsi="宋体"/>
          <w:b/>
          <w:bCs/>
        </w:rPr>
      </w:pPr>
    </w:p>
    <w:p>
      <w:pPr>
        <w:widowControl/>
        <w:spacing w:line="440" w:lineRule="atLeast"/>
        <w:jc w:val="left"/>
        <w:rPr>
          <w:rFonts w:hint="default" w:ascii="宋体" w:hAnsi="宋体" w:cs="宋体" w:eastAsiaTheme="minorEastAsia"/>
          <w:b/>
          <w:bCs/>
          <w:sz w:val="24"/>
          <w:szCs w:val="24"/>
          <w:lang w:val="en-US" w:eastAsia="zh-CN"/>
        </w:rPr>
      </w:pPr>
      <w:r>
        <w:rPr>
          <w:rFonts w:hint="eastAsia" w:ascii="宋体" w:hAnsi="宋体" w:cs="宋体"/>
          <w:b/>
          <w:bCs/>
          <w:sz w:val="24"/>
          <w:szCs w:val="24"/>
        </w:rPr>
        <w:t>附件</w:t>
      </w:r>
      <w:r>
        <w:rPr>
          <w:rFonts w:hint="eastAsia" w:ascii="宋体" w:hAnsi="宋体" w:cs="宋体"/>
          <w:b/>
          <w:bCs/>
          <w:sz w:val="24"/>
          <w:szCs w:val="24"/>
          <w:lang w:eastAsia="zh-CN"/>
        </w:rPr>
        <w:t>：</w:t>
      </w:r>
      <w:r>
        <w:rPr>
          <w:rFonts w:hint="eastAsia" w:ascii="宋体" w:hAnsi="宋体" w:cs="宋体"/>
          <w:b/>
          <w:bCs/>
          <w:sz w:val="24"/>
          <w:szCs w:val="24"/>
          <w:lang w:val="en-US" w:eastAsia="zh-CN"/>
        </w:rPr>
        <w:t>5</w:t>
      </w:r>
    </w:p>
    <w:p>
      <w:pPr>
        <w:widowControl/>
        <w:spacing w:line="440" w:lineRule="atLeast"/>
        <w:ind w:firstLine="566"/>
        <w:jc w:val="center"/>
        <w:rPr>
          <w:rFonts w:ascii="宋体" w:hAnsi="宋体" w:cs="宋体"/>
          <w:sz w:val="24"/>
          <w:szCs w:val="24"/>
        </w:rPr>
      </w:pPr>
      <w:r>
        <w:rPr>
          <w:rFonts w:hint="eastAsia" w:ascii="宋体" w:hAnsi="宋体" w:cs="宋体"/>
          <w:sz w:val="24"/>
          <w:szCs w:val="24"/>
        </w:rPr>
        <w:t>反商业贿赂承诺书</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440" w:lineRule="atLeast"/>
        <w:ind w:firstLine="566"/>
        <w:jc w:val="left"/>
        <w:rPr>
          <w:rFonts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pPr>
        <w:widowControl/>
        <w:spacing w:line="440" w:lineRule="atLeast"/>
        <w:ind w:firstLine="566"/>
        <w:jc w:val="left"/>
        <w:rPr>
          <w:rFonts w:ascii="宋体" w:hAnsi="宋体" w:cs="宋体"/>
          <w:sz w:val="24"/>
          <w:szCs w:val="24"/>
        </w:rPr>
      </w:pPr>
      <w:r>
        <w:rPr>
          <w:rFonts w:hint="eastAsia" w:ascii="宋体" w:hAnsi="宋体" w:cs="宋体"/>
          <w:sz w:val="24"/>
          <w:szCs w:val="24"/>
        </w:rPr>
        <w:t>1、不与其他投标人相互串通投标报价，损害贵院的合法权益；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2、不与招标人串通投标，损害国家利益、社会公共利益或他人的合法权益；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3、不以向招标人或者评标委员会成员行贿的手段谋取中标；</w:t>
      </w:r>
    </w:p>
    <w:p>
      <w:pPr>
        <w:widowControl/>
        <w:spacing w:line="440" w:lineRule="atLeast"/>
        <w:ind w:firstLine="566"/>
        <w:jc w:val="left"/>
        <w:rPr>
          <w:rFonts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pPr>
        <w:widowControl/>
        <w:spacing w:line="440" w:lineRule="atLeast"/>
        <w:ind w:firstLine="566"/>
        <w:jc w:val="left"/>
        <w:rPr>
          <w:rFonts w:ascii="宋体" w:hAnsi="宋体" w:cs="宋体"/>
          <w:sz w:val="24"/>
          <w:szCs w:val="24"/>
        </w:rPr>
      </w:pPr>
      <w:r>
        <w:rPr>
          <w:rFonts w:hint="eastAsia" w:ascii="宋体" w:hAnsi="宋体" w:cs="宋体"/>
          <w:sz w:val="24"/>
          <w:szCs w:val="24"/>
        </w:rPr>
        <w:t>5、保证不以其他任何方式扰乱贵院的招标工作；</w:t>
      </w:r>
    </w:p>
    <w:p>
      <w:pPr>
        <w:widowControl/>
        <w:spacing w:line="440" w:lineRule="atLeast"/>
        <w:ind w:firstLine="566"/>
        <w:jc w:val="left"/>
        <w:rPr>
          <w:rFonts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pPr>
        <w:widowControl/>
        <w:spacing w:line="440" w:lineRule="atLeast"/>
        <w:ind w:firstLine="566"/>
        <w:jc w:val="left"/>
        <w:rPr>
          <w:rFonts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pPr>
        <w:widowControl/>
        <w:spacing w:line="440" w:lineRule="atLeast"/>
        <w:ind w:firstLine="566"/>
        <w:jc w:val="left"/>
        <w:rPr>
          <w:rFonts w:ascii="宋体" w:hAnsi="宋体" w:cs="宋体"/>
          <w:sz w:val="24"/>
          <w:szCs w:val="24"/>
        </w:rPr>
      </w:pPr>
      <w:r>
        <w:rPr>
          <w:rFonts w:hint="eastAsia" w:ascii="宋体" w:hAnsi="宋体" w:cs="宋体"/>
          <w:sz w:val="24"/>
          <w:szCs w:val="24"/>
        </w:rPr>
        <w:t>9、保证不以其他任何不正当竞争手段推销药品、医疗器械、设备、物资。</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三、本厂家、商家、公司保证竭力维护贵院的声誉，不做任何有损贵院形象的事情。</w:t>
      </w:r>
    </w:p>
    <w:p>
      <w:pPr>
        <w:widowControl/>
        <w:spacing w:line="440" w:lineRule="atLeast"/>
        <w:ind w:firstLine="566"/>
        <w:jc w:val="left"/>
        <w:rPr>
          <w:rFonts w:ascii="宋体" w:hAnsi="宋体" w:cs="宋体"/>
          <w:sz w:val="24"/>
          <w:szCs w:val="24"/>
        </w:rPr>
      </w:pPr>
      <w:r>
        <w:rPr>
          <w:rFonts w:hint="eastAsia" w:ascii="宋体" w:hAnsi="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440" w:lineRule="atLeast"/>
        <w:ind w:firstLine="566"/>
        <w:jc w:val="left"/>
        <w:rPr>
          <w:rFonts w:ascii="宋体" w:hAnsi="宋体" w:cs="宋体"/>
          <w:sz w:val="24"/>
          <w:szCs w:val="24"/>
        </w:rPr>
      </w:pPr>
      <w:r>
        <w:rPr>
          <w:rFonts w:hint="eastAsia" w:ascii="宋体" w:hAnsi="宋体" w:cs="宋体"/>
          <w:sz w:val="24"/>
          <w:szCs w:val="24"/>
        </w:rPr>
        <w:t>五、对本厂家、商家、公司及本厂家、商家、公司工作人员采取以上手段竞标、促销等，干扰贵院正常工作秩序，损害贵院形象的，本厂家、商家、公司保证：</w:t>
      </w:r>
    </w:p>
    <w:p>
      <w:pPr>
        <w:widowControl/>
        <w:spacing w:line="440" w:lineRule="atLeast"/>
        <w:ind w:firstLine="566"/>
        <w:jc w:val="left"/>
        <w:rPr>
          <w:rFonts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pPr>
        <w:widowControl/>
        <w:spacing w:line="440" w:lineRule="atLeast"/>
        <w:ind w:firstLine="566"/>
        <w:jc w:val="left"/>
        <w:rPr>
          <w:rFonts w:ascii="宋体" w:hAnsi="宋体" w:cs="宋体"/>
          <w:sz w:val="24"/>
          <w:szCs w:val="24"/>
        </w:rPr>
      </w:pPr>
      <w:r>
        <w:rPr>
          <w:rFonts w:hint="eastAsia" w:ascii="宋体" w:hAnsi="宋体" w:cs="宋体"/>
          <w:sz w:val="24"/>
          <w:szCs w:val="24"/>
        </w:rPr>
        <w:t>2、对本厂家、商家、公司相关工作人员作出严肃处理；</w:t>
      </w:r>
    </w:p>
    <w:p>
      <w:pPr>
        <w:widowControl/>
        <w:spacing w:line="440" w:lineRule="atLeast"/>
        <w:ind w:firstLine="566"/>
        <w:jc w:val="left"/>
        <w:rPr>
          <w:rFonts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pPr>
        <w:widowControl/>
        <w:spacing w:line="440" w:lineRule="atLeast"/>
        <w:ind w:firstLine="566"/>
        <w:jc w:val="left"/>
        <w:rPr>
          <w:rFonts w:ascii="宋体" w:hAnsi="宋体" w:cs="宋体"/>
          <w:sz w:val="24"/>
          <w:szCs w:val="24"/>
        </w:rPr>
      </w:pPr>
      <w:r>
        <w:rPr>
          <w:rFonts w:hint="eastAsia" w:ascii="宋体" w:hAnsi="宋体" w:cs="宋体"/>
          <w:sz w:val="24"/>
          <w:szCs w:val="24"/>
        </w:rPr>
        <w:t xml:space="preserve">六、 采购物资名称：                                   </w:t>
      </w:r>
    </w:p>
    <w:p>
      <w:pPr>
        <w:widowControl/>
        <w:spacing w:line="440" w:lineRule="atLeast"/>
        <w:ind w:firstLine="566"/>
        <w:jc w:val="left"/>
        <w:rPr>
          <w:rFonts w:ascii="宋体" w:hAnsi="宋体" w:cs="宋体"/>
          <w:sz w:val="24"/>
          <w:szCs w:val="24"/>
        </w:rPr>
      </w:pPr>
      <w:r>
        <w:rPr>
          <w:rFonts w:hint="eastAsia" w:ascii="宋体" w:hAnsi="宋体" w:cs="宋体"/>
          <w:sz w:val="24"/>
          <w:szCs w:val="24"/>
        </w:rPr>
        <w:t>本《承诺书》一式二份（一份由承诺人自存；一份随竞价书传递）</w:t>
      </w:r>
    </w:p>
    <w:p>
      <w:pPr>
        <w:widowControl/>
        <w:spacing w:line="440" w:lineRule="atLeast"/>
        <w:ind w:firstLine="566"/>
        <w:jc w:val="left"/>
        <w:rPr>
          <w:rFonts w:ascii="宋体" w:hAnsi="宋体" w:cs="宋体"/>
          <w:sz w:val="24"/>
          <w:szCs w:val="24"/>
        </w:rPr>
      </w:pPr>
    </w:p>
    <w:p>
      <w:pPr>
        <w:widowControl/>
        <w:spacing w:line="440" w:lineRule="atLeast"/>
        <w:ind w:firstLine="566"/>
        <w:jc w:val="left"/>
        <w:rPr>
          <w:rFonts w:ascii="宋体" w:hAnsi="宋体" w:cs="宋体"/>
          <w:sz w:val="24"/>
          <w:szCs w:val="24"/>
        </w:rPr>
      </w:pPr>
      <w:r>
        <w:rPr>
          <w:rFonts w:hint="eastAsia" w:ascii="宋体" w:hAnsi="宋体" w:cs="宋体"/>
          <w:sz w:val="24"/>
          <w:szCs w:val="24"/>
        </w:rPr>
        <w:t xml:space="preserve">承诺企业名称（公章）                  </w:t>
      </w:r>
    </w:p>
    <w:p>
      <w:pPr>
        <w:widowControl/>
        <w:spacing w:line="440" w:lineRule="atLeast"/>
        <w:ind w:firstLine="566"/>
        <w:jc w:val="left"/>
        <w:rPr>
          <w:rFonts w:hint="eastAsia" w:ascii="仿宋_GB2312" w:hAnsi="仿宋_GB2312" w:eastAsia="仿宋_GB2312" w:cs="仿宋_GB2312"/>
          <w:b/>
          <w:bCs/>
          <w:i w:val="0"/>
          <w:color w:val="555555"/>
          <w:spacing w:val="0"/>
          <w:sz w:val="36"/>
          <w:szCs w:val="36"/>
          <w:shd w:val="clear" w:color="auto" w:fill="FFFFFF"/>
          <w:lang w:val="en-US" w:eastAsia="zh-CN"/>
        </w:rPr>
      </w:pPr>
      <w:r>
        <w:rPr>
          <w:rFonts w:hint="eastAsia" w:ascii="宋体" w:hAnsi="宋体" w:cs="宋体"/>
          <w:sz w:val="24"/>
          <w:szCs w:val="24"/>
        </w:rPr>
        <w:t>法人代表或委托代理人（承诺人）</w:t>
      </w:r>
    </w:p>
    <w:p>
      <w:pPr>
        <w:keepNext w:val="0"/>
        <w:keepLines w:val="0"/>
        <w:pageBreakBefore w:val="0"/>
        <w:widowControl w:val="0"/>
        <w:kinsoku/>
        <w:wordWrap/>
        <w:overflowPunct/>
        <w:topLinePunct w:val="0"/>
        <w:autoSpaceDE/>
        <w:autoSpaceDN/>
        <w:bidi w:val="0"/>
        <w:adjustRightInd/>
        <w:snapToGrid/>
        <w:ind w:firstLine="420" w:firstLineChars="200"/>
      </w:pPr>
    </w:p>
    <w:p>
      <w:pPr>
        <w:keepNext w:val="0"/>
        <w:keepLines w:val="0"/>
        <w:pageBreakBefore w:val="0"/>
        <w:widowControl w:val="0"/>
        <w:numPr>
          <w:ilvl w:val="0"/>
          <w:numId w:val="0"/>
        </w:numPr>
        <w:kinsoku/>
        <w:wordWrap/>
        <w:overflowPunct/>
        <w:topLinePunct w:val="0"/>
        <w:autoSpaceDE/>
        <w:autoSpaceDN/>
        <w:bidi w:val="0"/>
        <w:adjustRightInd/>
        <w:snapToGrid/>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hAnsi="仿宋_GB2312" w:eastAsia="仿宋_GB2312" w:cs="仿宋_GB2312"/>
          <w:sz w:val="32"/>
          <w:szCs w:val="32"/>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418971"/>
    <w:multiLevelType w:val="singleLevel"/>
    <w:tmpl w:val="BE418971"/>
    <w:lvl w:ilvl="0" w:tentative="0">
      <w:start w:val="1"/>
      <w:numFmt w:val="decimal"/>
      <w:lvlText w:val="%1."/>
      <w:lvlJc w:val="left"/>
      <w:pPr>
        <w:ind w:left="425" w:hanging="425"/>
      </w:pPr>
      <w:rPr>
        <w:rFonts w:hint="default"/>
      </w:rPr>
    </w:lvl>
  </w:abstractNum>
  <w:abstractNum w:abstractNumId="1">
    <w:nsid w:val="3796F44F"/>
    <w:multiLevelType w:val="singleLevel"/>
    <w:tmpl w:val="3796F44F"/>
    <w:lvl w:ilvl="0" w:tentative="0">
      <w:start w:val="2"/>
      <w:numFmt w:val="chineseCounting"/>
      <w:suff w:val="nothing"/>
      <w:lvlText w:val="%1、"/>
      <w:lvlJc w:val="left"/>
      <w:rPr>
        <w:rFonts w:hint="eastAsia"/>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D2659"/>
    <w:rsid w:val="08C542BB"/>
    <w:rsid w:val="0C9269C4"/>
    <w:rsid w:val="184D2D7B"/>
    <w:rsid w:val="19E94D97"/>
    <w:rsid w:val="1CEB0C0B"/>
    <w:rsid w:val="1E311829"/>
    <w:rsid w:val="1F6C44DA"/>
    <w:rsid w:val="333042BF"/>
    <w:rsid w:val="3AC70E23"/>
    <w:rsid w:val="3C8709FB"/>
    <w:rsid w:val="42362F22"/>
    <w:rsid w:val="49482FB3"/>
    <w:rsid w:val="4A4A18E9"/>
    <w:rsid w:val="4C375FF1"/>
    <w:rsid w:val="529A69FA"/>
    <w:rsid w:val="52D07CC0"/>
    <w:rsid w:val="596B275D"/>
    <w:rsid w:val="5A4F3D67"/>
    <w:rsid w:val="5B2B7AAF"/>
    <w:rsid w:val="5D8F70B5"/>
    <w:rsid w:val="5DBC6BBF"/>
    <w:rsid w:val="621F4697"/>
    <w:rsid w:val="654B39E7"/>
    <w:rsid w:val="70065B16"/>
    <w:rsid w:val="75DC3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9" w:semiHidden="0" w:name="heading 2"/>
    <w:lsdException w:uiPriority="99" w:name="heading 3"/>
    <w:lsdException w:qFormat="1" w:uiPriority="0"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2025-07-31T00:16:00Z</dcterms:created>
  <dc:creator>hasee</dc:creator>
  <cp:lastModifiedBy>鱼</cp:lastModifiedBy>
  <dcterms:modified xsi:type="dcterms:W3CDTF">2025-08-04T00:48:31Z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