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附件1：采购要求</w:t>
      </w:r>
    </w:p>
    <w:p>
      <w:pPr>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 xml:space="preserve"> 一、项目慨况</w:t>
      </w:r>
    </w:p>
    <w:p>
      <w:pPr>
        <w:ind w:firstLine="560" w:firstLineChars="200"/>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1、目前，职工人数约1550人。</w:t>
      </w:r>
    </w:p>
    <w:p>
      <w:pPr>
        <w:pStyle w:val="8"/>
        <w:snapToGrid w:val="0"/>
        <w:spacing w:line="300" w:lineRule="auto"/>
        <w:ind w:firstLine="280" w:firstLineChars="100"/>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二、项目要求：</w:t>
      </w:r>
    </w:p>
    <w:p>
      <w:pPr>
        <w:pStyle w:val="8"/>
        <w:snapToGrid w:val="0"/>
        <w:spacing w:line="300" w:lineRule="auto"/>
        <w:ind w:firstLine="560" w:firstLineChars="200"/>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★1、供应商须提供符合工商及食品监督管理部门要求的相关资质，并在服务期内保证上述证件的有效性。</w:t>
      </w:r>
    </w:p>
    <w:p>
      <w:pPr>
        <w:pStyle w:val="8"/>
        <w:snapToGrid w:val="0"/>
        <w:spacing w:line="300" w:lineRule="auto"/>
        <w:ind w:firstLine="560" w:firstLineChars="200"/>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★2、供应商应为医院职工提供优质的服务。若发生职工投诉供应商服务态度、商品质量有问题或发生违反合同、或与投标文件不符的事情，一经查实，医院将采取相应的处罚措施或解除合同。</w:t>
      </w:r>
    </w:p>
    <w:p>
      <w:pPr>
        <w:pStyle w:val="8"/>
        <w:snapToGrid w:val="0"/>
        <w:spacing w:line="300" w:lineRule="auto"/>
        <w:ind w:firstLine="560" w:firstLineChars="200"/>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★3、供应商应严格遵守食品安全、消防管理等相关法律法规并接受食品卫生、消防等主管部门的监督和指导，并自行承担相应责任，如发生相关行政处罚，医院将采取相应的处罚措施或解除合同。</w:t>
      </w:r>
    </w:p>
    <w:p>
      <w:pPr>
        <w:pStyle w:val="8"/>
        <w:snapToGrid w:val="0"/>
        <w:spacing w:line="300" w:lineRule="auto"/>
        <w:ind w:firstLine="560" w:firstLineChars="200"/>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4、供应商自主经营，独立核算，自负盈亏，发生的债权、债务与医院无关，均由供应商负责。</w:t>
      </w:r>
    </w:p>
    <w:p>
      <w:pPr>
        <w:pStyle w:val="8"/>
        <w:snapToGrid w:val="0"/>
        <w:spacing w:line="300" w:lineRule="auto"/>
        <w:ind w:firstLine="560" w:firstLineChars="200"/>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5、经营范围：农副产品、预包装食品兼散装食品、乳制品等，不能经营未经国家许可的医疗器械、药品、消毒剂等相关医疗用品和国家及有关部门规定的禁营物品；以及不得向医院职工销售“政府采购目录范围内的商品”（具体商品种类中标后需与医院确认）。</w:t>
      </w:r>
    </w:p>
    <w:p>
      <w:pPr>
        <w:pStyle w:val="8"/>
        <w:snapToGrid w:val="0"/>
        <w:spacing w:line="300" w:lineRule="auto"/>
        <w:ind w:firstLine="560" w:firstLineChars="200"/>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 xml:space="preserve">6、超市各类食品应在固定购货点采购（供应商须向医院交齐购货点的各种证件、资料）。采购食品不得超过保质期，定型包装食品应有厂名、品名、厂地、生产日期、保质期，进口食品要有中文标识。  </w:t>
      </w:r>
    </w:p>
    <w:p>
      <w:pPr>
        <w:pStyle w:val="8"/>
        <w:snapToGrid w:val="0"/>
        <w:spacing w:line="300" w:lineRule="auto"/>
        <w:ind w:firstLine="560" w:firstLineChars="200"/>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 xml:space="preserve">7、积极做好预防和控制疫情、食品安全事件，一旦发生食品安全事件，及时向采购人和卫生检疫机构报告，保留现场，封存可疑食品。  </w:t>
      </w:r>
    </w:p>
    <w:p>
      <w:pPr>
        <w:pStyle w:val="8"/>
        <w:snapToGrid w:val="0"/>
        <w:spacing w:line="300" w:lineRule="auto"/>
        <w:ind w:firstLine="560" w:firstLineChars="200"/>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★8、每月初与医院工作人员核对清楚上个月职工刷卡消费金额后，出具符合财务相关规范要求的正规发票，医院完善报销手续后支付。</w:t>
      </w:r>
    </w:p>
    <w:p>
      <w:pPr>
        <w:pStyle w:val="8"/>
        <w:snapToGrid w:val="0"/>
        <w:spacing w:line="300" w:lineRule="auto"/>
        <w:ind w:firstLine="560" w:firstLineChars="200"/>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★9、供应商中标后需购买食品安全责任险（赔付金额不低于100万元），需提供承诺函。</w:t>
      </w:r>
    </w:p>
    <w:p>
      <w:pPr>
        <w:pStyle w:val="8"/>
        <w:snapToGrid w:val="0"/>
        <w:spacing w:line="300" w:lineRule="auto"/>
        <w:ind w:firstLine="560" w:firstLineChars="200"/>
        <w:rPr>
          <w:rFonts w:hint="default"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w:t>
      </w:r>
      <w:r>
        <w:rPr>
          <w:rFonts w:hint="eastAsia" w:ascii="仿宋_GB2312" w:hAnsi="仿宋_GB2312" w:cs="仿宋_GB2312"/>
          <w:i w:val="0"/>
          <w:iCs w:val="0"/>
          <w:caps w:val="0"/>
          <w:color w:val="auto"/>
          <w:spacing w:val="0"/>
          <w:kern w:val="0"/>
          <w:sz w:val="28"/>
          <w:szCs w:val="28"/>
          <w:shd w:val="clear" w:fill="FFFFFF"/>
          <w:lang w:val="en-US" w:eastAsia="zh-CN" w:bidi="ar"/>
        </w:rPr>
        <w:t>10</w:t>
      </w: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供应商中标后需</w:t>
      </w:r>
      <w:r>
        <w:rPr>
          <w:rFonts w:hint="eastAsia" w:ascii="仿宋_GB2312" w:hAnsi="仿宋_GB2312" w:cs="仿宋_GB2312"/>
          <w:i w:val="0"/>
          <w:iCs w:val="0"/>
          <w:caps w:val="0"/>
          <w:color w:val="auto"/>
          <w:spacing w:val="0"/>
          <w:kern w:val="0"/>
          <w:sz w:val="28"/>
          <w:szCs w:val="28"/>
          <w:shd w:val="clear" w:fill="FFFFFF"/>
          <w:lang w:val="en-US" w:eastAsia="zh-CN" w:bidi="ar"/>
        </w:rPr>
        <w:t>免费向医院提供每年不低于价值2万元的物资，用于医院各项大型会议及活动。</w:t>
      </w:r>
    </w:p>
    <w:p>
      <w:pPr>
        <w:pStyle w:val="8"/>
        <w:snapToGrid w:val="0"/>
        <w:spacing w:line="300" w:lineRule="auto"/>
        <w:ind w:firstLine="560" w:firstLineChars="200"/>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三、其它要求：</w:t>
      </w:r>
    </w:p>
    <w:p>
      <w:pPr>
        <w:pStyle w:val="8"/>
        <w:snapToGrid w:val="0"/>
        <w:spacing w:line="300" w:lineRule="auto"/>
        <w:ind w:firstLine="560" w:firstLineChars="200"/>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 xml:space="preserve">1、供应商必须严格履行合同，不得随意终止合同，停止经营。否则，采购人原则上不退还履约保证金，由此造成的一切法律责任和经济损失由供应商承担。  </w:t>
      </w:r>
    </w:p>
    <w:p>
      <w:pPr>
        <w:pStyle w:val="8"/>
        <w:snapToGrid w:val="0"/>
        <w:spacing w:line="300" w:lineRule="auto"/>
        <w:ind w:firstLine="560" w:firstLineChars="200"/>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2、服务期间供应商不得私自委托第三方提供服务，否则采购人有权提前终止合同，并扣除其履约保证金。</w:t>
      </w:r>
    </w:p>
    <w:p>
      <w:pPr>
        <w:pStyle w:val="8"/>
        <w:snapToGrid w:val="0"/>
        <w:spacing w:line="300" w:lineRule="auto"/>
        <w:ind w:firstLine="560" w:firstLineChars="200"/>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3、如遇国家政策变化或自然灾害等不可抗拒因素，采购人有权无条件终止合同，退还保证金。</w:t>
      </w:r>
    </w:p>
    <w:p>
      <w:pPr>
        <w:pStyle w:val="8"/>
        <w:snapToGrid w:val="0"/>
        <w:spacing w:line="300" w:lineRule="auto"/>
        <w:ind w:firstLine="560" w:firstLineChars="200"/>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四：综合评标办法及细则</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15" w:type="dxa"/>
          <w:left w:w="15" w:type="dxa"/>
          <w:bottom w:w="15" w:type="dxa"/>
          <w:right w:w="15" w:type="dxa"/>
        </w:tblCellMar>
      </w:tblPr>
      <w:tblGrid>
        <w:gridCol w:w="1505"/>
        <w:gridCol w:w="1710"/>
        <w:gridCol w:w="1590"/>
        <w:gridCol w:w="4635"/>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15" w:type="dxa"/>
            <w:bottom w:w="15" w:type="dxa"/>
            <w:right w:w="15" w:type="dxa"/>
          </w:tblCellMar>
        </w:tblPrEx>
        <w:trPr>
          <w:trHeight w:val="602" w:hRule="atLeast"/>
          <w:jc w:val="center"/>
        </w:trPr>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评分因素</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评审项目</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分值</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评分标准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15" w:type="dxa"/>
            <w:bottom w:w="15" w:type="dxa"/>
            <w:right w:w="15" w:type="dxa"/>
          </w:tblCellMar>
        </w:tblPrEx>
        <w:trPr>
          <w:trHeight w:val="90" w:hRule="atLeast"/>
          <w:jc w:val="center"/>
        </w:trPr>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价格评分</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(10分)</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报价（折扣率）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150"/>
              <w:outlineLvl w:val="5"/>
              <w:rPr>
                <w:rFonts w:hint="default"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10</w:t>
            </w:r>
          </w:p>
        </w:tc>
        <w:tc>
          <w:tcPr>
            <w:tcW w:w="463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以经评审的有效最高折扣率为评标基准价，评标基准价得满分；其余报价人的报价得分按“投标报价得分=（评标基准价/投标报价）×10”计算。</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15" w:type="dxa"/>
            <w:bottom w:w="15" w:type="dxa"/>
            <w:right w:w="15" w:type="dxa"/>
          </w:tblCellMar>
        </w:tblPrEx>
        <w:trPr>
          <w:cantSplit/>
          <w:trHeight w:val="640" w:hRule="atLeast"/>
          <w:jc w:val="center"/>
        </w:trPr>
        <w:tc>
          <w:tcPr>
            <w:tcW w:w="1505" w:type="dxa"/>
            <w:vMerge w:val="restart"/>
            <w:tcBorders>
              <w:left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商务评分</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(36分)</w:t>
            </w:r>
          </w:p>
        </w:tc>
        <w:tc>
          <w:tcPr>
            <w:tcW w:w="1710" w:type="dxa"/>
            <w:tcBorders>
              <w:top w:val="single" w:color="000000" w:sz="4" w:space="0"/>
              <w:left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业绩情况</w:t>
            </w:r>
          </w:p>
        </w:tc>
        <w:tc>
          <w:tcPr>
            <w:tcW w:w="1590" w:type="dxa"/>
            <w:tcBorders>
              <w:top w:val="single" w:color="000000" w:sz="4" w:space="0"/>
              <w:left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15</w:t>
            </w:r>
          </w:p>
        </w:tc>
        <w:tc>
          <w:tcPr>
            <w:tcW w:w="463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超市品牌：连锁超市得3分，单店得1</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分；</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供应商有独立配送仓库300㎡及以上得5</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分，300㎡以下得2分；</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3、物流配送车（2辆及以上）得4分，没有或没达到要求的不得分；提供相关证明材料（租赁合同，车辆行驶证）；</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4、提供近2022至今年超市服务合同（累计</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份数）对比打分：</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（1）累计份数第一名的得3分；</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（2）累计份数第二名的得2分；</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（3）累计份数第三名的得1分；</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其余不得分。此项最高得3分，同一合同不重复计分。提供合同复印件及付款凭证，原件备查。</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15" w:type="dxa"/>
            <w:bottom w:w="15" w:type="dxa"/>
            <w:right w:w="15" w:type="dxa"/>
          </w:tblCellMar>
        </w:tblPrEx>
        <w:trPr>
          <w:cantSplit/>
          <w:trHeight w:val="1575" w:hRule="atLeast"/>
          <w:jc w:val="center"/>
        </w:trPr>
        <w:tc>
          <w:tcPr>
            <w:tcW w:w="1505" w:type="dxa"/>
            <w:vMerge w:val="continue"/>
            <w:tcBorders>
              <w:left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710" w:type="dxa"/>
            <w:tcBorders>
              <w:top w:val="single" w:color="000000" w:sz="4" w:space="0"/>
              <w:left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超市面积及经营种类</w:t>
            </w:r>
          </w:p>
        </w:tc>
        <w:tc>
          <w:tcPr>
            <w:tcW w:w="1590" w:type="dxa"/>
            <w:tcBorders>
              <w:top w:val="single" w:color="000000" w:sz="4" w:space="0"/>
              <w:left w:val="single" w:color="000000" w:sz="4" w:space="0"/>
              <w:right w:val="single" w:color="000000" w:sz="4" w:space="0"/>
            </w:tcBorders>
            <w:noWrap w:val="0"/>
            <w:vAlign w:val="center"/>
          </w:tcPr>
          <w:p>
            <w:pPr>
              <w:spacing w:line="360" w:lineRule="auto"/>
              <w:ind w:firstLine="420" w:firstLineChars="150"/>
              <w:outlineLvl w:val="5"/>
              <w:rPr>
                <w:rFonts w:hint="default"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16</w:t>
            </w:r>
          </w:p>
        </w:tc>
        <w:tc>
          <w:tcPr>
            <w:tcW w:w="4635" w:type="dxa"/>
            <w:tcBorders>
              <w:top w:val="single" w:color="000000" w:sz="4" w:space="0"/>
              <w:left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超市营业面积超过5000平方米的得8分，5000-1000平方米的得5分，低于1000平方米的得2分（提供相关证明材料）；</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2、经营种类和品种数量排第一名得8分，第二名得5分，第三名得2分（提供目录）。</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15" w:type="dxa"/>
            <w:bottom w:w="15" w:type="dxa"/>
            <w:right w:w="15" w:type="dxa"/>
          </w:tblCellMar>
        </w:tblPrEx>
        <w:trPr>
          <w:cantSplit/>
          <w:trHeight w:val="965" w:hRule="atLeast"/>
          <w:jc w:val="center"/>
        </w:trPr>
        <w:tc>
          <w:tcPr>
            <w:tcW w:w="1505" w:type="dxa"/>
            <w:vMerge w:val="continue"/>
            <w:tcBorders>
              <w:left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710" w:type="dxa"/>
            <w:tcBorders>
              <w:top w:val="single" w:color="000000" w:sz="4" w:space="0"/>
              <w:left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超市便利性</w:t>
            </w:r>
          </w:p>
        </w:tc>
        <w:tc>
          <w:tcPr>
            <w:tcW w:w="1590" w:type="dxa"/>
            <w:tcBorders>
              <w:top w:val="single" w:color="000000" w:sz="4" w:space="0"/>
              <w:left w:val="single" w:color="000000" w:sz="4" w:space="0"/>
              <w:right w:val="single" w:color="000000" w:sz="4" w:space="0"/>
            </w:tcBorders>
            <w:noWrap w:val="0"/>
            <w:vAlign w:val="center"/>
          </w:tcPr>
          <w:p>
            <w:pPr>
              <w:spacing w:line="360" w:lineRule="auto"/>
              <w:ind w:firstLine="420" w:firstLineChars="150"/>
              <w:outlineLvl w:val="5"/>
              <w:rPr>
                <w:rFonts w:hint="default"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5</w:t>
            </w:r>
          </w:p>
        </w:tc>
        <w:tc>
          <w:tcPr>
            <w:tcW w:w="4635" w:type="dxa"/>
            <w:tcBorders>
              <w:top w:val="single" w:color="000000" w:sz="4" w:space="0"/>
              <w:left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根据超市距离医院晋阳院区的远近，距离最近的得5分，距离第二近得3分，距离第三近得1分。（提供相关资料）</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15" w:type="dxa"/>
            <w:bottom w:w="15" w:type="dxa"/>
            <w:right w:w="15" w:type="dxa"/>
          </w:tblCellMar>
        </w:tblPrEx>
        <w:trPr>
          <w:cantSplit/>
          <w:trHeight w:val="570" w:hRule="atLeast"/>
          <w:jc w:val="center"/>
        </w:trPr>
        <w:tc>
          <w:tcPr>
            <w:tcW w:w="1505" w:type="dxa"/>
            <w:vMerge w:val="restart"/>
            <w:tcBorders>
              <w:top w:val="single" w:color="000000" w:sz="4" w:space="0"/>
              <w:left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技术评分</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(53分)</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服务方案</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150"/>
              <w:outlineLvl w:val="5"/>
              <w:rPr>
                <w:rFonts w:hint="default"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23</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根据供应商提供的针对院内工作人员的服务方案进行综合打分，响应时间、配送措施等进行综合评价，第一名得7分，第二名得4分，第三名得2分；（提供服务方案，未提供不得分）</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根据供应商营业时间长短进行评分，第一名得7分，第二名得4分，第三名得2分。</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根据供应商提供免费停车时间长短进行评分，第一名得6分，第二名得4分，第三名得2分</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网上配送。支持接入医院相关场景，并可提供送货上门服务。①门店接入：通过医院相关平台接入，支持员工使用餐补余额进行线下扫码支付或线上下单选购商品并支付，对于线上订单，需有专职管理人员核对处理订单并安排配送商品至院方指定地点，得1分。</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②接口对接：可在医院相关场景内嵌入供应商线上下单应用程序，支持职工使用餐补支付，选购商品配送至用户下单地址，得2分。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15" w:type="dxa"/>
            <w:bottom w:w="15" w:type="dxa"/>
            <w:right w:w="15" w:type="dxa"/>
          </w:tblCellMar>
        </w:tblPrEx>
        <w:trPr>
          <w:cantSplit/>
          <w:trHeight w:val="780" w:hRule="atLeast"/>
          <w:jc w:val="center"/>
        </w:trPr>
        <w:tc>
          <w:tcPr>
            <w:tcW w:w="1505" w:type="dxa"/>
            <w:vMerge w:val="continue"/>
            <w:tcBorders>
              <w:left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人员配备和安全卫生</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10</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提供团队管理机构图，内部管理职责分工，人员配置情况等；配备有经验、高水平的店铺负责人；具有规范的安全管理制度和有效的安全防范措施；具有完善的食品安全管理追溯体系和完整的卫生规范等。第一名得10分，第二名得7分，第三名得4分。其他名次不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15" w:type="dxa"/>
            <w:bottom w:w="15" w:type="dxa"/>
            <w:right w:w="15" w:type="dxa"/>
          </w:tblCellMar>
        </w:tblPrEx>
        <w:trPr>
          <w:cantSplit/>
          <w:trHeight w:val="842" w:hRule="atLeast"/>
          <w:jc w:val="center"/>
        </w:trPr>
        <w:tc>
          <w:tcPr>
            <w:tcW w:w="1505" w:type="dxa"/>
            <w:vMerge w:val="continue"/>
            <w:tcBorders>
              <w:left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710" w:type="dxa"/>
            <w:tcBorders>
              <w:top w:val="single" w:color="000000" w:sz="4" w:space="0"/>
              <w:left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应急事件的处理预案</w:t>
            </w:r>
          </w:p>
        </w:tc>
        <w:tc>
          <w:tcPr>
            <w:tcW w:w="1590" w:type="dxa"/>
            <w:tcBorders>
              <w:top w:val="single" w:color="000000" w:sz="4" w:space="0"/>
              <w:left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10</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对投标人提供的针对该项目的应急预案（食品安全、消防）进行综合评比：优的得10分，良的得5分，一般的得2分，差的不得分。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15" w:type="dxa"/>
            <w:bottom w:w="15" w:type="dxa"/>
            <w:right w:w="15" w:type="dxa"/>
          </w:tblCellMar>
        </w:tblPrEx>
        <w:trPr>
          <w:cantSplit/>
          <w:trHeight w:val="855" w:hRule="atLeast"/>
          <w:jc w:val="center"/>
        </w:trPr>
        <w:tc>
          <w:tcPr>
            <w:tcW w:w="1505" w:type="dxa"/>
            <w:vMerge w:val="continue"/>
            <w:tcBorders>
              <w:left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710" w:type="dxa"/>
            <w:tcBorders>
              <w:top w:val="single" w:color="000000" w:sz="4" w:space="0"/>
              <w:left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中毒及无停业整顿情况</w:t>
            </w:r>
          </w:p>
        </w:tc>
        <w:tc>
          <w:tcPr>
            <w:tcW w:w="1590" w:type="dxa"/>
            <w:tcBorders>
              <w:top w:val="single" w:color="000000" w:sz="4" w:space="0"/>
              <w:left w:val="single" w:color="000000" w:sz="4" w:space="0"/>
              <w:right w:val="single" w:color="000000" w:sz="4" w:space="0"/>
            </w:tcBorders>
            <w:noWrap w:val="0"/>
            <w:vAlign w:val="center"/>
          </w:tcPr>
          <w:p>
            <w:pPr>
              <w:spacing w:line="360" w:lineRule="auto"/>
              <w:ind w:firstLine="420" w:firstLineChars="150"/>
              <w:outlineLvl w:val="5"/>
              <w:rPr>
                <w:rFonts w:hint="default"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10</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2014年至今无重大食品安全事故和停业整顿不良记录得10分，否则不得分。（提供承诺函）</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15" w:type="dxa"/>
            <w:bottom w:w="15" w:type="dxa"/>
            <w:right w:w="15" w:type="dxa"/>
          </w:tblCellMar>
        </w:tblPrEx>
        <w:trPr>
          <w:trHeight w:val="785" w:hRule="atLeast"/>
          <w:jc w:val="center"/>
        </w:trPr>
        <w:tc>
          <w:tcPr>
            <w:tcW w:w="3215" w:type="dxa"/>
            <w:gridSpan w:val="2"/>
            <w:tcBorders>
              <w:left w:val="single" w:color="000000" w:sz="4" w:space="0"/>
              <w:bottom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投标文件规范性（1分）</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150"/>
              <w:outlineLvl w:val="5"/>
              <w:rPr>
                <w:rFonts w:hint="default"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1</w:t>
            </w:r>
          </w:p>
        </w:tc>
        <w:tc>
          <w:tcPr>
            <w:tcW w:w="46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投标文件制作规范，得1分，有一项细微偏差扣1分，直到该项分值扣完为止。</w:t>
            </w:r>
          </w:p>
        </w:tc>
      </w:tr>
    </w:tbl>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p>
      <w:pPr>
        <w:spacing w:line="360" w:lineRule="auto"/>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附件2 主要表格格式</w:t>
      </w:r>
    </w:p>
    <w:p>
      <w:pPr>
        <w:spacing w:line="360" w:lineRule="auto"/>
        <w:ind w:firstLine="420" w:firstLineChars="150"/>
        <w:jc w:val="center"/>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法定代表人授权书</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四川省妇幼保健院：</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本授权声明：XXX（单位名称）,XXX（法定代表人姓名、职务）授权XXX                   （被授权人姓名、职务）为我方参加XXX项目（采购编号：XXX）采购活动的合法代表，以我方名义全权处理该项目有关磋商、报价、签订合同以及执行合同等一切事宜。</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特此声明。</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法定代表人签字或盖法定代表人名章：</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授权代表人（签字）：</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供应商名称：         （盖单位公章）</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日    期：</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注：（1）法定代表人不参与磋商而委托代理人磋商适用。</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 xml:space="preserve"> （2）附法定代表人、授权代表身份证复印件（提供其在有效期的材料，居民身份证正、反面复印件）加盖供应商公章。</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p>
      <w:pPr>
        <w:spacing w:line="360" w:lineRule="auto"/>
        <w:ind w:firstLine="420" w:firstLineChars="150"/>
        <w:jc w:val="center"/>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××××项目</w:t>
      </w:r>
    </w:p>
    <w:p>
      <w:pPr>
        <w:spacing w:line="360" w:lineRule="auto"/>
        <w:ind w:firstLine="420" w:firstLineChars="150"/>
        <w:jc w:val="center"/>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报价一览表</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1938"/>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1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供应商名称</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5"/>
              <w:rPr>
                <w:rFonts w:hint="default"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员工折扣率</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1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28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1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28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r>
    </w:tbl>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注：1.报价指的是医院职工在现场购买商品的直接折扣率。</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2.“报价一览表”为一页的，需由法定代表人或授权代表签字并盖投标人印章。</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3.“报价一览表”需单独密封。</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 xml:space="preserve">供应商名称（盖章）：        </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 xml:space="preserve">法定代表人或授权代表（签字）：      联系方式：        </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日期：</w:t>
      </w:r>
    </w:p>
    <w:p>
      <w:pPr>
        <w:spacing w:line="360" w:lineRule="auto"/>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p>
      <w:pPr>
        <w:spacing w:line="360" w:lineRule="auto"/>
        <w:ind w:firstLine="420" w:firstLineChars="150"/>
        <w:jc w:val="center"/>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项目业绩表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437"/>
        <w:gridCol w:w="1310"/>
        <w:gridCol w:w="195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6" w:type="dxa"/>
            <w:vMerge w:val="restart"/>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省外省级以上单位用户</w:t>
            </w:r>
          </w:p>
        </w:tc>
        <w:tc>
          <w:tcPr>
            <w:tcW w:w="1437" w:type="dxa"/>
            <w:noWrap w:val="0"/>
            <w:vAlign w:val="top"/>
          </w:tcPr>
          <w:p>
            <w:pPr>
              <w:spacing w:line="360" w:lineRule="auto"/>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用户名称</w:t>
            </w:r>
          </w:p>
        </w:tc>
        <w:tc>
          <w:tcPr>
            <w:tcW w:w="1310" w:type="dxa"/>
            <w:noWrap w:val="0"/>
            <w:vAlign w:val="top"/>
          </w:tcPr>
          <w:p>
            <w:pPr>
              <w:spacing w:line="360" w:lineRule="auto"/>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数量</w:t>
            </w:r>
          </w:p>
        </w:tc>
        <w:tc>
          <w:tcPr>
            <w:tcW w:w="1957" w:type="dxa"/>
            <w:noWrap w:val="0"/>
            <w:vAlign w:val="top"/>
          </w:tcPr>
          <w:p>
            <w:pPr>
              <w:spacing w:line="360" w:lineRule="auto"/>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合同签订日期</w:t>
            </w:r>
          </w:p>
        </w:tc>
        <w:tc>
          <w:tcPr>
            <w:tcW w:w="1260"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6" w:type="dxa"/>
            <w:vMerge w:val="continue"/>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437"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310"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957"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260"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6" w:type="dxa"/>
            <w:vMerge w:val="continue"/>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437"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310"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957"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260"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6" w:type="dxa"/>
            <w:vMerge w:val="continue"/>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437"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310"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957"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260"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56" w:type="dxa"/>
            <w:vMerge w:val="continue"/>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437"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310"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957"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260"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056" w:type="dxa"/>
            <w:vMerge w:val="restart"/>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省内省级单位用户</w:t>
            </w:r>
          </w:p>
        </w:tc>
        <w:tc>
          <w:tcPr>
            <w:tcW w:w="1437"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310"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957"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260"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056" w:type="dxa"/>
            <w:vMerge w:val="continue"/>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437"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310"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957"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260"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056" w:type="dxa"/>
            <w:vMerge w:val="continue"/>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437"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310"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957"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260"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56" w:type="dxa"/>
            <w:vMerge w:val="continue"/>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437"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310"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957"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260"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56" w:type="dxa"/>
            <w:vMerge w:val="restart"/>
            <w:noWrap w:val="0"/>
            <w:vAlign w:val="center"/>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省内其他用户</w:t>
            </w:r>
          </w:p>
        </w:tc>
        <w:tc>
          <w:tcPr>
            <w:tcW w:w="1437"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310"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957"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260"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56" w:type="dxa"/>
            <w:vMerge w:val="continue"/>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437"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310"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957"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260"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56" w:type="dxa"/>
            <w:vMerge w:val="continue"/>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437"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310"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957"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260"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56" w:type="dxa"/>
            <w:vMerge w:val="continue"/>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437"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310"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957"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c>
          <w:tcPr>
            <w:tcW w:w="1260" w:type="dxa"/>
            <w:noWrap w:val="0"/>
            <w:vAlign w:val="top"/>
          </w:tcPr>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tc>
      </w:tr>
    </w:tbl>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说明：1、表中项目为近一年销售业绩，用户仍在合作；2、只填写与本次市场调研项目一致。</w:t>
      </w:r>
    </w:p>
    <w:p>
      <w:pPr>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br w:type="page"/>
      </w:r>
    </w:p>
    <w:p>
      <w:pPr>
        <w:spacing w:line="360" w:lineRule="auto"/>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附件3 采购投标文件装订顺序</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采购文件书装订顺序</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1、封面（公司、项目、联系人、联系方式）；</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2、目录；</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3、报价一览表；</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4、企业营业执照（复印件）；</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5、供应商资质；</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6、禁止围标、串标情况承诺函；</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7、法定代表人授权书、暨经办人授权书，法人、经办人身份证（复印件）；</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8、如有企业管理体系认证（考核），请提供的有效证明文件的复印或扫描件，质量管理体系认证包括FDA、CE、ISO等认证（提供中文翻译复印件）</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9、供应商需提供中标后购买食品安全责任险（赔付金额不低于100万元）的承诺函；</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10、售后服务承诺书</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11、业绩证明文件（近一年用户名单及联系人与联系方式及合同复印件或近三个月内送货复印件，格式见附件2）。</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12、封底</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注：请务必按以上顺序装订资料，如有非中文资料，请同时提供中文翻译件。</w:t>
      </w:r>
    </w:p>
    <w:p>
      <w:pPr>
        <w:spacing w:line="360" w:lineRule="auto"/>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p>
      <w:pPr>
        <w:spacing w:line="360" w:lineRule="auto"/>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附件4 反商业贿赂承诺书</w:t>
      </w:r>
    </w:p>
    <w:p>
      <w:pPr>
        <w:spacing w:line="360" w:lineRule="auto"/>
        <w:ind w:firstLine="420" w:firstLineChars="150"/>
        <w:jc w:val="center"/>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反商业贿赂承诺书</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二、本厂家、商家、公司保证在药品、医疗器械、设备、物资、基建工程竞标工作及药品、试剂销售等工作中承诺做到：</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1、不与其他投标人相互串通投标报价，损害贵院的合法权益；</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2、不与招标人串通投标，损害国家利益、社会公共利益或他人的合法权益；</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3、不以向招标人或者评标委员会成员行贿的手段谋取中标；</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4、竞标报价不违反相关法律的规定，也不以他人名义投标或者以其他方式弄虚作假，骗取中标；</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5、保证不以其他任何方式扰乱贵院的招标工作；</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6、保证不在药品销售、医疗器械、设备、物资、基建工程竞标中采取账外暗中给予回扣的手段腐蚀、贿赂医护、药剂人员、干部等其他相关人员；</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7、保证不以任何名义包括以宣传费、临床促销费、开单费、处方费、广告费、免费度假、考察旅游、房屋装修等任何名义给予贵院采购人员、药剂人员、医护人员、干部等有关人员以财物或者其他利益；</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8、保证不让贵院临床科室、药剂部门以及有关人员登记、统计医生处方或为此提供方便，干扰贵院的正常工作秩序；</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9、保证不以其他任何不正当竞争手段推销药品、医疗器械、设备、物资。</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三、 本厂家、商家、公司保证竭力维护贵院的声誉，不做任何有损贵院形象的事情。</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五、 对本厂家、商家、公司及本厂家、商家、公司工作人员采取以上手段竞标、促销等，干扰贵院正常工作秩序，损害贵院形象的，本厂家、商家、公司保证：</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1、对尚处在竞标阶段的，贵院有权取消本厂家、商家、公司的竞标资格；已经中标的，贵院有权取消中标；对已经获得准入资格的，贵院有权随时取消本厂家、商家、公司的准入资格；</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2、对本厂家、商家、公司相关工作人员做出严肃处理；</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3、对由于本厂家、商家、公司或本厂家、商家、公司工作人员的上述行为给贵院造成经济或名誉损失的，由本厂家、商家、公司负责，并愿意承担全部民事赔偿责任。</w:t>
      </w:r>
    </w:p>
    <w:p>
      <w:pPr>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br w:type="page"/>
      </w:r>
    </w:p>
    <w:p>
      <w:pPr>
        <w:spacing w:line="360" w:lineRule="auto"/>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bookmarkStart w:id="0" w:name="_GoBack"/>
      <w:bookmarkEnd w:id="0"/>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附件5</w:t>
      </w:r>
    </w:p>
    <w:p>
      <w:pPr>
        <w:spacing w:line="360" w:lineRule="auto"/>
        <w:ind w:firstLine="420" w:firstLineChars="150"/>
        <w:jc w:val="center"/>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无围标、串标行为承诺书</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本公司郑重承诺：我公司自觉遵守《中华人民共和国政府采购法》和《中华人民共和国政府采购法实施条例》的有关规定，我公司在参加本次项目（项目名称：XXXXXXX）采购活动中，无以下围标、串标行为：</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1.不同供应商的投标文件由同一单位或者个人编制；</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2.不同供应商委托同一单位或者个人办理投标事宜；</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3.不同供应商的投标文件载明的项目管理成员或者联系人员为同一人；</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4.不同供应商的投标文件异常一致或者投标报价呈规律性差异；</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5.不同供应商的投标文件相互混装；</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6.不同供应商的投标保证金从同一单位或者个人的账户转出；</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7.不同供应商的董事、监事、高管、单位负责人为同一人或者存在控股、管理关系的不同单位参加同一采购项目；</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8.供应商之间事先约定由某一特定供应商中标、成交；</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9.供应商之间商定部分供应商放弃参加采购活动或者放弃中标、成交；</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10.法律法规界定的其他围标串标行为。</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我公司承诺在本项目采购活动中，与采购人不存在关联关系，与其他投标单位不存在关联关系。如被查实在本项目采购活动中存在围标、串标的，本公司将承担法律责任，接受相应的法律法规处罚。</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投标人法人代表或委托代理人（承诺人） ：</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 xml:space="preserve">投标人：（公章）  </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日期：   年    月    日</w:t>
      </w: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p>
      <w:pPr>
        <w:spacing w:line="360" w:lineRule="auto"/>
        <w:ind w:firstLine="420" w:firstLineChars="150"/>
        <w:outlineLvl w:val="5"/>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p>
    <w:sectPr>
      <w:pgSz w:w="11906" w:h="16838"/>
      <w:pgMar w:top="1440" w:right="1429" w:bottom="1440" w:left="142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4ZWE3ZmEyNWUxMjk2OGViMzY2YWJlODMyNjE0MjgifQ=="/>
  </w:docVars>
  <w:rsids>
    <w:rsidRoot w:val="00000000"/>
    <w:rsid w:val="06B75035"/>
    <w:rsid w:val="12DF3B96"/>
    <w:rsid w:val="15821674"/>
    <w:rsid w:val="18BE3DA6"/>
    <w:rsid w:val="1CBD7DB6"/>
    <w:rsid w:val="1D0705D7"/>
    <w:rsid w:val="28C37D80"/>
    <w:rsid w:val="30DF7D7E"/>
    <w:rsid w:val="314D392D"/>
    <w:rsid w:val="331B0B27"/>
    <w:rsid w:val="378507E9"/>
    <w:rsid w:val="3EB31554"/>
    <w:rsid w:val="3FDC1862"/>
    <w:rsid w:val="4B21751F"/>
    <w:rsid w:val="4D824787"/>
    <w:rsid w:val="4DD630B4"/>
    <w:rsid w:val="4DFB7D0D"/>
    <w:rsid w:val="58BB3263"/>
    <w:rsid w:val="58F64D90"/>
    <w:rsid w:val="59022EAC"/>
    <w:rsid w:val="591441B6"/>
    <w:rsid w:val="5A111F53"/>
    <w:rsid w:val="5FF6FC7C"/>
    <w:rsid w:val="60D3306B"/>
    <w:rsid w:val="6535482D"/>
    <w:rsid w:val="6F4268C0"/>
    <w:rsid w:val="73550F77"/>
    <w:rsid w:val="756B523F"/>
    <w:rsid w:val="7A7A1F68"/>
    <w:rsid w:val="7FECC293"/>
    <w:rsid w:val="8ABBA8B7"/>
    <w:rsid w:val="9C6ECF21"/>
    <w:rsid w:val="A727850B"/>
    <w:rsid w:val="A9FB7FA6"/>
    <w:rsid w:val="FCD67C11"/>
    <w:rsid w:val="FDF6DFDF"/>
    <w:rsid w:val="FEFB3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99"/>
    <w:pPr>
      <w:keepNext/>
      <w:keepLines/>
      <w:adjustRightInd w:val="0"/>
      <w:snapToGrid w:val="0"/>
      <w:spacing w:line="360" w:lineRule="auto"/>
      <w:outlineLvl w:val="1"/>
    </w:pPr>
    <w:rPr>
      <w:rFonts w:ascii="宋体" w:hAnsi="宋体"/>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jc w:val="both"/>
      <w:textAlignment w:val="baseline"/>
    </w:pPr>
    <w:rPr>
      <w:rFonts w:ascii="Times New Roman"/>
      <w:kern w:val="2"/>
      <w:sz w:val="21"/>
      <w:szCs w:val="24"/>
      <w:lang w:val="en-US" w:eastAsia="zh-CN" w:bidi="ar-SA"/>
    </w:rPr>
  </w:style>
  <w:style w:type="paragraph" w:styleId="5">
    <w:name w:val="Normal Indent"/>
    <w:basedOn w:val="1"/>
    <w:qFormat/>
    <w:uiPriority w:val="99"/>
    <w:pPr>
      <w:adjustRightInd w:val="0"/>
      <w:snapToGrid w:val="0"/>
      <w:spacing w:line="360" w:lineRule="auto"/>
      <w:ind w:firstLine="420"/>
    </w:pPr>
    <w:rPr>
      <w:sz w:val="24"/>
    </w:rPr>
  </w:style>
  <w:style w:type="paragraph" w:styleId="6">
    <w:name w:val="Body Text"/>
    <w:basedOn w:val="1"/>
    <w:next w:val="1"/>
    <w:unhideWhenUsed/>
    <w:qFormat/>
    <w:uiPriority w:val="99"/>
    <w:pPr>
      <w:spacing w:after="120"/>
    </w:pPr>
  </w:style>
  <w:style w:type="paragraph" w:styleId="7">
    <w:name w:val="Body Text Indent"/>
    <w:basedOn w:val="1"/>
    <w:qFormat/>
    <w:uiPriority w:val="0"/>
    <w:pPr>
      <w:ind w:firstLine="630"/>
    </w:pPr>
    <w:rPr>
      <w:sz w:val="32"/>
      <w:szCs w:val="20"/>
    </w:rPr>
  </w:style>
  <w:style w:type="paragraph" w:styleId="8">
    <w:name w:val="Plain Text"/>
    <w:basedOn w:val="1"/>
    <w:qFormat/>
    <w:uiPriority w:val="0"/>
    <w:pPr>
      <w:spacing w:line="460" w:lineRule="exact"/>
      <w:ind w:firstLine="567"/>
    </w:pPr>
    <w:rPr>
      <w:rFonts w:ascii="宋体" w:hAnsi="Courier New" w:eastAsia="仿宋_GB2312"/>
      <w:sz w:val="28"/>
      <w:szCs w:val="20"/>
    </w:r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page number"/>
    <w:qFormat/>
    <w:uiPriority w:val="0"/>
  </w:style>
  <w:style w:type="character" w:styleId="14">
    <w:name w:val="Hyperlink"/>
    <w:basedOn w:val="12"/>
    <w:qFormat/>
    <w:uiPriority w:val="0"/>
    <w:rPr>
      <w:color w:val="0000FF"/>
      <w:u w:val="single"/>
    </w:rPr>
  </w:style>
  <w:style w:type="paragraph" w:styleId="15">
    <w:name w:val="List Paragraph"/>
    <w:basedOn w:val="1"/>
    <w:qFormat/>
    <w:uiPriority w:val="99"/>
    <w:pPr>
      <w:ind w:firstLine="420"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20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2024-11-21T01:33:00Z</dcterms:created>
  <dc:creator>mi</dc:creator>
  <cp:lastModifiedBy>Administrator</cp:lastModifiedBy>
  <dcterms:modified xsi:type="dcterms:W3CDTF">2025-06-26T00:21:09Z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E643F0C50D4F7395A7AB5B68B6DA3F15_43</vt:lpwstr>
  </property>
</Properties>
</file>