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附件1：采购需求</w:t>
      </w:r>
    </w:p>
    <w:p>
      <w:pPr>
        <w:pStyle w:val="3"/>
        <w:keepNext w:val="0"/>
        <w:keepLines w:val="0"/>
        <w:shd w:val="clear"/>
        <w:spacing w:before="0" w:after="0" w:line="360" w:lineRule="auto"/>
        <w:ind w:firstLine="117"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7" w:firstLineChars="49"/>
        <w:jc w:val="left"/>
        <w:rPr>
          <w:rFonts w:ascii="宋体" w:hAnsi="宋体" w:eastAsia="宋体" w:cs="仿宋"/>
        </w:rPr>
      </w:pPr>
      <w:r>
        <w:rPr>
          <w:rFonts w:hint="eastAsia" w:ascii="宋体" w:hAnsi="宋体" w:eastAsia="宋体" w:cs="仿宋"/>
          <w:bCs w:val="0"/>
          <w:sz w:val="24"/>
          <w:szCs w:val="24"/>
        </w:rPr>
        <w:t>前提：本章为本项目的实质性要求，供应商应全部满足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p>
    <w:p>
      <w:pPr>
        <w:pStyle w:val="3"/>
        <w:numPr>
          <w:ilvl w:val="0"/>
          <w:numId w:val="1"/>
        </w:numPr>
        <w:shd w:val="clear"/>
        <w:spacing w:after="0" w:line="360" w:lineRule="auto"/>
        <w:ind w:firstLine="235"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采购内容</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2279"/>
        <w:gridCol w:w="2325"/>
        <w:gridCol w:w="2291"/>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序号</w:t>
            </w:r>
          </w:p>
        </w:tc>
        <w:tc>
          <w:tcPr>
            <w:tcW w:w="1143"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项目名称</w:t>
            </w:r>
          </w:p>
        </w:tc>
        <w:tc>
          <w:tcPr>
            <w:tcW w:w="1166"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计价单位</w:t>
            </w:r>
          </w:p>
        </w:tc>
        <w:tc>
          <w:tcPr>
            <w:tcW w:w="1149"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限高单价（元）</w:t>
            </w:r>
          </w:p>
        </w:tc>
        <w:tc>
          <w:tcPr>
            <w:tcW w:w="1149"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w:t>
            </w:r>
          </w:p>
        </w:tc>
        <w:tc>
          <w:tcPr>
            <w:tcW w:w="1143" w:type="pct"/>
            <w:vAlign w:val="center"/>
          </w:tcPr>
          <w:p>
            <w:pPr>
              <w:widowControl/>
              <w:shd w:val="clear"/>
              <w:wordWrap w:val="0"/>
              <w:jc w:val="center"/>
              <w:rPr>
                <w:rFonts w:hint="default" w:ascii="Times New Roman" w:hAnsi="Times New Roman" w:eastAsia="宋体" w:cs="Times New Roman"/>
                <w:color w:val="auto"/>
                <w:kern w:val="0"/>
                <w:sz w:val="21"/>
                <w:szCs w:val="22"/>
                <w:lang w:val="en-US" w:eastAsia="zh-CN" w:bidi="ar-SA"/>
              </w:rPr>
            </w:pPr>
            <w:r>
              <w:rPr>
                <w:rFonts w:hint="eastAsia" w:ascii="宋体" w:hAnsi="宋体" w:eastAsia="宋体" w:cs="Segoe UI"/>
                <w:color w:val="000000" w:themeColor="text1"/>
                <w:kern w:val="0"/>
                <w:sz w:val="24"/>
                <w:szCs w:val="24"/>
                <w:lang w:val="en-US" w:eastAsia="zh-CN"/>
              </w:rPr>
              <w:t>苏木素染色液</w:t>
            </w:r>
          </w:p>
        </w:tc>
        <w:tc>
          <w:tcPr>
            <w:tcW w:w="1166" w:type="pct"/>
            <w:vAlign w:val="center"/>
          </w:tcPr>
          <w:p>
            <w:pPr>
              <w:widowControl/>
              <w:shd w:val="clear"/>
              <w:wordWrap w:val="0"/>
              <w:jc w:val="center"/>
              <w:rPr>
                <w:rFonts w:hint="default" w:ascii="Times New Roman" w:hAnsi="Times New Roman" w:eastAsia="宋体" w:cs="Times New Roman"/>
                <w:color w:val="auto"/>
                <w:kern w:val="0"/>
                <w:sz w:val="21"/>
                <w:szCs w:val="22"/>
                <w:lang w:val="en-US" w:eastAsia="zh-CN" w:bidi="ar-SA"/>
              </w:rPr>
            </w:pPr>
            <w:r>
              <w:rPr>
                <w:rFonts w:hint="eastAsia" w:ascii="宋体" w:hAnsi="宋体" w:eastAsia="宋体" w:cs="Segoe UI"/>
                <w:color w:val="000000" w:themeColor="text1"/>
                <w:kern w:val="0"/>
                <w:sz w:val="24"/>
                <w:szCs w:val="24"/>
                <w:lang w:val="en-US" w:eastAsia="zh-CN"/>
              </w:rPr>
              <w:t>瓶</w:t>
            </w:r>
          </w:p>
        </w:tc>
        <w:tc>
          <w:tcPr>
            <w:tcW w:w="1149" w:type="pct"/>
            <w:vAlign w:val="cente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lang w:val="en-US" w:eastAsia="zh-CN"/>
              </w:rPr>
              <w:t>11400</w:t>
            </w:r>
          </w:p>
        </w:tc>
        <w:tc>
          <w:tcPr>
            <w:tcW w:w="1149"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2</w:t>
            </w:r>
          </w:p>
        </w:tc>
        <w:tc>
          <w:tcPr>
            <w:tcW w:w="1143" w:type="pct"/>
            <w:vAlign w:val="center"/>
          </w:tcPr>
          <w:p>
            <w:pPr>
              <w:widowControl/>
              <w:shd w:val="clear"/>
              <w:wordWrap w:val="0"/>
              <w:jc w:val="center"/>
              <w:rPr>
                <w:rFonts w:hint="default" w:ascii="Times New Roman" w:hAnsi="Times New Roman" w:eastAsia="宋体" w:cs="Times New Roman"/>
                <w:kern w:val="2"/>
                <w:sz w:val="21"/>
                <w:szCs w:val="22"/>
                <w:vertAlign w:val="baseline"/>
                <w:lang w:val="en-US" w:eastAsia="zh-CN" w:bidi="ar-SA"/>
              </w:rPr>
            </w:pPr>
            <w:r>
              <w:rPr>
                <w:rFonts w:hint="eastAsia" w:ascii="宋体" w:hAnsi="宋体" w:eastAsia="宋体" w:cs="Segoe UI"/>
                <w:color w:val="000000" w:themeColor="text1"/>
                <w:kern w:val="0"/>
                <w:sz w:val="24"/>
                <w:szCs w:val="24"/>
                <w:lang w:val="en-US" w:eastAsia="zh-CN"/>
              </w:rPr>
              <w:t>伊红染色液</w:t>
            </w:r>
          </w:p>
        </w:tc>
        <w:tc>
          <w:tcPr>
            <w:tcW w:w="1166" w:type="pct"/>
            <w:vAlign w:val="center"/>
          </w:tcPr>
          <w:p>
            <w:pPr>
              <w:widowControl/>
              <w:shd w:val="clear"/>
              <w:wordWrap w:val="0"/>
              <w:jc w:val="center"/>
              <w:rPr>
                <w:rFonts w:hint="eastAsia" w:ascii="Times New Roman" w:hAnsi="Times New Roman" w:eastAsia="宋体" w:cs="Times New Roman"/>
                <w:color w:val="auto"/>
                <w:kern w:val="0"/>
                <w:sz w:val="21"/>
                <w:szCs w:val="22"/>
                <w:lang w:val="en-US" w:eastAsia="zh-CN" w:bidi="ar-SA"/>
              </w:rPr>
            </w:pPr>
            <w:r>
              <w:rPr>
                <w:rFonts w:hint="eastAsia" w:ascii="宋体" w:hAnsi="宋体" w:eastAsia="宋体" w:cs="Segoe UI"/>
                <w:color w:val="000000" w:themeColor="text1"/>
                <w:kern w:val="0"/>
                <w:sz w:val="24"/>
                <w:szCs w:val="24"/>
                <w:lang w:val="en-US" w:eastAsia="zh-CN"/>
              </w:rPr>
              <w:t>瓶</w:t>
            </w:r>
          </w:p>
        </w:tc>
        <w:tc>
          <w:tcPr>
            <w:tcW w:w="1149" w:type="pct"/>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lang w:val="en-US" w:eastAsia="zh-CN"/>
              </w:rPr>
              <w:t>11220</w:t>
            </w:r>
          </w:p>
        </w:tc>
        <w:tc>
          <w:tcPr>
            <w:tcW w:w="1149"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3</w:t>
            </w:r>
          </w:p>
        </w:tc>
        <w:tc>
          <w:tcPr>
            <w:tcW w:w="1143" w:type="pct"/>
            <w:vAlign w:val="center"/>
          </w:tcPr>
          <w:p>
            <w:pPr>
              <w:widowControl/>
              <w:shd w:val="clear"/>
              <w:wordWrap w:val="0"/>
              <w:jc w:val="center"/>
              <w:rPr>
                <w:rFonts w:hint="default" w:ascii="Times New Roman" w:hAnsi="Times New Roman" w:eastAsia="宋体" w:cs="Times New Roman"/>
                <w:kern w:val="2"/>
                <w:sz w:val="21"/>
                <w:szCs w:val="22"/>
                <w:vertAlign w:val="baseline"/>
                <w:lang w:val="en-US" w:eastAsia="zh-CN" w:bidi="ar-SA"/>
              </w:rPr>
            </w:pPr>
            <w:r>
              <w:rPr>
                <w:rFonts w:hint="eastAsia" w:ascii="宋体" w:hAnsi="宋体" w:eastAsia="宋体" w:cs="Segoe UI"/>
                <w:color w:val="000000" w:themeColor="text1"/>
                <w:kern w:val="0"/>
                <w:sz w:val="24"/>
                <w:szCs w:val="24"/>
                <w:lang w:val="en-US" w:eastAsia="zh-CN"/>
              </w:rPr>
              <w:t>返蓝液</w:t>
            </w:r>
          </w:p>
        </w:tc>
        <w:tc>
          <w:tcPr>
            <w:tcW w:w="1166" w:type="pct"/>
            <w:vAlign w:val="center"/>
          </w:tcPr>
          <w:p>
            <w:pPr>
              <w:widowControl/>
              <w:shd w:val="clear"/>
              <w:wordWrap w:val="0"/>
              <w:jc w:val="center"/>
              <w:rPr>
                <w:rFonts w:hint="eastAsia" w:ascii="Times New Roman" w:hAnsi="Times New Roman" w:eastAsia="宋体" w:cs="Times New Roman"/>
                <w:color w:val="auto"/>
                <w:kern w:val="0"/>
                <w:sz w:val="21"/>
                <w:szCs w:val="22"/>
                <w:lang w:val="en-US" w:eastAsia="zh-CN" w:bidi="ar-SA"/>
              </w:rPr>
            </w:pPr>
            <w:r>
              <w:rPr>
                <w:rFonts w:hint="eastAsia" w:ascii="宋体" w:hAnsi="宋体" w:eastAsia="宋体" w:cs="Segoe UI"/>
                <w:color w:val="000000" w:themeColor="text1"/>
                <w:kern w:val="0"/>
                <w:sz w:val="24"/>
                <w:szCs w:val="24"/>
                <w:lang w:val="en-US" w:eastAsia="zh-CN"/>
              </w:rPr>
              <w:t>瓶</w:t>
            </w:r>
          </w:p>
        </w:tc>
        <w:tc>
          <w:tcPr>
            <w:tcW w:w="1149" w:type="pct"/>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lang w:val="en-US" w:eastAsia="zh-CN"/>
              </w:rPr>
              <w:t>5250</w:t>
            </w:r>
          </w:p>
        </w:tc>
        <w:tc>
          <w:tcPr>
            <w:tcW w:w="1149"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4</w:t>
            </w:r>
          </w:p>
        </w:tc>
        <w:tc>
          <w:tcPr>
            <w:tcW w:w="1143" w:type="pct"/>
            <w:vAlign w:val="center"/>
          </w:tcPr>
          <w:p>
            <w:pPr>
              <w:widowControl/>
              <w:shd w:val="clear"/>
              <w:wordWrap w:val="0"/>
              <w:jc w:val="center"/>
              <w:rPr>
                <w:rFonts w:hint="default" w:ascii="Times New Roman" w:hAnsi="Times New Roman" w:eastAsia="宋体" w:cs="Times New Roman"/>
                <w:kern w:val="2"/>
                <w:sz w:val="21"/>
                <w:szCs w:val="22"/>
                <w:vertAlign w:val="baseline"/>
                <w:lang w:val="en-US" w:eastAsia="zh-CN" w:bidi="ar-SA"/>
              </w:rPr>
            </w:pPr>
            <w:r>
              <w:rPr>
                <w:rFonts w:hint="eastAsia" w:ascii="宋体" w:hAnsi="宋体" w:eastAsia="宋体" w:cs="Segoe UI"/>
                <w:color w:val="000000" w:themeColor="text1"/>
                <w:kern w:val="0"/>
                <w:sz w:val="24"/>
                <w:szCs w:val="24"/>
                <w:lang w:val="en-US" w:eastAsia="zh-CN"/>
              </w:rPr>
              <w:t>样本保存液</w:t>
            </w:r>
          </w:p>
        </w:tc>
        <w:tc>
          <w:tcPr>
            <w:tcW w:w="1166" w:type="pct"/>
            <w:vAlign w:val="center"/>
          </w:tcPr>
          <w:p>
            <w:pPr>
              <w:widowControl/>
              <w:shd w:val="clear"/>
              <w:wordWrap w:val="0"/>
              <w:jc w:val="center"/>
              <w:rPr>
                <w:rFonts w:hint="eastAsia" w:ascii="Times New Roman" w:hAnsi="Times New Roman" w:eastAsia="宋体" w:cs="Times New Roman"/>
                <w:color w:val="auto"/>
                <w:kern w:val="0"/>
                <w:sz w:val="21"/>
                <w:szCs w:val="22"/>
                <w:lang w:val="en-US" w:eastAsia="zh-CN" w:bidi="ar-SA"/>
              </w:rPr>
            </w:pPr>
            <w:r>
              <w:rPr>
                <w:rFonts w:hint="eastAsia" w:ascii="宋体" w:hAnsi="宋体" w:eastAsia="宋体" w:cs="Segoe UI"/>
                <w:color w:val="000000" w:themeColor="text1"/>
                <w:kern w:val="0"/>
                <w:sz w:val="24"/>
                <w:szCs w:val="24"/>
                <w:lang w:val="en-US" w:eastAsia="zh-CN"/>
              </w:rPr>
              <w:t>瓶</w:t>
            </w:r>
          </w:p>
        </w:tc>
        <w:tc>
          <w:tcPr>
            <w:tcW w:w="1149" w:type="pct"/>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lang w:val="en-US" w:eastAsia="zh-CN"/>
              </w:rPr>
              <w:t>3600</w:t>
            </w:r>
          </w:p>
        </w:tc>
        <w:tc>
          <w:tcPr>
            <w:tcW w:w="1149"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5</w:t>
            </w:r>
          </w:p>
        </w:tc>
        <w:tc>
          <w:tcPr>
            <w:tcW w:w="1143" w:type="pct"/>
            <w:vAlign w:val="center"/>
          </w:tcPr>
          <w:p>
            <w:pPr>
              <w:widowControl/>
              <w:shd w:val="clear"/>
              <w:wordWrap w:val="0"/>
              <w:jc w:val="center"/>
              <w:rPr>
                <w:rFonts w:hint="default" w:ascii="Times New Roman" w:hAnsi="Times New Roman" w:eastAsia="宋体" w:cs="Times New Roman"/>
                <w:kern w:val="2"/>
                <w:sz w:val="21"/>
                <w:szCs w:val="22"/>
                <w:vertAlign w:val="baseline"/>
                <w:lang w:val="en-US" w:eastAsia="zh-CN" w:bidi="ar-SA"/>
              </w:rPr>
            </w:pPr>
            <w:r>
              <w:rPr>
                <w:rFonts w:hint="eastAsia" w:ascii="宋体" w:hAnsi="宋体" w:eastAsia="宋体" w:cs="Segoe UI"/>
                <w:color w:val="000000" w:themeColor="text1"/>
                <w:kern w:val="0"/>
                <w:sz w:val="24"/>
                <w:szCs w:val="24"/>
                <w:lang w:val="en-US" w:eastAsia="zh-CN"/>
              </w:rPr>
              <w:t>盖玻片</w:t>
            </w:r>
          </w:p>
        </w:tc>
        <w:tc>
          <w:tcPr>
            <w:tcW w:w="1166" w:type="pct"/>
            <w:vAlign w:val="center"/>
          </w:tcPr>
          <w:p>
            <w:pPr>
              <w:widowControl/>
              <w:shd w:val="clear"/>
              <w:wordWrap w:val="0"/>
              <w:jc w:val="center"/>
              <w:rPr>
                <w:rFonts w:hint="eastAsia" w:ascii="Times New Roman" w:hAnsi="Times New Roman" w:eastAsia="宋体" w:cs="Times New Roman"/>
                <w:color w:val="auto"/>
                <w:kern w:val="0"/>
                <w:sz w:val="21"/>
                <w:szCs w:val="22"/>
                <w:lang w:val="en-US" w:eastAsia="zh-CN" w:bidi="ar-SA"/>
              </w:rPr>
            </w:pPr>
            <w:r>
              <w:rPr>
                <w:rFonts w:hint="eastAsia" w:ascii="宋体" w:hAnsi="宋体" w:eastAsia="宋体" w:cs="Segoe UI"/>
                <w:color w:val="000000" w:themeColor="text1"/>
                <w:kern w:val="0"/>
                <w:sz w:val="24"/>
                <w:szCs w:val="24"/>
                <w:lang w:val="en-US" w:eastAsia="zh-CN"/>
              </w:rPr>
              <w:t>盒</w:t>
            </w:r>
          </w:p>
        </w:tc>
        <w:tc>
          <w:tcPr>
            <w:tcW w:w="1149" w:type="pct"/>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lang w:val="en-US" w:eastAsia="zh-CN"/>
              </w:rPr>
              <w:t>1110</w:t>
            </w:r>
          </w:p>
        </w:tc>
        <w:tc>
          <w:tcPr>
            <w:tcW w:w="1149"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72</w:t>
            </w:r>
          </w:p>
        </w:tc>
      </w:tr>
    </w:tbl>
    <w:p>
      <w:pPr>
        <w:pStyle w:val="3"/>
        <w:numPr>
          <w:ilvl w:val="0"/>
          <w:numId w:val="1"/>
        </w:numPr>
        <w:shd w:val="clear"/>
        <w:spacing w:after="0" w:line="360" w:lineRule="auto"/>
        <w:ind w:left="0" w:leftChars="0" w:firstLine="235" w:firstLineChars="98"/>
        <w:rPr>
          <w:rFonts w:hint="eastAsia"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产品相关要求</w:t>
      </w:r>
    </w:p>
    <w:tbl>
      <w:tblPr>
        <w:tblStyle w:val="12"/>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785"/>
        <w:gridCol w:w="1980"/>
        <w:gridCol w:w="2258"/>
        <w:gridCol w:w="1380"/>
        <w:gridCol w:w="778"/>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0"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序号</w:t>
            </w:r>
          </w:p>
        </w:tc>
        <w:tc>
          <w:tcPr>
            <w:tcW w:w="897"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产品名称</w:t>
            </w:r>
          </w:p>
        </w:tc>
        <w:tc>
          <w:tcPr>
            <w:tcW w:w="995"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lang w:val="zh-CN"/>
              </w:rPr>
              <w:t>生产厂家</w:t>
            </w:r>
          </w:p>
        </w:tc>
        <w:tc>
          <w:tcPr>
            <w:tcW w:w="1134"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注册证</w:t>
            </w:r>
          </w:p>
        </w:tc>
        <w:tc>
          <w:tcPr>
            <w:tcW w:w="693"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型号</w:t>
            </w:r>
          </w:p>
        </w:tc>
        <w:tc>
          <w:tcPr>
            <w:tcW w:w="391"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计价单位</w:t>
            </w:r>
          </w:p>
        </w:tc>
        <w:tc>
          <w:tcPr>
            <w:tcW w:w="59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限高单价（元）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0"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1</w:t>
            </w:r>
          </w:p>
        </w:tc>
        <w:tc>
          <w:tcPr>
            <w:tcW w:w="897" w:type="pct"/>
            <w:shd w:val="clear" w:color="auto" w:fill="auto"/>
            <w:vAlign w:val="center"/>
          </w:tcPr>
          <w:p>
            <w:pPr>
              <w:widowControl/>
              <w:shd w:val="clear"/>
              <w:wordWrap w:val="0"/>
              <w:jc w:val="center"/>
              <w:rPr>
                <w:rFonts w:hint="default" w:ascii="Times New Roman" w:hAnsi="Times New Roman" w:eastAsia="宋体" w:cs="Times New Roman"/>
                <w:color w:val="auto"/>
                <w:kern w:val="0"/>
                <w:sz w:val="21"/>
                <w:szCs w:val="22"/>
                <w:lang w:val="en-US" w:eastAsia="zh-CN" w:bidi="ar-SA"/>
              </w:rPr>
            </w:pPr>
            <w:r>
              <w:rPr>
                <w:rFonts w:hint="eastAsia" w:ascii="宋体" w:hAnsi="宋体" w:eastAsia="宋体" w:cs="Segoe UI"/>
                <w:color w:val="000000" w:themeColor="text1"/>
                <w:kern w:val="0"/>
                <w:sz w:val="24"/>
                <w:szCs w:val="24"/>
                <w:lang w:val="en-US" w:eastAsia="zh-CN"/>
              </w:rPr>
              <w:t>苏木素染色液</w:t>
            </w:r>
          </w:p>
        </w:tc>
        <w:tc>
          <w:tcPr>
            <w:tcW w:w="995" w:type="pct"/>
            <w:shd w:val="clear" w:color="auto" w:fill="auto"/>
            <w:vAlign w:val="center"/>
          </w:tcPr>
          <w:p>
            <w:pPr>
              <w:widowControl/>
              <w:shd w:val="clear"/>
              <w:wordWrap w:val="0"/>
              <w:jc w:val="center"/>
              <w:rPr>
                <w:rFonts w:hint="default" w:ascii="Times New Roman" w:hAnsi="Times New Roman" w:eastAsia="宋体" w:cs="Times New Roman"/>
                <w:color w:val="auto"/>
                <w:kern w:val="0"/>
                <w:sz w:val="21"/>
                <w:szCs w:val="22"/>
                <w:lang w:val="en-US" w:eastAsia="zh-CN" w:bidi="ar-SA"/>
              </w:rPr>
            </w:pPr>
            <w:r>
              <w:rPr>
                <w:rFonts w:hint="eastAsia" w:ascii="宋体" w:hAnsi="宋体" w:eastAsia="宋体" w:cs="Segoe UI"/>
                <w:color w:val="000000" w:themeColor="text1"/>
                <w:kern w:val="0"/>
                <w:sz w:val="24"/>
                <w:szCs w:val="24"/>
              </w:rPr>
              <w:t>安捷伦科技新坡（国际）私人有限公司</w:t>
            </w:r>
          </w:p>
        </w:tc>
        <w:tc>
          <w:tcPr>
            <w:tcW w:w="1134" w:type="pct"/>
            <w:shd w:val="clear" w:color="auto" w:fill="auto"/>
            <w:noWrap/>
            <w:vAlign w:val="center"/>
          </w:tcPr>
          <w:p>
            <w:pPr>
              <w:widowControl/>
              <w:shd w:val="clear"/>
              <w:wordWrap w:val="0"/>
              <w:jc w:val="center"/>
              <w:rPr>
                <w:rFonts w:hint="default" w:ascii="Times New Roman" w:hAnsi="Times New Roman" w:eastAsia="宋体" w:cs="Times New Roman"/>
                <w:color w:val="auto"/>
                <w:kern w:val="0"/>
                <w:sz w:val="21"/>
                <w:szCs w:val="22"/>
                <w:lang w:val="en-US" w:eastAsia="zh-CN" w:bidi="ar-SA"/>
              </w:rPr>
            </w:pPr>
            <w:r>
              <w:rPr>
                <w:rFonts w:hint="eastAsia" w:ascii="宋体" w:hAnsi="宋体" w:eastAsia="宋体" w:cs="Segoe UI"/>
                <w:color w:val="000000" w:themeColor="text1"/>
                <w:kern w:val="0"/>
                <w:sz w:val="24"/>
                <w:szCs w:val="24"/>
                <w:lang w:val="en-US" w:eastAsia="zh-CN"/>
              </w:rPr>
              <w:t>国械备20151289</w:t>
            </w:r>
          </w:p>
        </w:tc>
        <w:tc>
          <w:tcPr>
            <w:tcW w:w="693" w:type="pct"/>
            <w:shd w:val="clear" w:color="auto" w:fill="auto"/>
            <w:noWrap/>
            <w:vAlign w:val="center"/>
          </w:tcPr>
          <w:p>
            <w:pPr>
              <w:widowControl/>
              <w:shd w:val="clear"/>
              <w:wordWrap w:val="0"/>
              <w:jc w:val="center"/>
              <w:rPr>
                <w:rFonts w:hint="default" w:ascii="Times New Roman" w:hAnsi="Times New Roman" w:eastAsia="宋体" w:cs="Times New Roman"/>
                <w:color w:val="auto"/>
                <w:kern w:val="0"/>
                <w:sz w:val="21"/>
                <w:szCs w:val="22"/>
                <w:lang w:val="en-US" w:eastAsia="zh-CN" w:bidi="ar-SA"/>
              </w:rPr>
            </w:pPr>
            <w:r>
              <w:rPr>
                <w:rFonts w:hint="eastAsia" w:ascii="宋体" w:hAnsi="宋体" w:eastAsia="宋体" w:cs="Segoe UI"/>
                <w:color w:val="000000" w:themeColor="text1"/>
                <w:kern w:val="0"/>
                <w:sz w:val="24"/>
                <w:szCs w:val="24"/>
                <w:lang w:val="en-US" w:eastAsia="zh-CN"/>
              </w:rPr>
              <w:t>1L</w:t>
            </w:r>
          </w:p>
        </w:tc>
        <w:tc>
          <w:tcPr>
            <w:tcW w:w="391" w:type="pct"/>
            <w:shd w:val="clear" w:color="auto" w:fill="auto"/>
            <w:vAlign w:val="center"/>
          </w:tcPr>
          <w:p>
            <w:pPr>
              <w:widowControl/>
              <w:shd w:val="clear"/>
              <w:wordWrap w:val="0"/>
              <w:jc w:val="center"/>
              <w:rPr>
                <w:rFonts w:hint="default" w:ascii="Times New Roman" w:hAnsi="Times New Roman" w:eastAsia="宋体" w:cs="Times New Roman"/>
                <w:color w:val="auto"/>
                <w:kern w:val="0"/>
                <w:sz w:val="21"/>
                <w:szCs w:val="22"/>
                <w:lang w:val="en-US" w:eastAsia="zh-CN" w:bidi="ar-SA"/>
              </w:rPr>
            </w:pPr>
            <w:r>
              <w:rPr>
                <w:rFonts w:hint="eastAsia" w:ascii="宋体" w:hAnsi="宋体" w:eastAsia="宋体" w:cs="Segoe UI"/>
                <w:color w:val="000000" w:themeColor="text1"/>
                <w:kern w:val="0"/>
                <w:sz w:val="24"/>
                <w:szCs w:val="24"/>
                <w:lang w:val="en-US" w:eastAsia="zh-CN"/>
              </w:rPr>
              <w:t>瓶</w:t>
            </w:r>
          </w:p>
        </w:tc>
        <w:tc>
          <w:tcPr>
            <w:tcW w:w="598" w:type="pct"/>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lang w:val="en-US" w:eastAsia="zh-CN"/>
              </w:rPr>
              <w:t>11400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0"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2</w:t>
            </w:r>
          </w:p>
        </w:tc>
        <w:tc>
          <w:tcPr>
            <w:tcW w:w="897" w:type="pct"/>
            <w:shd w:val="clear" w:color="auto" w:fill="auto"/>
            <w:vAlign w:val="center"/>
          </w:tcPr>
          <w:p>
            <w:pPr>
              <w:widowControl/>
              <w:shd w:val="clear"/>
              <w:wordWrap w:val="0"/>
              <w:jc w:val="center"/>
              <w:rPr>
                <w:rFonts w:hint="eastAsia" w:ascii="Times New Roman" w:hAnsi="Times New Roman" w:eastAsia="宋体" w:cs="Times New Roman"/>
                <w:kern w:val="2"/>
                <w:sz w:val="21"/>
                <w:szCs w:val="22"/>
                <w:vertAlign w:val="baseline"/>
                <w:lang w:val="en-US" w:eastAsia="zh-CN" w:bidi="ar-SA"/>
              </w:rPr>
            </w:pPr>
            <w:r>
              <w:rPr>
                <w:rFonts w:hint="eastAsia" w:ascii="宋体" w:hAnsi="宋体" w:eastAsia="宋体" w:cs="Segoe UI"/>
                <w:color w:val="000000" w:themeColor="text1"/>
                <w:kern w:val="0"/>
                <w:sz w:val="24"/>
                <w:szCs w:val="24"/>
                <w:lang w:val="en-US" w:eastAsia="zh-CN"/>
              </w:rPr>
              <w:t>伊红染色液</w:t>
            </w:r>
          </w:p>
        </w:tc>
        <w:tc>
          <w:tcPr>
            <w:tcW w:w="995" w:type="pct"/>
            <w:shd w:val="clear" w:color="auto" w:fill="auto"/>
            <w:vAlign w:val="center"/>
          </w:tcPr>
          <w:p>
            <w:pPr>
              <w:widowControl/>
              <w:shd w:val="clear"/>
              <w:wordWrap w:val="0"/>
              <w:jc w:val="center"/>
              <w:rPr>
                <w:rFonts w:hint="eastAsia" w:ascii="Times New Roman" w:hAnsi="Times New Roman" w:eastAsia="宋体" w:cs="Times New Roman"/>
                <w:color w:val="auto"/>
                <w:kern w:val="0"/>
                <w:sz w:val="21"/>
                <w:szCs w:val="22"/>
                <w:lang w:val="en-US" w:eastAsia="zh-CN" w:bidi="ar-SA"/>
              </w:rPr>
            </w:pPr>
            <w:r>
              <w:rPr>
                <w:rFonts w:hint="eastAsia" w:ascii="宋体" w:hAnsi="宋体" w:eastAsia="宋体" w:cs="Segoe UI"/>
                <w:color w:val="000000" w:themeColor="text1"/>
                <w:kern w:val="0"/>
                <w:sz w:val="24"/>
                <w:szCs w:val="24"/>
              </w:rPr>
              <w:t>安捷伦科技新坡（国际）私人有限公司</w:t>
            </w:r>
          </w:p>
        </w:tc>
        <w:tc>
          <w:tcPr>
            <w:tcW w:w="1134" w:type="pct"/>
            <w:shd w:val="clear" w:color="auto" w:fill="auto"/>
            <w:noWrap/>
            <w:vAlign w:val="center"/>
          </w:tcPr>
          <w:p>
            <w:pPr>
              <w:widowControl/>
              <w:shd w:val="clear"/>
              <w:wordWrap w:val="0"/>
              <w:jc w:val="center"/>
              <w:rPr>
                <w:rFonts w:hint="eastAsia" w:ascii="Times New Roman" w:hAnsi="Times New Roman" w:eastAsia="宋体" w:cs="Times New Roman"/>
                <w:color w:val="auto"/>
                <w:kern w:val="0"/>
                <w:sz w:val="21"/>
                <w:szCs w:val="22"/>
                <w:lang w:val="en-US" w:eastAsia="zh-CN" w:bidi="ar-SA"/>
              </w:rPr>
            </w:pPr>
            <w:r>
              <w:rPr>
                <w:rFonts w:hint="eastAsia" w:ascii="宋体" w:hAnsi="宋体" w:eastAsia="宋体" w:cs="Segoe UI"/>
                <w:color w:val="000000" w:themeColor="text1"/>
                <w:kern w:val="0"/>
                <w:sz w:val="24"/>
                <w:szCs w:val="24"/>
                <w:lang w:val="en-US" w:eastAsia="zh-CN"/>
              </w:rPr>
              <w:t>国械备20151290</w:t>
            </w:r>
          </w:p>
        </w:tc>
        <w:tc>
          <w:tcPr>
            <w:tcW w:w="693" w:type="pct"/>
            <w:shd w:val="clear" w:color="auto" w:fill="auto"/>
            <w:noWrap/>
            <w:vAlign w:val="center"/>
          </w:tcPr>
          <w:p>
            <w:pPr>
              <w:widowControl/>
              <w:shd w:val="clear"/>
              <w:wordWrap w:val="0"/>
              <w:jc w:val="center"/>
              <w:rPr>
                <w:rFonts w:hint="eastAsia" w:ascii="Times New Roman" w:hAnsi="Times New Roman" w:eastAsia="宋体" w:cs="Times New Roman"/>
                <w:color w:val="auto"/>
                <w:kern w:val="0"/>
                <w:sz w:val="21"/>
                <w:szCs w:val="22"/>
                <w:lang w:val="en-US" w:eastAsia="zh-CN" w:bidi="ar-SA"/>
              </w:rPr>
            </w:pPr>
            <w:r>
              <w:rPr>
                <w:rFonts w:hint="eastAsia" w:ascii="宋体" w:hAnsi="宋体" w:eastAsia="宋体" w:cs="Segoe UI"/>
                <w:color w:val="000000" w:themeColor="text1"/>
                <w:kern w:val="0"/>
                <w:sz w:val="24"/>
                <w:szCs w:val="24"/>
                <w:lang w:val="en-US" w:eastAsia="zh-CN"/>
              </w:rPr>
              <w:t>1L</w:t>
            </w:r>
          </w:p>
        </w:tc>
        <w:tc>
          <w:tcPr>
            <w:tcW w:w="391" w:type="pct"/>
            <w:shd w:val="clear" w:color="auto" w:fill="auto"/>
            <w:vAlign w:val="center"/>
          </w:tcPr>
          <w:p>
            <w:pPr>
              <w:widowControl/>
              <w:shd w:val="clear"/>
              <w:wordWrap w:val="0"/>
              <w:jc w:val="center"/>
              <w:rPr>
                <w:rFonts w:hint="eastAsia" w:ascii="Times New Roman" w:hAnsi="Times New Roman" w:eastAsia="宋体" w:cs="Times New Roman"/>
                <w:color w:val="auto"/>
                <w:kern w:val="0"/>
                <w:sz w:val="21"/>
                <w:szCs w:val="22"/>
                <w:lang w:val="en-US" w:eastAsia="zh-CN" w:bidi="ar-SA"/>
              </w:rPr>
            </w:pPr>
            <w:r>
              <w:rPr>
                <w:rFonts w:hint="eastAsia" w:ascii="宋体" w:hAnsi="宋体" w:eastAsia="宋体" w:cs="Segoe UI"/>
                <w:color w:val="000000" w:themeColor="text1"/>
                <w:kern w:val="0"/>
                <w:sz w:val="24"/>
                <w:szCs w:val="24"/>
                <w:lang w:val="en-US" w:eastAsia="zh-CN"/>
              </w:rPr>
              <w:t>瓶</w:t>
            </w:r>
          </w:p>
        </w:tc>
        <w:tc>
          <w:tcPr>
            <w:tcW w:w="598" w:type="pct"/>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lang w:val="en-US" w:eastAsia="zh-CN"/>
              </w:rPr>
              <w:t>11220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0"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3</w:t>
            </w:r>
          </w:p>
        </w:tc>
        <w:tc>
          <w:tcPr>
            <w:tcW w:w="897" w:type="pct"/>
            <w:shd w:val="clear" w:color="auto" w:fill="auto"/>
            <w:vAlign w:val="center"/>
          </w:tcPr>
          <w:p>
            <w:pPr>
              <w:widowControl/>
              <w:shd w:val="clear"/>
              <w:wordWrap w:val="0"/>
              <w:jc w:val="center"/>
              <w:rPr>
                <w:rFonts w:hint="eastAsia" w:ascii="Times New Roman" w:hAnsi="Times New Roman" w:eastAsia="宋体" w:cs="Times New Roman"/>
                <w:kern w:val="2"/>
                <w:sz w:val="21"/>
                <w:szCs w:val="22"/>
                <w:vertAlign w:val="baseline"/>
                <w:lang w:val="en-US" w:eastAsia="zh-CN" w:bidi="ar-SA"/>
              </w:rPr>
            </w:pPr>
            <w:r>
              <w:rPr>
                <w:rFonts w:hint="eastAsia" w:ascii="宋体" w:hAnsi="宋体" w:eastAsia="宋体" w:cs="Segoe UI"/>
                <w:color w:val="000000" w:themeColor="text1"/>
                <w:kern w:val="0"/>
                <w:sz w:val="24"/>
                <w:szCs w:val="24"/>
                <w:lang w:val="en-US" w:eastAsia="zh-CN"/>
              </w:rPr>
              <w:t>返蓝染色液</w:t>
            </w:r>
          </w:p>
        </w:tc>
        <w:tc>
          <w:tcPr>
            <w:tcW w:w="995" w:type="pct"/>
            <w:shd w:val="clear" w:color="auto" w:fill="auto"/>
            <w:vAlign w:val="center"/>
          </w:tcPr>
          <w:p>
            <w:pPr>
              <w:widowControl/>
              <w:shd w:val="clear"/>
              <w:wordWrap w:val="0"/>
              <w:jc w:val="center"/>
              <w:rPr>
                <w:rFonts w:hint="eastAsia" w:ascii="Times New Roman" w:hAnsi="Times New Roman" w:eastAsia="宋体" w:cs="Times New Roman"/>
                <w:color w:val="auto"/>
                <w:kern w:val="0"/>
                <w:sz w:val="21"/>
                <w:szCs w:val="22"/>
                <w:lang w:val="en-US" w:eastAsia="zh-CN" w:bidi="ar-SA"/>
              </w:rPr>
            </w:pPr>
            <w:r>
              <w:rPr>
                <w:rFonts w:hint="eastAsia" w:ascii="宋体" w:hAnsi="宋体" w:eastAsia="宋体" w:cs="Segoe UI"/>
                <w:color w:val="000000" w:themeColor="text1"/>
                <w:kern w:val="0"/>
                <w:sz w:val="24"/>
                <w:szCs w:val="24"/>
              </w:rPr>
              <w:t>安捷伦科技新坡（国际）私人有限公司</w:t>
            </w:r>
          </w:p>
        </w:tc>
        <w:tc>
          <w:tcPr>
            <w:tcW w:w="1134" w:type="pct"/>
            <w:shd w:val="clear" w:color="auto" w:fill="auto"/>
            <w:noWrap/>
            <w:vAlign w:val="center"/>
          </w:tcPr>
          <w:p>
            <w:pPr>
              <w:widowControl/>
              <w:shd w:val="clear"/>
              <w:wordWrap w:val="0"/>
              <w:jc w:val="center"/>
              <w:rPr>
                <w:rFonts w:hint="eastAsia" w:ascii="Times New Roman" w:hAnsi="Times New Roman" w:eastAsia="宋体" w:cs="Times New Roman"/>
                <w:color w:val="auto"/>
                <w:kern w:val="0"/>
                <w:sz w:val="21"/>
                <w:szCs w:val="22"/>
                <w:lang w:val="en-US" w:eastAsia="zh-CN" w:bidi="ar-SA"/>
              </w:rPr>
            </w:pPr>
            <w:r>
              <w:rPr>
                <w:rFonts w:hint="eastAsia" w:ascii="宋体" w:hAnsi="宋体" w:eastAsia="宋体" w:cs="Segoe UI"/>
                <w:color w:val="000000" w:themeColor="text1"/>
                <w:kern w:val="0"/>
                <w:sz w:val="24"/>
                <w:szCs w:val="24"/>
                <w:lang w:val="en-US" w:eastAsia="zh-CN"/>
              </w:rPr>
              <w:t>国械备20151291</w:t>
            </w:r>
          </w:p>
        </w:tc>
        <w:tc>
          <w:tcPr>
            <w:tcW w:w="693" w:type="pct"/>
            <w:shd w:val="clear" w:color="auto" w:fill="auto"/>
            <w:noWrap/>
            <w:vAlign w:val="center"/>
          </w:tcPr>
          <w:p>
            <w:pPr>
              <w:widowControl/>
              <w:shd w:val="clear"/>
              <w:wordWrap w:val="0"/>
              <w:jc w:val="center"/>
              <w:rPr>
                <w:rFonts w:hint="eastAsia" w:ascii="Times New Roman" w:hAnsi="Times New Roman" w:eastAsia="宋体" w:cs="Times New Roman"/>
                <w:color w:val="auto"/>
                <w:kern w:val="0"/>
                <w:sz w:val="21"/>
                <w:szCs w:val="22"/>
                <w:lang w:val="en-US" w:eastAsia="zh-CN" w:bidi="ar-SA"/>
              </w:rPr>
            </w:pPr>
            <w:r>
              <w:rPr>
                <w:rFonts w:hint="eastAsia" w:ascii="宋体" w:hAnsi="宋体" w:eastAsia="宋体" w:cs="Segoe UI"/>
                <w:color w:val="000000" w:themeColor="text1"/>
                <w:kern w:val="0"/>
                <w:sz w:val="24"/>
                <w:szCs w:val="24"/>
                <w:lang w:val="en-US" w:eastAsia="zh-CN"/>
              </w:rPr>
              <w:t>1L</w:t>
            </w:r>
          </w:p>
        </w:tc>
        <w:tc>
          <w:tcPr>
            <w:tcW w:w="391" w:type="pct"/>
            <w:shd w:val="clear" w:color="auto" w:fill="auto"/>
            <w:vAlign w:val="center"/>
          </w:tcPr>
          <w:p>
            <w:pPr>
              <w:widowControl/>
              <w:shd w:val="clear"/>
              <w:wordWrap w:val="0"/>
              <w:jc w:val="center"/>
              <w:rPr>
                <w:rFonts w:hint="eastAsia" w:ascii="Times New Roman" w:hAnsi="Times New Roman" w:eastAsia="宋体" w:cs="Times New Roman"/>
                <w:color w:val="auto"/>
                <w:kern w:val="0"/>
                <w:sz w:val="21"/>
                <w:szCs w:val="22"/>
                <w:lang w:val="en-US" w:eastAsia="zh-CN" w:bidi="ar-SA"/>
              </w:rPr>
            </w:pPr>
            <w:r>
              <w:rPr>
                <w:rFonts w:hint="eastAsia" w:ascii="宋体" w:hAnsi="宋体" w:eastAsia="宋体" w:cs="Segoe UI"/>
                <w:color w:val="000000" w:themeColor="text1"/>
                <w:kern w:val="0"/>
                <w:sz w:val="24"/>
                <w:szCs w:val="24"/>
                <w:lang w:val="en-US" w:eastAsia="zh-CN"/>
              </w:rPr>
              <w:t>瓶</w:t>
            </w:r>
          </w:p>
        </w:tc>
        <w:tc>
          <w:tcPr>
            <w:tcW w:w="598" w:type="pct"/>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lang w:val="en-US" w:eastAsia="zh-CN"/>
              </w:rPr>
              <w:t>5250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0"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4</w:t>
            </w:r>
          </w:p>
        </w:tc>
        <w:tc>
          <w:tcPr>
            <w:tcW w:w="897" w:type="pct"/>
            <w:shd w:val="clear" w:color="auto" w:fill="auto"/>
            <w:vAlign w:val="center"/>
          </w:tcPr>
          <w:p>
            <w:pPr>
              <w:widowControl/>
              <w:shd w:val="clear"/>
              <w:wordWrap w:val="0"/>
              <w:jc w:val="center"/>
              <w:rPr>
                <w:rFonts w:hint="eastAsia" w:ascii="Times New Roman" w:hAnsi="Times New Roman" w:eastAsia="宋体" w:cs="Times New Roman"/>
                <w:kern w:val="2"/>
                <w:sz w:val="21"/>
                <w:szCs w:val="22"/>
                <w:vertAlign w:val="baseline"/>
                <w:lang w:val="en-US" w:eastAsia="zh-CN" w:bidi="ar-SA"/>
              </w:rPr>
            </w:pPr>
            <w:r>
              <w:rPr>
                <w:rFonts w:hint="eastAsia" w:ascii="宋体" w:hAnsi="宋体" w:eastAsia="宋体" w:cs="Segoe UI"/>
                <w:color w:val="000000" w:themeColor="text1"/>
                <w:kern w:val="0"/>
                <w:sz w:val="24"/>
                <w:szCs w:val="24"/>
                <w:lang w:val="en-US" w:eastAsia="zh-CN"/>
              </w:rPr>
              <w:t>样本保存液</w:t>
            </w:r>
          </w:p>
        </w:tc>
        <w:tc>
          <w:tcPr>
            <w:tcW w:w="995" w:type="pct"/>
            <w:shd w:val="clear" w:color="auto" w:fill="auto"/>
            <w:vAlign w:val="center"/>
          </w:tcPr>
          <w:p>
            <w:pPr>
              <w:widowControl/>
              <w:shd w:val="clear"/>
              <w:wordWrap w:val="0"/>
              <w:jc w:val="center"/>
              <w:rPr>
                <w:rFonts w:hint="eastAsia" w:ascii="Times New Roman" w:hAnsi="Times New Roman" w:eastAsia="宋体" w:cs="Times New Roman"/>
                <w:color w:val="auto"/>
                <w:kern w:val="0"/>
                <w:sz w:val="21"/>
                <w:szCs w:val="22"/>
                <w:lang w:val="en-US" w:eastAsia="zh-CN" w:bidi="ar-SA"/>
              </w:rPr>
            </w:pPr>
            <w:r>
              <w:rPr>
                <w:rFonts w:hint="eastAsia" w:ascii="宋体" w:hAnsi="宋体" w:eastAsia="宋体" w:cs="Segoe UI"/>
                <w:color w:val="000000" w:themeColor="text1"/>
                <w:kern w:val="0"/>
                <w:sz w:val="24"/>
                <w:szCs w:val="24"/>
              </w:rPr>
              <w:t>安捷伦科技新坡（国际）私人有限公司</w:t>
            </w:r>
          </w:p>
        </w:tc>
        <w:tc>
          <w:tcPr>
            <w:tcW w:w="1134" w:type="pct"/>
            <w:shd w:val="clear" w:color="auto" w:fill="auto"/>
            <w:noWrap/>
            <w:vAlign w:val="center"/>
          </w:tcPr>
          <w:p>
            <w:pPr>
              <w:widowControl/>
              <w:shd w:val="clear"/>
              <w:wordWrap w:val="0"/>
              <w:jc w:val="center"/>
              <w:rPr>
                <w:rFonts w:hint="eastAsia" w:ascii="Times New Roman" w:hAnsi="Times New Roman" w:eastAsia="宋体" w:cs="Times New Roman"/>
                <w:color w:val="auto"/>
                <w:kern w:val="0"/>
                <w:sz w:val="21"/>
                <w:szCs w:val="22"/>
                <w:lang w:val="en-US" w:eastAsia="zh-CN" w:bidi="ar-SA"/>
              </w:rPr>
            </w:pPr>
            <w:r>
              <w:rPr>
                <w:rFonts w:hint="eastAsia" w:ascii="宋体" w:hAnsi="宋体" w:eastAsia="宋体" w:cs="Segoe UI"/>
                <w:color w:val="000000" w:themeColor="text1"/>
                <w:kern w:val="0"/>
                <w:sz w:val="24"/>
                <w:szCs w:val="24"/>
                <w:lang w:val="en-US" w:eastAsia="zh-CN"/>
              </w:rPr>
              <w:t>国械备20151292</w:t>
            </w:r>
          </w:p>
        </w:tc>
        <w:tc>
          <w:tcPr>
            <w:tcW w:w="693" w:type="pct"/>
            <w:shd w:val="clear" w:color="auto" w:fill="auto"/>
            <w:noWrap/>
            <w:vAlign w:val="center"/>
          </w:tcPr>
          <w:p>
            <w:pPr>
              <w:widowControl/>
              <w:shd w:val="clear"/>
              <w:wordWrap w:val="0"/>
              <w:jc w:val="center"/>
              <w:rPr>
                <w:rFonts w:hint="eastAsia" w:ascii="Times New Roman" w:hAnsi="Times New Roman" w:eastAsia="宋体" w:cs="Times New Roman"/>
                <w:color w:val="auto"/>
                <w:kern w:val="0"/>
                <w:sz w:val="21"/>
                <w:szCs w:val="22"/>
                <w:lang w:val="en-US" w:eastAsia="zh-CN" w:bidi="ar-SA"/>
              </w:rPr>
            </w:pPr>
            <w:r>
              <w:rPr>
                <w:rFonts w:hint="eastAsia" w:ascii="宋体" w:hAnsi="宋体" w:eastAsia="宋体" w:cs="Segoe UI"/>
                <w:color w:val="000000" w:themeColor="text1"/>
                <w:kern w:val="0"/>
                <w:sz w:val="24"/>
                <w:szCs w:val="24"/>
                <w:lang w:val="en-US" w:eastAsia="zh-CN"/>
              </w:rPr>
              <w:t>473ml</w:t>
            </w:r>
          </w:p>
        </w:tc>
        <w:tc>
          <w:tcPr>
            <w:tcW w:w="391" w:type="pct"/>
            <w:shd w:val="clear" w:color="auto" w:fill="auto"/>
            <w:vAlign w:val="center"/>
          </w:tcPr>
          <w:p>
            <w:pPr>
              <w:widowControl/>
              <w:shd w:val="clear"/>
              <w:wordWrap w:val="0"/>
              <w:jc w:val="center"/>
              <w:rPr>
                <w:rFonts w:hint="eastAsia" w:ascii="Times New Roman" w:hAnsi="Times New Roman" w:eastAsia="宋体" w:cs="Times New Roman"/>
                <w:color w:val="auto"/>
                <w:kern w:val="0"/>
                <w:sz w:val="21"/>
                <w:szCs w:val="22"/>
                <w:lang w:val="en-US" w:eastAsia="zh-CN" w:bidi="ar-SA"/>
              </w:rPr>
            </w:pPr>
            <w:r>
              <w:rPr>
                <w:rFonts w:hint="eastAsia" w:ascii="宋体" w:hAnsi="宋体" w:eastAsia="宋体" w:cs="Segoe UI"/>
                <w:color w:val="000000" w:themeColor="text1"/>
                <w:kern w:val="0"/>
                <w:sz w:val="24"/>
                <w:szCs w:val="24"/>
                <w:lang w:val="en-US" w:eastAsia="zh-CN"/>
              </w:rPr>
              <w:t>瓶</w:t>
            </w:r>
          </w:p>
        </w:tc>
        <w:tc>
          <w:tcPr>
            <w:tcW w:w="598" w:type="pct"/>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lang w:val="en-US" w:eastAsia="zh-CN"/>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0"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5</w:t>
            </w:r>
          </w:p>
        </w:tc>
        <w:tc>
          <w:tcPr>
            <w:tcW w:w="897" w:type="pct"/>
            <w:shd w:val="clear" w:color="auto" w:fill="auto"/>
            <w:vAlign w:val="center"/>
          </w:tcPr>
          <w:p>
            <w:pPr>
              <w:widowControl/>
              <w:shd w:val="clear"/>
              <w:wordWrap w:val="0"/>
              <w:jc w:val="center"/>
              <w:rPr>
                <w:rFonts w:hint="eastAsia" w:ascii="Times New Roman" w:hAnsi="Times New Roman" w:eastAsia="宋体" w:cs="Times New Roman"/>
                <w:kern w:val="2"/>
                <w:sz w:val="21"/>
                <w:szCs w:val="22"/>
                <w:vertAlign w:val="baseline"/>
                <w:lang w:val="en-US" w:eastAsia="zh-CN" w:bidi="ar-SA"/>
              </w:rPr>
            </w:pPr>
            <w:r>
              <w:rPr>
                <w:rFonts w:hint="eastAsia" w:ascii="宋体" w:hAnsi="宋体" w:eastAsia="宋体" w:cs="Segoe UI"/>
                <w:color w:val="000000" w:themeColor="text1"/>
                <w:kern w:val="0"/>
                <w:sz w:val="24"/>
                <w:szCs w:val="24"/>
                <w:lang w:val="en-US" w:eastAsia="zh-CN"/>
              </w:rPr>
              <w:t>盖玻片</w:t>
            </w:r>
          </w:p>
        </w:tc>
        <w:tc>
          <w:tcPr>
            <w:tcW w:w="995" w:type="pct"/>
            <w:shd w:val="clear" w:color="auto" w:fill="auto"/>
            <w:vAlign w:val="center"/>
          </w:tcPr>
          <w:p>
            <w:pPr>
              <w:widowControl/>
              <w:shd w:val="clear"/>
              <w:wordWrap w:val="0"/>
              <w:jc w:val="center"/>
              <w:rPr>
                <w:rFonts w:hint="eastAsia" w:ascii="Times New Roman" w:hAnsi="Times New Roman" w:eastAsia="宋体" w:cs="Times New Roman"/>
                <w:color w:val="auto"/>
                <w:kern w:val="0"/>
                <w:sz w:val="21"/>
                <w:szCs w:val="22"/>
                <w:lang w:val="en-US" w:eastAsia="zh-CN" w:bidi="ar-SA"/>
              </w:rPr>
            </w:pPr>
            <w:r>
              <w:rPr>
                <w:rFonts w:hint="eastAsia" w:ascii="宋体" w:hAnsi="宋体" w:eastAsia="宋体" w:cs="Segoe UI"/>
                <w:color w:val="000000" w:themeColor="text1"/>
                <w:kern w:val="0"/>
                <w:sz w:val="24"/>
                <w:szCs w:val="24"/>
              </w:rPr>
              <w:t>安捷伦科技新坡（国际）私人有限公司</w:t>
            </w:r>
          </w:p>
        </w:tc>
        <w:tc>
          <w:tcPr>
            <w:tcW w:w="1134" w:type="pct"/>
            <w:shd w:val="clear" w:color="auto" w:fill="auto"/>
            <w:noWrap/>
            <w:vAlign w:val="center"/>
          </w:tcPr>
          <w:p>
            <w:pPr>
              <w:widowControl/>
              <w:shd w:val="clear"/>
              <w:wordWrap w:val="0"/>
              <w:jc w:val="center"/>
              <w:rPr>
                <w:rFonts w:hint="eastAsia" w:ascii="Times New Roman" w:hAnsi="Times New Roman" w:eastAsia="宋体" w:cs="Times New Roman"/>
                <w:color w:val="auto"/>
                <w:kern w:val="0"/>
                <w:sz w:val="21"/>
                <w:szCs w:val="22"/>
                <w:lang w:val="en-US" w:eastAsia="zh-CN" w:bidi="ar-SA"/>
              </w:rPr>
            </w:pPr>
            <w:r>
              <w:rPr>
                <w:rFonts w:hint="eastAsia" w:ascii="宋体" w:hAnsi="宋体" w:eastAsia="宋体" w:cs="Segoe UI"/>
                <w:color w:val="000000" w:themeColor="text1"/>
                <w:kern w:val="0"/>
                <w:sz w:val="24"/>
                <w:szCs w:val="24"/>
                <w:lang w:val="en-US" w:eastAsia="zh-CN"/>
              </w:rPr>
              <w:t>/</w:t>
            </w:r>
          </w:p>
        </w:tc>
        <w:tc>
          <w:tcPr>
            <w:tcW w:w="693" w:type="pct"/>
            <w:shd w:val="clear" w:color="auto" w:fill="auto"/>
            <w:noWrap/>
            <w:vAlign w:val="center"/>
          </w:tcPr>
          <w:p>
            <w:pPr>
              <w:widowControl/>
              <w:shd w:val="clear"/>
              <w:wordWrap w:val="0"/>
              <w:jc w:val="center"/>
              <w:rPr>
                <w:rFonts w:hint="eastAsia" w:ascii="Times New Roman" w:hAnsi="Times New Roman" w:eastAsia="宋体" w:cs="Times New Roman"/>
                <w:color w:val="auto"/>
                <w:kern w:val="0"/>
                <w:sz w:val="21"/>
                <w:szCs w:val="22"/>
                <w:lang w:val="en-US" w:eastAsia="zh-CN" w:bidi="ar-SA"/>
              </w:rPr>
            </w:pPr>
            <w:r>
              <w:rPr>
                <w:rFonts w:hint="eastAsia" w:ascii="宋体" w:hAnsi="宋体" w:eastAsia="宋体" w:cs="Segoe UI"/>
                <w:color w:val="000000" w:themeColor="text1"/>
                <w:kern w:val="0"/>
                <w:sz w:val="24"/>
                <w:szCs w:val="24"/>
                <w:lang w:val="en-US" w:eastAsia="zh-CN"/>
              </w:rPr>
              <w:t>24*50mm</w:t>
            </w:r>
          </w:p>
        </w:tc>
        <w:tc>
          <w:tcPr>
            <w:tcW w:w="391" w:type="pct"/>
            <w:shd w:val="clear" w:color="auto" w:fill="auto"/>
            <w:vAlign w:val="center"/>
          </w:tcPr>
          <w:p>
            <w:pPr>
              <w:widowControl/>
              <w:shd w:val="clear"/>
              <w:wordWrap w:val="0"/>
              <w:jc w:val="center"/>
              <w:rPr>
                <w:rFonts w:hint="eastAsia" w:ascii="Times New Roman" w:hAnsi="Times New Roman" w:eastAsia="宋体" w:cs="Times New Roman"/>
                <w:color w:val="auto"/>
                <w:kern w:val="0"/>
                <w:sz w:val="21"/>
                <w:szCs w:val="22"/>
                <w:lang w:val="en-US" w:eastAsia="zh-CN" w:bidi="ar-SA"/>
              </w:rPr>
            </w:pPr>
            <w:r>
              <w:rPr>
                <w:rFonts w:hint="eastAsia" w:ascii="宋体" w:hAnsi="宋体" w:eastAsia="宋体" w:cs="Segoe UI"/>
                <w:color w:val="000000" w:themeColor="text1"/>
                <w:kern w:val="0"/>
                <w:sz w:val="24"/>
                <w:szCs w:val="24"/>
                <w:lang w:val="en-US" w:eastAsia="zh-CN"/>
              </w:rPr>
              <w:t>盒</w:t>
            </w:r>
          </w:p>
        </w:tc>
        <w:tc>
          <w:tcPr>
            <w:tcW w:w="598" w:type="pct"/>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lang w:val="en-US" w:eastAsia="zh-CN"/>
              </w:rPr>
              <w:t>1110</w:t>
            </w:r>
          </w:p>
        </w:tc>
      </w:tr>
    </w:tbl>
    <w:p>
      <w:pPr>
        <w:pStyle w:val="4"/>
        <w:numPr>
          <w:ilvl w:val="0"/>
          <w:numId w:val="0"/>
        </w:numPr>
        <w:ind w:leftChars="98"/>
        <w:rPr>
          <w:rFonts w:hint="default"/>
          <w:lang w:val="en-US" w:eastAsia="zh-CN"/>
        </w:rPr>
      </w:pPr>
    </w:p>
    <w:p>
      <w:pPr>
        <w:ind w:firstLine="480" w:firstLineChars="200"/>
        <w:rPr>
          <w:rFonts w:hint="default"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 xml:space="preserve">三、 </w:t>
      </w:r>
      <w:bookmarkEnd w:id="0"/>
      <w:bookmarkStart w:id="1" w:name="_Toc217446095"/>
      <w:r>
        <w:rPr>
          <w:rFonts w:hint="default" w:ascii="宋体" w:hAnsi="宋体" w:eastAsia="宋体" w:cs="仿宋"/>
          <w:b/>
          <w:bCs/>
          <w:kern w:val="0"/>
          <w:sz w:val="24"/>
          <w:szCs w:val="24"/>
          <w:lang w:val="en-US" w:eastAsia="zh-CN" w:bidi="ar-SA"/>
        </w:rPr>
        <w:t>商务要求</w:t>
      </w:r>
    </w:p>
    <w:p>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服务时间</w:t>
      </w:r>
      <w:r>
        <w:rPr>
          <w:rFonts w:hint="eastAsia" w:ascii="宋体" w:hAnsi="宋体" w:eastAsia="宋体" w:cs="宋体"/>
          <w:sz w:val="24"/>
          <w:szCs w:val="24"/>
          <w:lang w:val="en-US" w:eastAsia="zh-CN"/>
        </w:rPr>
        <w:t>和地点</w:t>
      </w:r>
      <w:r>
        <w:rPr>
          <w:rFonts w:hint="eastAsia" w:ascii="宋体" w:hAnsi="宋体" w:eastAsia="宋体" w:cs="宋体"/>
          <w:sz w:val="24"/>
          <w:szCs w:val="24"/>
          <w:lang w:val="zh-TW" w:eastAsia="zh-TW"/>
        </w:rPr>
        <w:t>：</w:t>
      </w:r>
      <w:r>
        <w:rPr>
          <w:rFonts w:hint="eastAsia" w:ascii="宋体" w:hAnsi="宋体" w:eastAsia="宋体" w:cs="宋体"/>
          <w:sz w:val="24"/>
          <w:szCs w:val="24"/>
          <w:lang w:val="en-US" w:eastAsia="zh-CN"/>
        </w:rPr>
        <w:t>中选</w:t>
      </w:r>
      <w:r>
        <w:rPr>
          <w:rFonts w:hint="eastAsia" w:ascii="宋体" w:hAnsi="宋体" w:eastAsia="宋体" w:cs="宋体"/>
          <w:sz w:val="24"/>
          <w:szCs w:val="24"/>
          <w:lang w:val="zh-TW" w:eastAsia="zh-CN"/>
        </w:rPr>
        <w:t>供应商</w:t>
      </w:r>
      <w:r>
        <w:rPr>
          <w:rFonts w:hint="eastAsia" w:ascii="宋体" w:hAnsi="宋体" w:eastAsia="宋体" w:cs="宋体"/>
          <w:sz w:val="24"/>
          <w:szCs w:val="24"/>
          <w:lang w:val="zh-TW" w:eastAsia="zh-TW"/>
        </w:rPr>
        <w:t>应按照</w:t>
      </w:r>
      <w:r>
        <w:rPr>
          <w:rFonts w:hint="eastAsia" w:ascii="宋体" w:hAnsi="宋体" w:eastAsia="宋体" w:cs="宋体"/>
          <w:sz w:val="24"/>
          <w:szCs w:val="24"/>
          <w:lang w:val="en-US" w:eastAsia="zh-CN"/>
        </w:rPr>
        <w:t>我院</w:t>
      </w:r>
      <w:r>
        <w:rPr>
          <w:rFonts w:hint="eastAsia" w:ascii="宋体" w:hAnsi="宋体" w:eastAsia="宋体" w:cs="宋体"/>
          <w:sz w:val="24"/>
          <w:szCs w:val="24"/>
          <w:lang w:val="zh-TW" w:eastAsia="zh-TW"/>
        </w:rPr>
        <w:t>采购计划要求供货到位（</w:t>
      </w:r>
      <w:r>
        <w:rPr>
          <w:rFonts w:hint="eastAsia" w:ascii="宋体" w:hAnsi="宋体" w:eastAsia="宋体" w:cs="宋体"/>
          <w:sz w:val="24"/>
          <w:szCs w:val="24"/>
          <w:lang w:val="en-US" w:eastAsia="zh-CN"/>
        </w:rPr>
        <w:t>我院</w:t>
      </w:r>
      <w:r>
        <w:rPr>
          <w:rFonts w:hint="eastAsia" w:ascii="宋体" w:hAnsi="宋体" w:eastAsia="宋体" w:cs="宋体"/>
          <w:sz w:val="24"/>
          <w:szCs w:val="24"/>
          <w:lang w:val="zh-TW" w:eastAsia="zh-TW"/>
        </w:rPr>
        <w:t>指定位置）。</w:t>
      </w:r>
    </w:p>
    <w:p>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结算方式：按实结算，按照</w:t>
      </w:r>
      <w:r>
        <w:rPr>
          <w:rFonts w:hint="eastAsia" w:ascii="宋体" w:hAnsi="宋体" w:eastAsia="宋体" w:cs="宋体"/>
          <w:sz w:val="24"/>
          <w:szCs w:val="24"/>
          <w:lang w:val="en-US" w:eastAsia="zh-CN"/>
        </w:rPr>
        <w:t>我院</w:t>
      </w:r>
      <w:r>
        <w:rPr>
          <w:rFonts w:hint="eastAsia" w:ascii="宋体" w:hAnsi="宋体" w:eastAsia="宋体" w:cs="宋体"/>
          <w:sz w:val="24"/>
          <w:szCs w:val="24"/>
          <w:lang w:val="zh-TW" w:eastAsia="zh-TW"/>
        </w:rPr>
        <w:t>财务制度及医学装备部入库流程进行。</w:t>
      </w:r>
    </w:p>
    <w:p>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验收标准：所供耗材原产地真实，医用耗材是全新的、未使用过的，质量符合国家标准（在无国家标准时，符合行业标准）。</w:t>
      </w:r>
    </w:p>
    <w:p>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服务期：</w:t>
      </w:r>
      <w:r>
        <w:rPr>
          <w:rFonts w:hint="eastAsia" w:ascii="宋体" w:hAnsi="宋体" w:eastAsia="宋体" w:cs="宋体"/>
          <w:sz w:val="24"/>
          <w:szCs w:val="24"/>
          <w:lang w:val="en-US" w:eastAsia="zh-CN"/>
        </w:rPr>
        <w:t>3年</w:t>
      </w:r>
      <w:r>
        <w:rPr>
          <w:rFonts w:hint="default" w:ascii="宋体" w:hAnsi="宋体" w:eastAsia="宋体" w:cs="宋体"/>
          <w:sz w:val="24"/>
          <w:szCs w:val="24"/>
          <w:lang w:val="zh-TW" w:eastAsia="zh-TW"/>
        </w:rPr>
        <w:t>。</w:t>
      </w:r>
    </w:p>
    <w:p>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en-US" w:eastAsia="zh-CN"/>
        </w:rPr>
        <w:t>（5）其他：响应《试剂耗材采购合同》（附件8）约定内容。</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中选供应商及中选产品生产厂家须按照主管部门要求在</w:t>
      </w:r>
      <w:r>
        <w:rPr>
          <w:rFonts w:hint="eastAsia" w:ascii="宋体" w:hAnsi="宋体" w:eastAsia="宋体" w:cs="宋体"/>
          <w:color w:val="auto"/>
          <w:sz w:val="24"/>
          <w:szCs w:val="24"/>
        </w:rPr>
        <w:t>四川省医疗保障信息大数据一体化平台药品和医用耗材招采管理子系统</w:t>
      </w:r>
      <w:r>
        <w:rPr>
          <w:rFonts w:hint="eastAsia" w:ascii="宋体" w:hAnsi="宋体" w:eastAsia="宋体" w:cs="宋体"/>
          <w:sz w:val="24"/>
          <w:szCs w:val="24"/>
        </w:rPr>
        <w:t>挂网销售并配合</w:t>
      </w:r>
      <w:r>
        <w:rPr>
          <w:rFonts w:hint="eastAsia" w:ascii="宋体" w:hAnsi="宋体" w:eastAsia="宋体" w:cs="宋体"/>
          <w:sz w:val="24"/>
          <w:szCs w:val="24"/>
          <w:lang w:eastAsia="zh-CN"/>
        </w:rPr>
        <w:t>我</w:t>
      </w:r>
      <w:r>
        <w:rPr>
          <w:rFonts w:hint="eastAsia" w:ascii="宋体" w:hAnsi="宋体" w:eastAsia="宋体" w:cs="宋体"/>
          <w:sz w:val="24"/>
          <w:szCs w:val="24"/>
          <w:lang w:val="en-US" w:eastAsia="zh-CN"/>
        </w:rPr>
        <w:t>院</w:t>
      </w:r>
      <w:r>
        <w:rPr>
          <w:rFonts w:hint="eastAsia" w:ascii="宋体" w:hAnsi="宋体" w:eastAsia="宋体" w:cs="宋体"/>
          <w:sz w:val="24"/>
          <w:szCs w:val="24"/>
        </w:rPr>
        <w:t>完成挂网相关工作。</w:t>
      </w:r>
    </w:p>
    <w:p>
      <w:pPr>
        <w:pStyle w:val="2"/>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Times New Roman" w:hAnsi="Times New Roman" w:eastAsia="宋体"/>
          <w:color w:val="auto"/>
          <w:sz w:val="24"/>
          <w:szCs w:val="24"/>
        </w:rPr>
        <w:t>若在</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内提</w:t>
      </w:r>
      <w:r>
        <w:rPr>
          <w:rFonts w:hint="eastAsia" w:ascii="Times New Roman" w:hAnsi="Times New Roman" w:eastAsia="宋体"/>
          <w:color w:val="auto"/>
          <w:sz w:val="24"/>
          <w:szCs w:val="24"/>
          <w:highlight w:val="none"/>
        </w:rPr>
        <w:t>前完成采购量的</w:t>
      </w:r>
      <w:r>
        <w:rPr>
          <w:rFonts w:hint="eastAsia" w:ascii="Times New Roman" w:hAnsi="Times New Roman" w:eastAsia="宋体"/>
          <w:color w:val="auto"/>
          <w:sz w:val="24"/>
          <w:szCs w:val="24"/>
        </w:rPr>
        <w:t>，仍可按</w:t>
      </w:r>
      <w:r>
        <w:rPr>
          <w:rFonts w:hint="eastAsia" w:ascii="Times New Roman" w:hAnsi="Times New Roman" w:eastAsia="宋体"/>
          <w:color w:val="auto"/>
          <w:sz w:val="24"/>
          <w:szCs w:val="24"/>
          <w:lang w:val="en-US" w:eastAsia="zh-CN"/>
        </w:rPr>
        <w:t>本协议约定</w:t>
      </w:r>
      <w:r>
        <w:rPr>
          <w:rFonts w:hint="eastAsia" w:ascii="Times New Roman" w:hAnsi="Times New Roman" w:eastAsia="宋体"/>
          <w:color w:val="auto"/>
          <w:sz w:val="24"/>
          <w:szCs w:val="24"/>
        </w:rPr>
        <w:t>价格继续采购，直至</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届满</w:t>
      </w:r>
      <w:r>
        <w:rPr>
          <w:rFonts w:hint="eastAsia" w:ascii="Times New Roman" w:hAnsi="Times New Roman" w:eastAsia="宋体"/>
          <w:color w:val="auto"/>
          <w:sz w:val="24"/>
          <w:szCs w:val="24"/>
          <w:lang w:eastAsia="zh-CN"/>
        </w:rPr>
        <w:t>；不足约定采购量的，按实结算</w:t>
      </w:r>
      <w:r>
        <w:rPr>
          <w:rFonts w:hint="eastAsia" w:ascii="Times New Roman" w:hAnsi="Times New Roman" w:eastAsia="宋体"/>
          <w:color w:val="auto"/>
          <w:sz w:val="24"/>
          <w:szCs w:val="24"/>
        </w:rPr>
        <w:t>。</w:t>
      </w:r>
    </w:p>
    <w:p>
      <w:pPr>
        <w:pStyle w:val="3"/>
        <w:shd w:val="clear"/>
        <w:spacing w:after="0" w:line="360" w:lineRule="auto"/>
        <w:ind w:firstLine="235" w:firstLineChars="98"/>
        <w:rPr>
          <w:rFonts w:hint="default" w:ascii="宋体" w:hAnsi="宋体" w:eastAsia="宋体" w:cs="仿宋"/>
          <w:sz w:val="24"/>
          <w:szCs w:val="24"/>
          <w:lang w:val="en-US" w:eastAsia="zh-CN"/>
        </w:rPr>
      </w:pPr>
    </w:p>
    <w:bookmarkEnd w:id="1"/>
    <w:p>
      <w:pPr>
        <w:rPr>
          <w:rFonts w:hint="eastAsia"/>
        </w:rPr>
      </w:pPr>
    </w:p>
    <w:p>
      <w:pPr>
        <w:rPr>
          <w:rFonts w:hint="eastAsia"/>
        </w:rPr>
      </w:pPr>
    </w:p>
    <w:p>
      <w:pPr>
        <w:widowControl/>
        <w:jc w:val="left"/>
        <w:rPr>
          <w:rFonts w:hint="eastAsia" w:ascii="仿宋_GB2312" w:hAnsi="Segoe UI" w:eastAsia="仿宋_GB2312" w:cs="Segoe UI"/>
          <w:b/>
          <w:bCs/>
          <w:color w:val="000000" w:themeColor="text1"/>
          <w:kern w:val="0"/>
          <w:sz w:val="28"/>
          <w:szCs w:val="28"/>
        </w:rPr>
      </w:pPr>
    </w:p>
    <w:p>
      <w:pPr>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2</w:t>
      </w:r>
      <w:r>
        <w:rPr>
          <w:rFonts w:hint="eastAsia" w:ascii="仿宋_GB2312" w:hAnsi="Segoe UI" w:eastAsia="仿宋_GB2312" w:cs="Segoe UI"/>
          <w:b/>
          <w:bCs/>
          <w:color w:val="000000" w:themeColor="text1"/>
          <w:kern w:val="0"/>
          <w:sz w:val="28"/>
          <w:szCs w:val="28"/>
        </w:rPr>
        <w:t>：采购报价文件书装订顺序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w:t>
      </w:r>
      <w:r>
        <w:rPr>
          <w:rFonts w:hint="eastAsia" w:ascii="仿宋_GB2312" w:hAnsi="Segoe UI" w:eastAsia="仿宋_GB2312" w:cs="Segoe UI"/>
          <w:color w:val="000000" w:themeColor="text1"/>
          <w:spacing w:val="8"/>
          <w:kern w:val="0"/>
          <w:sz w:val="24"/>
          <w:szCs w:val="24"/>
          <w:lang w:val="en-US" w:eastAsia="zh-CN"/>
        </w:rPr>
        <w:t>采购需求响应</w:t>
      </w:r>
      <w:r>
        <w:rPr>
          <w:rFonts w:hint="eastAsia" w:ascii="仿宋_GB2312" w:hAnsi="Segoe UI" w:eastAsia="仿宋_GB2312" w:cs="Segoe UI"/>
          <w:color w:val="000000" w:themeColor="text1"/>
          <w:spacing w:val="8"/>
          <w:kern w:val="0"/>
          <w:sz w:val="24"/>
          <w:szCs w:val="24"/>
        </w:rPr>
        <w:t>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w:t>
      </w:r>
      <w:r>
        <w:rPr>
          <w:rFonts w:hint="eastAsia" w:ascii="仿宋_GB2312" w:hAnsi="Segoe UI" w:eastAsia="仿宋_GB2312" w:cs="Segoe UI"/>
          <w:spacing w:val="8"/>
          <w:kern w:val="0"/>
          <w:sz w:val="24"/>
          <w:szCs w:val="24"/>
          <w:lang w:val="en-US" w:eastAsia="zh-CN"/>
        </w:rPr>
        <w:t>3</w:t>
      </w:r>
      <w:r>
        <w:rPr>
          <w:rFonts w:hint="eastAsia" w:ascii="仿宋_GB2312" w:hAnsi="Segoe UI" w:eastAsia="仿宋_GB2312" w:cs="Segoe UI"/>
          <w:spacing w:val="8"/>
          <w:kern w:val="0"/>
          <w:sz w:val="24"/>
          <w:szCs w:val="24"/>
        </w:rPr>
        <w:t>）</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法定代表人授权书（格式见附件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7、生产企业和经营企业的《营业执照》（三证合一）</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8</w:t>
      </w:r>
      <w:r>
        <w:rPr>
          <w:rFonts w:hint="eastAsia" w:ascii="仿宋_GB2312" w:hAnsi="Segoe UI" w:eastAsia="仿宋_GB2312" w:cs="Segoe UI"/>
          <w:color w:val="000000" w:themeColor="text1"/>
          <w:kern w:val="0"/>
          <w:sz w:val="24"/>
          <w:szCs w:val="24"/>
        </w:rPr>
        <w:t>、生产企业对经营企业的销售授权书（须写明授权销售的产品信息、范围、期限，授权链条应完整</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投标人不是生产厂家的</w:t>
      </w:r>
      <w:r>
        <w:rPr>
          <w:rFonts w:hint="eastAsia" w:ascii="仿宋_GB2312" w:hAnsi="Segoe UI" w:eastAsia="仿宋_GB2312" w:cs="Segoe UI"/>
          <w:color w:val="000000" w:themeColor="text1"/>
          <w:kern w:val="0"/>
          <w:sz w:val="24"/>
          <w:szCs w:val="24"/>
          <w:lang w:val="en-US" w:eastAsia="zh-CN"/>
        </w:rPr>
        <w:t>提供</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9</w:t>
      </w:r>
      <w:r>
        <w:rPr>
          <w:rFonts w:hint="eastAsia" w:ascii="仿宋_GB2312" w:hAnsi="Segoe UI" w:eastAsia="仿宋_GB2312" w:cs="Segoe UI"/>
          <w:color w:val="000000" w:themeColor="text1"/>
          <w:kern w:val="0"/>
          <w:sz w:val="24"/>
          <w:szCs w:val="24"/>
        </w:rPr>
        <w:t>、生产企业的“医疗器械生产企业许可证”或“医疗器械生产企业备案凭证”（进口可不提供）</w:t>
      </w:r>
      <w:r>
        <w:rPr>
          <w:rFonts w:hint="eastAsia" w:ascii="仿宋_GB2312" w:hAnsi="Segoe UI" w:eastAsia="仿宋_GB2312" w:cs="Segoe UI"/>
          <w:color w:val="000000" w:themeColor="text1"/>
          <w:kern w:val="0"/>
          <w:sz w:val="24"/>
          <w:szCs w:val="24"/>
          <w:lang w:eastAsia="zh-CN"/>
        </w:rPr>
        <w:t>；</w:t>
      </w:r>
    </w:p>
    <w:p>
      <w:pPr>
        <w:pStyle w:val="2"/>
        <w:ind w:firstLine="480" w:firstLineChars="200"/>
        <w:rPr>
          <w:rFonts w:hint="default"/>
          <w:lang w:val="en-US" w:eastAsia="zh-CN"/>
        </w:rPr>
      </w:pPr>
      <w:r>
        <w:rPr>
          <w:rFonts w:hint="eastAsia" w:ascii="仿宋_GB2312" w:hAnsi="Segoe UI" w:eastAsia="仿宋_GB2312" w:cs="Segoe UI"/>
          <w:color w:val="000000" w:themeColor="text1"/>
          <w:kern w:val="0"/>
          <w:sz w:val="24"/>
          <w:szCs w:val="24"/>
          <w:lang w:val="en-US" w:eastAsia="zh-CN"/>
        </w:rPr>
        <w:t>10、经营企业的“医疗器械经营许可证”或“医疗器械经营备案凭证”（销售一类医疗器械可不提供）；</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11、报价产品的《医疗器械注册证》或《医疗器械备案证》</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如是医疗器械</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12、产品说明书</w:t>
      </w:r>
      <w:r>
        <w:rPr>
          <w:rFonts w:hint="eastAsia" w:ascii="仿宋_GB2312" w:hAnsi="Segoe UI" w:eastAsia="仿宋_GB2312" w:cs="Segoe UI"/>
          <w:color w:val="000000" w:themeColor="text1"/>
          <w:kern w:val="0"/>
          <w:sz w:val="24"/>
          <w:szCs w:val="24"/>
          <w:lang w:val="en-US" w:eastAsia="zh-CN"/>
        </w:rPr>
        <w:t>和产品彩页资料</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加盖生产厂家或进口产品国内总代理的公章</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14、</w:t>
      </w:r>
      <w:r>
        <w:rPr>
          <w:rFonts w:hint="eastAsia" w:ascii="仿宋_GB2312" w:hAnsi="Segoe UI" w:eastAsia="仿宋_GB2312" w:cs="Segoe UI"/>
          <w:color w:val="000000" w:themeColor="text1"/>
          <w:kern w:val="0"/>
          <w:sz w:val="24"/>
          <w:szCs w:val="24"/>
          <w:lang w:val="en-US" w:eastAsia="zh-CN"/>
        </w:rPr>
        <w:t>用户情况表</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15、</w:t>
      </w:r>
      <w:r>
        <w:rPr>
          <w:rFonts w:hint="eastAsia" w:ascii="仿宋_GB2312" w:hAnsi="Segoe UI" w:eastAsia="仿宋_GB2312" w:cs="Segoe UI"/>
          <w:color w:val="000000" w:themeColor="text1"/>
          <w:kern w:val="0"/>
          <w:sz w:val="24"/>
          <w:szCs w:val="24"/>
        </w:rPr>
        <w:t>提供此次报价同型号产品在国内三级甲等医院的近期销售发票（国内三级甲等医院有销售记录的，必须提供</w:t>
      </w:r>
      <w:r>
        <w:rPr>
          <w:rFonts w:hint="eastAsia" w:ascii="仿宋_GB2312" w:hAnsi="Segoe UI" w:eastAsia="仿宋_GB2312" w:cs="Segoe UI"/>
          <w:color w:val="000000" w:themeColor="text1"/>
          <w:kern w:val="0"/>
          <w:sz w:val="24"/>
          <w:szCs w:val="24"/>
          <w:lang w:eastAsia="zh-CN"/>
        </w:rPr>
        <w:t>；未进行过销售的，须提供参选产品生产厂家（进口产品可由国内总代理）出具的情况说明（加盖生产厂家或进口产品国内总代理公章</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16、供应商认为需要提供的其他材料（如有则提供，格式自拟）</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17</w:t>
      </w:r>
      <w:r>
        <w:rPr>
          <w:rFonts w:hint="eastAsia" w:ascii="仿宋_GB2312" w:hAnsi="Segoe UI" w:eastAsia="仿宋_GB2312" w:cs="Segoe UI"/>
          <w:color w:val="000000" w:themeColor="text1"/>
          <w:kern w:val="0"/>
          <w:sz w:val="24"/>
          <w:szCs w:val="24"/>
        </w:rPr>
        <w:t>、集采平台挂网截图</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挂网产品必须提供</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firstLineChars="200"/>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18、反商业贿赂承诺书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19、无围标、串标行为承诺书（格式见附件6）；</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20、供应商遵守招标采购纪律承诺书（格式见附件7）；</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21、《试剂耗材采购合同》（格式见附件8）</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22、</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仿宋_GB2312" w:hAnsi="Segoe UI" w:eastAsia="仿宋_GB2312" w:cs="Segoe UI"/>
          <w:b/>
          <w:bCs/>
          <w:color w:val="000000" w:themeColor="text1"/>
          <w:kern w:val="0"/>
          <w:sz w:val="28"/>
          <w:szCs w:val="28"/>
        </w:rPr>
        <w:sectPr>
          <w:pgSz w:w="11906" w:h="16838"/>
          <w:pgMar w:top="1440" w:right="1077" w:bottom="1440" w:left="1077" w:header="851" w:footer="992" w:gutter="0"/>
          <w:cols w:space="720" w:num="1"/>
          <w:docGrid w:type="linesAndChars" w:linePitch="312" w:charSpace="0"/>
        </w:sectPr>
      </w:pPr>
    </w:p>
    <w:p>
      <w:pPr>
        <w:widowControl/>
        <w:shd w:val="clear" w:color="auto"/>
        <w:wordWrap w:val="0"/>
        <w:jc w:val="left"/>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3</w:t>
      </w:r>
      <w:r>
        <w:rPr>
          <w:rFonts w:hint="eastAsia" w:ascii="仿宋_GB2312" w:hAnsi="Segoe UI" w:eastAsia="仿宋_GB2312" w:cs="Segoe UI"/>
          <w:b/>
          <w:bCs/>
          <w:color w:val="000000" w:themeColor="text1"/>
          <w:kern w:val="0"/>
          <w:sz w:val="28"/>
          <w:szCs w:val="28"/>
        </w:rPr>
        <w:t>：主要表格格式</w:t>
      </w: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1</w:t>
      </w:r>
      <w:r>
        <w:rPr>
          <w:rFonts w:hint="eastAsia" w:ascii="仿宋_GB2312" w:hAnsi="Segoe UI" w:eastAsia="仿宋_GB2312" w:cs="Segoe UI"/>
          <w:b/>
          <w:bCs/>
          <w:color w:val="000000" w:themeColor="text1"/>
          <w:kern w:val="0"/>
          <w:sz w:val="24"/>
          <w:szCs w:val="24"/>
        </w:rPr>
        <w:t>：</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1663"/>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国家医保码</w:t>
            </w:r>
          </w:p>
        </w:tc>
      </w:tr>
      <w:tr>
        <w:tblPrEx>
          <w:shd w:val="clear" w:color="auto" w:fill="auto"/>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14168"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，按照</w:t>
      </w:r>
      <w:r>
        <w:rPr>
          <w:rFonts w:hint="eastAsia" w:ascii="仿宋_GB2312" w:hAnsi="Segoe UI" w:eastAsia="仿宋_GB2312" w:cs="Segoe UI"/>
          <w:color w:val="000000" w:themeColor="text1"/>
          <w:kern w:val="0"/>
          <w:sz w:val="24"/>
          <w:szCs w:val="24"/>
          <w:lang w:val="en-US" w:eastAsia="zh-CN"/>
        </w:rPr>
        <w:t>附件1</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产品</w:t>
      </w:r>
      <w:r>
        <w:rPr>
          <w:rFonts w:hint="eastAsia" w:ascii="仿宋_GB2312" w:hAnsi="Segoe UI" w:eastAsia="仿宋_GB2312" w:cs="Segoe UI"/>
          <w:color w:val="000000" w:themeColor="text1"/>
          <w:kern w:val="0"/>
          <w:sz w:val="24"/>
          <w:szCs w:val="24"/>
          <w:lang w:val="en-US" w:eastAsia="zh-CN"/>
        </w:rPr>
        <w:t>相关要求</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4</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0" w:num="1"/>
          <w:rtlGutter w:val="0"/>
          <w:docGrid w:type="linesAndChars" w:linePitch="314" w:charSpace="0"/>
        </w:sectPr>
      </w:pPr>
    </w:p>
    <w:p>
      <w:pPr>
        <w:pStyle w:val="2"/>
        <w:rPr>
          <w:rFonts w:hint="eastAsia"/>
        </w:rPr>
      </w:pP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2</w:t>
      </w:r>
      <w:r>
        <w:rPr>
          <w:rFonts w:hint="eastAsia" w:ascii="仿宋_GB2312" w:hAnsi="Segoe UI" w:eastAsia="仿宋_GB2312" w:cs="Segoe UI"/>
          <w:b/>
          <w:bCs/>
          <w:color w:val="000000" w:themeColor="text1"/>
          <w:kern w:val="0"/>
          <w:sz w:val="24"/>
          <w:szCs w:val="24"/>
        </w:rPr>
        <w:t>：</w:t>
      </w:r>
    </w:p>
    <w:p>
      <w:pPr>
        <w:pStyle w:val="2"/>
        <w:jc w:val="center"/>
        <w:rPr>
          <w:rFonts w:hint="eastAsia" w:ascii="仿宋_GB2312" w:hAnsi="Segoe UI" w:eastAsia="仿宋_GB2312" w:cs="Segoe UI"/>
          <w:b/>
          <w:bCs/>
          <w:color w:val="000000" w:themeColor="text1"/>
          <w:kern w:val="0"/>
          <w:sz w:val="24"/>
          <w:szCs w:val="24"/>
          <w:lang w:val="en-US" w:eastAsia="zh-CN" w:bidi="ar-SA"/>
        </w:rPr>
      </w:pPr>
      <w:r>
        <w:rPr>
          <w:rFonts w:hint="default" w:ascii="仿宋_GB2312" w:hAnsi="Segoe UI" w:eastAsia="仿宋_GB2312" w:cs="Segoe UI"/>
          <w:b/>
          <w:bCs/>
          <w:color w:val="000000" w:themeColor="text1"/>
          <w:kern w:val="0"/>
          <w:sz w:val="24"/>
          <w:szCs w:val="24"/>
          <w:lang w:val="zh-TW" w:eastAsia="zh-TW" w:bidi="ar-SA"/>
        </w:rPr>
        <w:t>采购需求</w:t>
      </w:r>
      <w:r>
        <w:rPr>
          <w:rFonts w:hint="eastAsia" w:ascii="仿宋_GB2312" w:hAnsi="Segoe UI" w:eastAsia="仿宋_GB2312" w:cs="Segoe UI"/>
          <w:b/>
          <w:bCs/>
          <w:color w:val="000000" w:themeColor="text1"/>
          <w:kern w:val="0"/>
          <w:sz w:val="24"/>
          <w:szCs w:val="24"/>
          <w:lang w:val="zh-TW" w:eastAsia="zh-TW" w:bidi="ar-SA"/>
        </w:rPr>
        <w:t>响应表</w:t>
      </w:r>
    </w:p>
    <w:tbl>
      <w:tblPr>
        <w:tblStyle w:val="12"/>
        <w:tblW w:w="5000"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5107"/>
        <w:gridCol w:w="480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690"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ascii="宋体" w:hAnsi="宋体" w:eastAsia="宋体" w:cs="Times New Roman"/>
                <w:b/>
                <w:bCs/>
                <w:color w:val="auto"/>
                <w:sz w:val="21"/>
                <w:szCs w:val="21"/>
                <w:highlight w:val="none"/>
              </w:rPr>
              <w:t>采购需求内容</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pBdr>
                <w:bottom w:val="none" w:color="auto" w:sz="0" w:space="0"/>
              </w:pBdr>
              <w:tabs>
                <w:tab w:val="clear" w:pos="4153"/>
                <w:tab w:val="clear" w:pos="8306"/>
              </w:tabs>
              <w:jc w:val="center"/>
              <w:rPr>
                <w:rFonts w:hint="default" w:ascii="宋体" w:hAnsi="宋体" w:eastAsia="宋体" w:cs="Times New Roman"/>
                <w:b/>
                <w:bCs/>
                <w:color w:val="auto"/>
                <w:kern w:val="0"/>
                <w:sz w:val="21"/>
                <w:szCs w:val="21"/>
                <w:highlight w:val="none"/>
                <w:lang w:val="zh-TW" w:eastAsia="zh-TW"/>
              </w:rPr>
            </w:pPr>
            <w:r>
              <w:rPr>
                <w:rFonts w:hint="default" w:ascii="宋体" w:hAnsi="宋体" w:eastAsia="宋体" w:cs="Times New Roman"/>
                <w:b/>
                <w:bCs/>
                <w:color w:val="auto"/>
                <w:kern w:val="0"/>
                <w:sz w:val="21"/>
                <w:szCs w:val="21"/>
                <w:highlight w:val="none"/>
                <w:lang w:val="zh-TW" w:eastAsia="zh-TW"/>
              </w:rPr>
              <w:t>响应情况</w:t>
            </w:r>
          </w:p>
          <w:p>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hint="default" w:ascii="宋体" w:hAnsi="宋体" w:eastAsia="宋体" w:cs="Times New Roman"/>
                <w:b/>
                <w:bCs/>
                <w:color w:val="auto"/>
                <w:kern w:val="0"/>
                <w:sz w:val="21"/>
                <w:szCs w:val="21"/>
                <w:highlight w:val="none"/>
                <w:lang w:val="zh-TW" w:eastAsia="zh-TW"/>
              </w:rPr>
              <w:t>（</w:t>
            </w:r>
            <w:r>
              <w:rPr>
                <w:rFonts w:ascii="宋体" w:hAnsi="宋体" w:eastAsia="宋体" w:cs="Times New Roman"/>
                <w:b/>
                <w:bCs/>
                <w:color w:val="auto"/>
                <w:kern w:val="0"/>
                <w:sz w:val="21"/>
                <w:szCs w:val="21"/>
                <w:highlight w:val="none"/>
                <w:lang w:val="zh-TW" w:eastAsia="zh-TW"/>
              </w:rPr>
              <w:t>请根据实际情况</w:t>
            </w:r>
            <w:r>
              <w:rPr>
                <w:rFonts w:hint="default" w:ascii="宋体" w:hAnsi="宋体" w:eastAsia="宋体" w:cs="Times New Roman"/>
                <w:b/>
                <w:bCs/>
                <w:color w:val="auto"/>
                <w:kern w:val="0"/>
                <w:sz w:val="21"/>
                <w:szCs w:val="21"/>
                <w:highlight w:val="none"/>
                <w:lang w:val="zh-TW" w:eastAsia="zh-TW"/>
              </w:rPr>
              <w:t>填写</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或</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无法全部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994"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宋体" w:hAnsi="宋体" w:eastAsia="宋体" w:cs="Times New Roman"/>
                <w:color w:val="auto"/>
                <w:highlight w:val="none"/>
              </w:rPr>
            </w:pPr>
            <w:r>
              <w:rPr>
                <w:rFonts w:ascii="宋体" w:hAnsi="宋体" w:eastAsia="宋体" w:cs="Times New Roman"/>
                <w:color w:val="auto"/>
                <w:kern w:val="0"/>
                <w:highlight w:val="none"/>
                <w:lang w:val="zh-TW" w:eastAsia="zh-TW"/>
              </w:rPr>
              <w:t>技术要</w:t>
            </w:r>
            <w:r>
              <w:rPr>
                <w:rFonts w:hint="default" w:ascii="宋体" w:hAnsi="宋体" w:eastAsia="宋体" w:cs="Times New Roman"/>
                <w:color w:val="auto"/>
                <w:kern w:val="0"/>
                <w:highlight w:val="none"/>
                <w:lang w:val="zh-TW" w:eastAsia="zh-TW"/>
              </w:rPr>
              <w:t>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附件1“采购内容”和“产品相关要求”</w:t>
            </w:r>
            <w:r>
              <w:rPr>
                <w:rFonts w:ascii="宋体" w:hAnsi="宋体" w:eastAsia="宋体" w:cs="Times New Roman"/>
                <w:color w:val="auto"/>
                <w:kern w:val="0"/>
                <w:highlight w:val="none"/>
                <w:lang w:val="zh-TW" w:eastAsia="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109"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宋体" w:hAnsi="宋体" w:eastAsia="宋体" w:cs="Times New Roman"/>
                <w:color w:val="auto"/>
                <w:highlight w:val="none"/>
              </w:rPr>
            </w:pPr>
            <w:r>
              <w:rPr>
                <w:rFonts w:hint="default" w:ascii="宋体" w:hAnsi="宋体" w:eastAsia="宋体" w:cs="Times New Roman"/>
                <w:color w:val="auto"/>
                <w:kern w:val="0"/>
                <w:highlight w:val="none"/>
                <w:lang w:val="zh-TW" w:eastAsia="zh-TW"/>
              </w:rPr>
              <w:t>商务要求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附件1“商务要求”</w:t>
            </w:r>
            <w:r>
              <w:rPr>
                <w:rFonts w:ascii="宋体" w:hAnsi="宋体" w:eastAsia="宋体" w:cs="Times New Roman"/>
                <w:color w:val="auto"/>
                <w:kern w:val="0"/>
                <w:highlight w:val="none"/>
                <w:lang w:val="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bl>
    <w:p>
      <w:pPr>
        <w:widowControl/>
        <w:shd w:val="clear" w:color="auto"/>
        <w:wordWrap w:val="0"/>
        <w:spacing w:line="270" w:lineRule="atLeast"/>
        <w:jc w:val="center"/>
        <w:rPr>
          <w:rFonts w:hint="eastAsia" w:ascii="仿宋_GB2312" w:hAnsi="Segoe UI" w:eastAsia="仿宋_GB2312" w:cs="Segoe UI"/>
          <w:b/>
          <w:bCs/>
          <w:color w:val="000000" w:themeColor="text1"/>
          <w:kern w:val="0"/>
          <w:sz w:val="24"/>
          <w:szCs w:val="24"/>
        </w:rPr>
      </w:pPr>
    </w:p>
    <w:p>
      <w:pPr>
        <w:widowControl/>
        <w:jc w:val="left"/>
        <w:rPr>
          <w:rFonts w:hint="eastAsia" w:ascii="仿宋_GB2312" w:hAnsi="Segoe UI" w:eastAsia="仿宋_GB2312" w:cs="Segoe UI"/>
          <w:color w:val="000000" w:themeColor="text1"/>
          <w:kern w:val="0"/>
          <w:sz w:val="22"/>
        </w:rPr>
      </w:pPr>
    </w:p>
    <w:p>
      <w:pPr>
        <w:bidi w:val="0"/>
        <w:rPr>
          <w:rFonts w:hint="default" w:ascii="Times New Roman" w:hAnsi="Times New Roman" w:eastAsia="宋体" w:cs="Times New Roman"/>
          <w:color w:val="auto"/>
          <w:sz w:val="24"/>
          <w:szCs w:val="24"/>
          <w:highlight w:val="none"/>
          <w:lang w:val="zh-TW" w:eastAsia="zh-TW"/>
        </w:rPr>
      </w:pP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名称：</w:t>
      </w:r>
      <w:r>
        <w:rPr>
          <w:rFonts w:ascii="Times New Roman" w:hAnsi="Times New Roman" w:eastAsia="宋体" w:cs="Times New Roman"/>
          <w:color w:val="auto"/>
          <w:sz w:val="24"/>
          <w:szCs w:val="24"/>
          <w:highlight w:val="none"/>
          <w:u w:val="single"/>
          <w:lang w:val="zh-TW" w:eastAsia="zh-TW"/>
        </w:rPr>
        <w:t>XXX</w:t>
      </w:r>
      <w:r>
        <w:rPr>
          <w:rFonts w:hint="default" w:ascii="Times New Roman" w:hAnsi="Times New Roman" w:eastAsia="宋体" w:cs="Times New Roman"/>
          <w:color w:val="auto"/>
          <w:sz w:val="24"/>
          <w:szCs w:val="24"/>
          <w:highlight w:val="none"/>
          <w:lang w:val="zh-TW" w:eastAsia="zh-TW"/>
        </w:rPr>
        <w:t>（</w:t>
      </w: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公章）</w:t>
      </w: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-3：</w:t>
      </w:r>
    </w:p>
    <w:p>
      <w:pPr>
        <w:pStyle w:val="3"/>
        <w:tabs>
          <w:tab w:val="left" w:pos="720"/>
        </w:tabs>
        <w:spacing w:line="400" w:lineRule="exact"/>
        <w:jc w:val="center"/>
        <w:rPr>
          <w:rFonts w:ascii="仿宋" w:hAnsi="仿宋" w:eastAsia="仿宋" w:cs="仿宋"/>
        </w:rPr>
      </w:pPr>
      <w:bookmarkStart w:id="2" w:name="_Toc21163"/>
      <w:bookmarkStart w:id="3" w:name="_Toc15614"/>
      <w:bookmarkStart w:id="4" w:name="_Toc3414"/>
      <w:bookmarkStart w:id="5" w:name="_Toc21676"/>
      <w:bookmarkStart w:id="6" w:name="_Toc9234"/>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60"/>
      <w:bookmarkStart w:id="8" w:name="_Toc10689"/>
      <w:bookmarkStart w:id="9" w:name="_Toc5208"/>
      <w:bookmarkStart w:id="10" w:name="_Toc5499"/>
      <w:bookmarkStart w:id="11" w:name="_Toc14802"/>
      <w:bookmarkStart w:id="12" w:name="_Toc30494"/>
      <w:bookmarkStart w:id="13" w:name="_Toc30275"/>
      <w:bookmarkStart w:id="14" w:name="_Toc12490"/>
      <w:bookmarkStart w:id="15" w:name="_Toc11076"/>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宋体" w:hAnsi="宋体" w:eastAsia="宋体" w:cs="宋体"/>
          <w:color w:val="auto"/>
          <w:sz w:val="21"/>
          <w:szCs w:val="21"/>
          <w:highlight w:val="none"/>
        </w:rPr>
      </w:pPr>
      <w:bookmarkStart w:id="16" w:name="_Toc28103"/>
      <w:bookmarkStart w:id="17" w:name="_Toc18513"/>
      <w:bookmarkStart w:id="18" w:name="_Toc19115"/>
      <w:bookmarkStart w:id="19" w:name="_Toc18879"/>
      <w:bookmarkStart w:id="20" w:name="_Toc26481"/>
      <w:bookmarkStart w:id="21" w:name="_Toc7067"/>
      <w:bookmarkStart w:id="22" w:name="_Toc13021"/>
      <w:bookmarkStart w:id="23" w:name="_Toc30724"/>
      <w:bookmarkStart w:id="24" w:name="_Toc3447"/>
      <w:bookmarkStart w:id="25" w:name="_Toc3081"/>
      <w:bookmarkStart w:id="26" w:name="_Toc10183"/>
      <w:bookmarkStart w:id="27" w:name="_Toc10948"/>
      <w:bookmarkStart w:id="28" w:name="_Toc30080"/>
      <w:bookmarkStart w:id="29" w:name="_Toc8717"/>
      <w:bookmarkStart w:id="30" w:name="_Toc3912"/>
      <w:bookmarkStart w:id="31" w:name="_Toc9131"/>
      <w:bookmarkStart w:id="32" w:name="_Toc3392"/>
      <w:bookmarkStart w:id="33" w:name="_Toc32214"/>
      <w:r>
        <w:rPr>
          <w:rFonts w:hint="eastAsia" w:ascii="仿宋" w:hAnsi="仿宋" w:eastAsia="仿宋" w:cs="仿宋"/>
          <w:sz w:val="22"/>
        </w:rPr>
        <w:t>本公司</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名称）参加你单位</w:t>
      </w:r>
      <w:r>
        <w:rPr>
          <w:rFonts w:hint="eastAsia" w:ascii="仿宋" w:hAnsi="仿宋" w:eastAsia="仿宋" w:cs="仿宋"/>
          <w:sz w:val="22"/>
          <w:u w:val="single"/>
        </w:rPr>
        <w:t>XXX</w:t>
      </w:r>
      <w:r>
        <w:rPr>
          <w:rFonts w:hint="eastAsia" w:ascii="仿宋" w:hAnsi="仿宋" w:eastAsia="仿宋" w:cs="仿宋"/>
          <w:sz w:val="22"/>
        </w:rPr>
        <w:t>（项目名称）的采购项目，并授权</w:t>
      </w:r>
      <w:r>
        <w:rPr>
          <w:rFonts w:hint="eastAsia" w:ascii="仿宋" w:hAnsi="仿宋" w:eastAsia="仿宋" w:cs="仿宋"/>
          <w:sz w:val="22"/>
          <w:u w:val="single"/>
        </w:rPr>
        <w:t>XXX</w:t>
      </w:r>
      <w:r>
        <w:rPr>
          <w:rFonts w:hint="eastAsia" w:ascii="仿宋" w:hAnsi="仿宋" w:eastAsia="仿宋" w:cs="仿宋"/>
          <w:sz w:val="22"/>
        </w:rPr>
        <w:t>（身份证号：</w:t>
      </w:r>
      <w:r>
        <w:rPr>
          <w:rFonts w:hint="eastAsia" w:ascii="仿宋" w:hAnsi="仿宋" w:eastAsia="仿宋" w:cs="仿宋"/>
          <w:sz w:val="22"/>
          <w:u w:val="single"/>
        </w:rPr>
        <w:t>XXX</w:t>
      </w:r>
      <w:r>
        <w:rPr>
          <w:rFonts w:hint="eastAsia" w:ascii="仿宋" w:hAnsi="仿宋" w:eastAsia="仿宋" w:cs="仿宋"/>
          <w:sz w:val="22"/>
        </w:rPr>
        <w:t>）作为本项目代理人，以本公司的名义参加本项目相关的采购活动，该代理人在本项目相关的采购活动中所签署的一切文件及处理与之有关的一切事务，本公司均予以承认，并由本公司承担全部法律责任。</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本公司现承诺：</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w:t>
      </w:r>
      <w:r>
        <w:rPr>
          <w:rFonts w:hint="eastAsia" w:ascii="仿宋" w:hAnsi="仿宋" w:eastAsia="仿宋" w:cs="仿宋"/>
          <w:sz w:val="22"/>
        </w:rPr>
        <w:t>我公司满足关于</w:t>
      </w:r>
      <w:r>
        <w:rPr>
          <w:rFonts w:hint="eastAsia" w:ascii="仿宋" w:hAnsi="仿宋" w:eastAsia="仿宋" w:cs="仿宋"/>
          <w:sz w:val="22"/>
          <w:lang w:eastAsia="zh-CN"/>
        </w:rPr>
        <w:t>供应商</w:t>
      </w:r>
      <w:r>
        <w:rPr>
          <w:rFonts w:hint="eastAsia" w:ascii="仿宋" w:hAnsi="仿宋" w:eastAsia="仿宋" w:cs="仿宋"/>
          <w:sz w:val="22"/>
        </w:rPr>
        <w:t>的资格要求，包括（不限于）：</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rPr>
        <w:t>（1）</w:t>
      </w:r>
      <w:r>
        <w:rPr>
          <w:rFonts w:hint="eastAsia" w:ascii="仿宋" w:hAnsi="仿宋" w:eastAsia="仿宋" w:cs="仿宋"/>
          <w:sz w:val="22"/>
          <w:lang w:eastAsia="zh-CN"/>
        </w:rPr>
        <w:t>供应商</w:t>
      </w:r>
      <w:r>
        <w:rPr>
          <w:rFonts w:hint="eastAsia" w:ascii="仿宋" w:hAnsi="仿宋" w:eastAsia="仿宋" w:cs="仿宋"/>
          <w:sz w:val="22"/>
        </w:rPr>
        <w:t>应具备独立承担民事责任的能力及行业主管部门要求的各项资质</w:t>
      </w:r>
      <w:r>
        <w:rPr>
          <w:rFonts w:hint="eastAsia" w:ascii="仿宋" w:hAnsi="仿宋" w:eastAsia="仿宋" w:cs="仿宋"/>
          <w:sz w:val="22"/>
          <w:lang w:eastAsia="zh-CN"/>
        </w:rPr>
        <w:t>；</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（2）具有良好的商业信誉和健全的财务会计制度；</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（3）具有履行合同所必需的设备和专业技术能力；</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（4）有依法缴纳税收和社会保障资金的良好记录；</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（5）参加采购活动前三年内，在经营活动中没有重大违法记录；</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（6）法律、行政法规规定的其他条件；</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（7）根据采购项目提出的特殊条件。</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8）至报价截止时间未被列入“信用中国”网站(www.creditchina.gov.cn)、中国政府采购网(www.ccgp.gov.cn)渠道信用记录失信被执行人、重大税收违法案件当事人名单、政府采购严重违法失信行为记录名单；未处于政府部门禁止代理政府采购业务处罚期。</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lang w:eastAsia="zh-CN"/>
        </w:rPr>
        <w:t>（</w:t>
      </w:r>
      <w:r>
        <w:rPr>
          <w:rFonts w:hint="eastAsia" w:ascii="仿宋" w:hAnsi="仿宋" w:eastAsia="仿宋" w:cs="仿宋"/>
          <w:sz w:val="22"/>
          <w:lang w:val="en-US" w:eastAsia="zh-CN"/>
        </w:rPr>
        <w:t>9</w:t>
      </w:r>
      <w:r>
        <w:rPr>
          <w:rFonts w:hint="eastAsia" w:ascii="仿宋" w:hAnsi="仿宋" w:eastAsia="仿宋" w:cs="仿宋"/>
          <w:sz w:val="22"/>
          <w:lang w:eastAsia="zh-CN"/>
        </w:rPr>
        <w:t>）</w:t>
      </w:r>
      <w:r>
        <w:rPr>
          <w:rFonts w:hint="eastAsia" w:ascii="仿宋" w:hAnsi="仿宋" w:eastAsia="仿宋" w:cs="仿宋"/>
          <w:sz w:val="22"/>
        </w:rPr>
        <w:t>至报价截止时间未被列</w:t>
      </w:r>
      <w:r>
        <w:rPr>
          <w:rFonts w:hint="eastAsia" w:ascii="仿宋" w:hAnsi="仿宋" w:eastAsia="仿宋" w:cs="仿宋"/>
          <w:sz w:val="22"/>
          <w:lang w:val="en-US" w:eastAsia="zh-CN"/>
        </w:rPr>
        <w:t>为</w:t>
      </w:r>
      <w:r>
        <w:rPr>
          <w:rFonts w:hint="default" w:ascii="仿宋" w:hAnsi="仿宋" w:eastAsia="仿宋" w:cs="仿宋"/>
          <w:sz w:val="22"/>
          <w:lang w:val="en-US" w:eastAsia="zh-CN"/>
        </w:rPr>
        <w:t>医药价格和招采信用评价为“中等”“严重”“特别严重”的企业及涉事产品（若有）</w:t>
      </w:r>
      <w:r>
        <w:rPr>
          <w:rFonts w:hint="eastAsia" w:ascii="仿宋" w:hAnsi="仿宋" w:eastAsia="仿宋" w:cs="仿宋"/>
          <w:sz w:val="22"/>
          <w:lang w:val="en-US" w:eastAsia="zh-CN"/>
        </w:rPr>
        <w:t>（http://www.nhsa.gov.cn/col/col126/index.html）。</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2.</w:t>
      </w:r>
      <w:r>
        <w:rPr>
          <w:rFonts w:hint="eastAsia" w:ascii="仿宋" w:hAnsi="仿宋" w:eastAsia="仿宋" w:cs="仿宋"/>
          <w:sz w:val="22"/>
        </w:rPr>
        <w:t>我方已认真阅读并接受本项目采购文件的全部实质性要求，不存在对采购文件有异议的同时又参加本次采购活动以求侥幸成交或者为实现其他非法目的的行为。</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3.</w:t>
      </w:r>
      <w:r>
        <w:rPr>
          <w:rFonts w:hint="eastAsia" w:ascii="仿宋" w:hAnsi="仿宋" w:eastAsia="仿宋" w:cs="仿宋"/>
          <w:sz w:val="22"/>
        </w:rPr>
        <w:t>响应情况中提供的任何资料和技术、服务、商务等响应承诺情况都是真实的、有效的、合法的。</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4.</w:t>
      </w:r>
      <w:r>
        <w:rPr>
          <w:rFonts w:hint="eastAsia" w:ascii="仿宋" w:hAnsi="仿宋" w:eastAsia="仿宋" w:cs="仿宋"/>
          <w:sz w:val="22"/>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5.</w:t>
      </w:r>
      <w:r>
        <w:rPr>
          <w:rFonts w:hint="eastAsia" w:ascii="仿宋" w:hAnsi="仿宋" w:eastAsia="仿宋" w:cs="仿宋"/>
          <w:sz w:val="22"/>
        </w:rPr>
        <w:t>国家或行业主管部门对采购产品的技术标准、质量标准和资格资质条件等有强制性规定的，我方承诺符合其要求。</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6.</w:t>
      </w:r>
      <w:r>
        <w:rPr>
          <w:rFonts w:hint="eastAsia" w:ascii="仿宋" w:hAnsi="仿宋" w:eastAsia="仿宋" w:cs="仿宋"/>
          <w:sz w:val="22"/>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7.</w:t>
      </w:r>
      <w:r>
        <w:rPr>
          <w:rFonts w:hint="eastAsia" w:ascii="仿宋" w:hAnsi="仿宋" w:eastAsia="仿宋" w:cs="仿宋"/>
          <w:sz w:val="22"/>
        </w:rPr>
        <w:t>我方自愿按照采购文件规定的各项要求向采购人提供所需货物和服务。</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8.</w:t>
      </w:r>
      <w:r>
        <w:rPr>
          <w:rFonts w:hint="eastAsia" w:ascii="仿宋" w:hAnsi="仿宋" w:eastAsia="仿宋" w:cs="仿宋"/>
          <w:sz w:val="22"/>
        </w:rPr>
        <w:t>一旦我方中选，我方将严格履行采购文件、合同（协议）规定和约定的责任和义务。</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9.</w:t>
      </w:r>
      <w:r>
        <w:rPr>
          <w:rFonts w:hint="eastAsia" w:ascii="仿宋" w:hAnsi="仿宋" w:eastAsia="仿宋" w:cs="仿宋"/>
          <w:sz w:val="22"/>
        </w:rPr>
        <w:t>我方愿意提供贵单位可能另外要求的，与报价有关的文件资料，并保证我方已提供和将要提供的文件资料是真实、准确的。</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10.</w:t>
      </w:r>
      <w:r>
        <w:rPr>
          <w:rFonts w:hint="eastAsia" w:ascii="仿宋" w:hAnsi="仿宋" w:eastAsia="仿宋" w:cs="仿宋"/>
          <w:sz w:val="22"/>
        </w:rPr>
        <w:t>我方承诺向贵单位供货的同规格型号同质量等级医用物资为全四川省最低价，办公用品、装修材料、营养科食材、工会福利等为同时期成都市集团采购最低价。</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11.</w:t>
      </w:r>
      <w:r>
        <w:rPr>
          <w:rFonts w:hint="eastAsia" w:ascii="仿宋" w:hAnsi="仿宋" w:eastAsia="仿宋" w:cs="仿宋"/>
          <w:sz w:val="22"/>
        </w:rPr>
        <w:t>本单位对上述承诺的内容事项真实性负责。如经查实上述承诺的内容事项存在虚假，我单位愿意接受以提供虚假材料谋取成交追究法律责任。</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名称：</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公章）</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法人签字（章）：</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val="zh-TW" w:eastAsia="zh-TW"/>
        </w:rPr>
      </w:pPr>
      <w:r>
        <w:rPr>
          <w:rFonts w:hint="eastAsia" w:ascii="仿宋" w:hAnsi="仿宋" w:eastAsia="仿宋" w:cs="仿宋"/>
          <w:sz w:val="22"/>
        </w:rPr>
        <w:t>时间：</w:t>
      </w:r>
      <w:r>
        <w:rPr>
          <w:rFonts w:hint="eastAsia" w:ascii="仿宋" w:hAnsi="仿宋" w:eastAsia="仿宋" w:cs="仿宋"/>
          <w:sz w:val="22"/>
          <w:lang w:eastAsia="zh-CN"/>
        </w:rPr>
        <w:t>2024</w:t>
      </w:r>
      <w:r>
        <w:rPr>
          <w:rFonts w:hint="eastAsia" w:ascii="仿宋" w:hAnsi="仿宋" w:eastAsia="仿宋" w:cs="仿宋"/>
          <w:sz w:val="22"/>
        </w:rPr>
        <w:t>年XXX月XXX日</w:t>
      </w:r>
    </w:p>
    <w:p>
      <w:pPr>
        <w:rPr>
          <w:rFonts w:hint="default" w:cs="Times New Roman" w:asciiTheme="majorEastAsia" w:hAnsiTheme="majorEastAsia" w:eastAsiaTheme="majorEastAsia"/>
          <w:color w:val="auto"/>
          <w:sz w:val="30"/>
          <w:szCs w:val="30"/>
          <w:highlight w:val="none"/>
          <w:lang w:val="zh-TW" w:eastAsia="zh-TW"/>
        </w:rPr>
      </w:pPr>
      <w:r>
        <w:rPr>
          <w:rFonts w:hint="default" w:cs="Times New Roman" w:asciiTheme="majorEastAsia" w:hAnsiTheme="majorEastAsia" w:eastAsiaTheme="majorEastAsia"/>
          <w:color w:val="auto"/>
          <w:sz w:val="30"/>
          <w:szCs w:val="30"/>
          <w:highlight w:val="none"/>
          <w:lang w:val="zh-TW" w:eastAsia="zh-TW"/>
        </w:rPr>
        <w:br w:type="page"/>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77" w:bottom="1440" w:left="1077" w:header="851" w:footer="992" w:gutter="0"/>
          <w:cols w:space="0" w:num="1"/>
          <w:rtlGutter w:val="0"/>
          <w:docGrid w:type="linesAndChars" w:linePitch="314" w:charSpace="409"/>
        </w:sect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lang w:val="en-US" w:eastAsia="zh-CN"/>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四川省妇幼保健院</w:t>
      </w:r>
      <w:r>
        <w:rPr>
          <w:rFonts w:hint="eastAsia" w:ascii="仿宋_GB2312" w:hAnsi="Segoe UI" w:eastAsia="仿宋_GB2312" w:cs="Segoe UI"/>
          <w:color w:val="000000" w:themeColor="text1"/>
          <w:kern w:val="0"/>
          <w:sz w:val="24"/>
          <w:szCs w:val="24"/>
        </w:rPr>
        <w:t>：</w:t>
      </w: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法定代表人签字（章）：</w:t>
      </w: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hint="default" w:ascii="Segoe UI" w:hAnsi="Segoe UI" w:eastAsia="仿宋_GB2312" w:cs="Segoe UI"/>
          <w:color w:val="000000" w:themeColor="text1"/>
          <w:kern w:val="0"/>
          <w:sz w:val="18"/>
          <w:szCs w:val="18"/>
          <w:u w:val="single"/>
          <w:lang w:val="en-US" w:eastAsia="zh-CN"/>
        </w:rPr>
      </w:pPr>
      <w:r>
        <w:rPr>
          <w:rFonts w:hint="eastAsia" w:ascii="仿宋_GB2312" w:hAnsi="Segoe UI" w:eastAsia="仿宋_GB2312" w:cs="Segoe UI"/>
          <w:color w:val="000000" w:themeColor="text1"/>
          <w:kern w:val="0"/>
          <w:sz w:val="24"/>
          <w:szCs w:val="24"/>
        </w:rPr>
        <w:t>六、</w:t>
      </w:r>
      <w:r>
        <w:rPr>
          <w:rFonts w:hint="eastAsia" w:ascii="仿宋_GB2312" w:hAnsi="Segoe UI" w:eastAsia="仿宋_GB2312" w:cs="Segoe UI"/>
          <w:b/>
          <w:bCs/>
          <w:color w:val="000000" w:themeColor="text1"/>
          <w:kern w:val="0"/>
          <w:sz w:val="24"/>
          <w:szCs w:val="24"/>
        </w:rPr>
        <w:t>采购物资名称：</w:t>
      </w:r>
      <w:r>
        <w:rPr>
          <w:rFonts w:hint="eastAsia" w:ascii="仿宋_GB2312" w:hAnsi="Segoe UI" w:eastAsia="仿宋_GB2312" w:cs="Segoe UI"/>
          <w:color w:val="000000" w:themeColor="text1"/>
          <w:kern w:val="0"/>
          <w:sz w:val="24"/>
          <w:szCs w:val="24"/>
          <w:u w:val="single"/>
          <w:lang w:val="en-US" w:eastAsia="zh-CN"/>
        </w:rPr>
        <w:t xml:space="preserve">                   </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ind w:firstLine="482" w:firstLineChars="200"/>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ind w:firstLine="482" w:firstLineChars="20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）采购活动中，无以下围标、串标行为：</w:t>
      </w:r>
    </w:p>
    <w:p>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2"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2"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2"/>
        <w:ind w:firstLine="2810" w:firstLineChars="1000"/>
        <w:jc w:val="left"/>
        <w:rPr>
          <w:rFonts w:hint="eastAsia" w:ascii="仿宋_GB2312" w:hAnsi="仿宋_GB2312" w:eastAsia="仿宋_GB2312" w:cs="仿宋_GB2312"/>
          <w:b/>
          <w:bCs/>
          <w:sz w:val="28"/>
          <w:szCs w:val="28"/>
        </w:rPr>
      </w:pPr>
    </w:p>
    <w:p>
      <w:pPr>
        <w:pStyle w:val="2"/>
        <w:ind w:firstLine="2810"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2"/>
        <w:ind w:firstLine="562"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ind w:firstLine="563"/>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日期：     年    月    日</w:t>
      </w:r>
    </w:p>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br w:type="page"/>
      </w:r>
    </w:p>
    <w:p>
      <w:pPr>
        <w:ind w:firstLine="563"/>
        <w:rPr>
          <w:rFonts w:hint="eastAsia" w:ascii="仿宋_GB2312" w:hAnsi="Segoe UI" w:eastAsia="仿宋_GB2312" w:cs="Segoe UI"/>
          <w:b/>
          <w:bCs/>
          <w:color w:val="000000" w:themeColor="text1"/>
          <w:kern w:val="0"/>
          <w:sz w:val="24"/>
          <w:szCs w:val="24"/>
          <w:lang w:val="en-US" w:eastAsia="zh-CN" w:bidi="ar-SA"/>
        </w:rPr>
      </w:pPr>
      <w:r>
        <w:rPr>
          <w:rFonts w:hint="eastAsia" w:ascii="仿宋_GB2312" w:hAnsi="Segoe UI" w:eastAsia="仿宋_GB2312" w:cs="Segoe UI"/>
          <w:b/>
          <w:bCs/>
          <w:color w:val="000000" w:themeColor="text1"/>
          <w:kern w:val="0"/>
          <w:sz w:val="24"/>
          <w:szCs w:val="24"/>
          <w:lang w:val="en-US" w:eastAsia="zh-CN" w:bidi="ar-SA"/>
        </w:rPr>
        <w:t>附件8：《试剂耗材采购合同》</w:t>
      </w:r>
    </w:p>
    <w:p>
      <w:pPr>
        <w:pStyle w:val="2"/>
        <w:rPr>
          <w:rFonts w:hint="eastAsia"/>
          <w:lang w:val="en-US" w:eastAsia="zh-CN"/>
        </w:rPr>
      </w:pPr>
    </w:p>
    <w:p>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w:t>
      </w:r>
    </w:p>
    <w:p>
      <w:pPr>
        <w:spacing w:line="312" w:lineRule="auto"/>
        <w:jc w:val="center"/>
        <w:outlineLvl w:val="0"/>
        <w:rPr>
          <w:rFonts w:hint="eastAsia" w:ascii="黑体" w:hAnsi="黑体" w:eastAsia="黑体"/>
          <w:color w:val="auto"/>
          <w:sz w:val="44"/>
          <w:szCs w:val="44"/>
        </w:rPr>
      </w:pPr>
      <w:r>
        <w:rPr>
          <w:rFonts w:hint="eastAsia" w:ascii="黑体" w:hAnsi="黑体" w:eastAsia="黑体"/>
          <w:color w:val="auto"/>
          <w:sz w:val="44"/>
          <w:szCs w:val="44"/>
        </w:rPr>
        <w:t>试剂耗材采购合同</w:t>
      </w:r>
    </w:p>
    <w:p>
      <w:pPr>
        <w:spacing w:line="312" w:lineRule="auto"/>
        <w:jc w:val="center"/>
        <w:outlineLvl w:val="0"/>
        <w:rPr>
          <w:rFonts w:hint="eastAsia" w:ascii="黑体" w:hAnsi="黑体" w:eastAsia="黑体"/>
          <w:color w:val="auto"/>
          <w:sz w:val="44"/>
          <w:szCs w:val="44"/>
        </w:rPr>
      </w:pPr>
      <w:r>
        <w:rPr>
          <w:rFonts w:hint="eastAsia" w:ascii="黑体" w:hAnsi="黑体" w:eastAsia="黑体" w:cs="黑体"/>
          <w:b/>
          <w:sz w:val="36"/>
          <w:szCs w:val="32"/>
          <w:lang w:eastAsia="zh-CN"/>
        </w:rPr>
        <w:t>（</w:t>
      </w:r>
      <w:r>
        <w:rPr>
          <w:rFonts w:hint="eastAsia" w:ascii="黑体" w:hAnsi="黑体" w:eastAsia="黑体" w:cs="黑体"/>
          <w:b/>
          <w:sz w:val="36"/>
          <w:szCs w:val="32"/>
        </w:rPr>
        <w:t>仅中选后使用）</w:t>
      </w:r>
    </w:p>
    <w:p>
      <w:pPr>
        <w:spacing w:line="312" w:lineRule="auto"/>
        <w:rPr>
          <w:rFonts w:hint="eastAsia" w:ascii="宋体" w:hAnsi="宋体"/>
          <w:b/>
          <w:color w:val="auto"/>
          <w:sz w:val="24"/>
        </w:rPr>
      </w:pPr>
    </w:p>
    <w:tbl>
      <w:tblPr>
        <w:tblStyle w:val="13"/>
        <w:tblW w:w="90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75"/>
        <w:gridCol w:w="4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4275" w:type="dxa"/>
            <w:noWrap w:val="0"/>
            <w:vAlign w:val="top"/>
          </w:tcPr>
          <w:p>
            <w:pPr>
              <w:spacing w:line="500" w:lineRule="exact"/>
              <w:rPr>
                <w:rFonts w:hint="eastAsia" w:ascii="黑体" w:hAnsi="黑体" w:eastAsia="黑体" w:cs="黑体"/>
                <w:color w:val="auto"/>
                <w:sz w:val="24"/>
              </w:rPr>
            </w:pPr>
            <w:bookmarkStart w:id="35" w:name="_GoBack"/>
            <w:bookmarkEnd w:id="35"/>
            <w:r>
              <w:rPr>
                <w:rFonts w:hint="eastAsia" w:ascii="黑体" w:hAnsi="黑体" w:eastAsia="黑体" w:cs="黑体"/>
                <w:color w:val="auto"/>
                <w:sz w:val="24"/>
                <w:lang w:val="en-US" w:eastAsia="zh-CN"/>
              </w:rPr>
              <w:t xml:space="preserve">甲方：四川省妇幼保健院   </w:t>
            </w:r>
          </w:p>
        </w:tc>
        <w:tc>
          <w:tcPr>
            <w:tcW w:w="4804" w:type="dxa"/>
            <w:noWrap w:val="0"/>
            <w:vAlign w:val="top"/>
          </w:tcPr>
          <w:p>
            <w:pPr>
              <w:spacing w:line="500" w:lineRule="exact"/>
              <w:rPr>
                <w:rFonts w:hint="default" w:ascii="黑体" w:hAnsi="黑体" w:eastAsia="黑体" w:cs="黑体"/>
                <w:color w:val="FF0000"/>
                <w:sz w:val="24"/>
                <w:lang w:val="en-US"/>
              </w:rPr>
            </w:pPr>
            <w:r>
              <w:rPr>
                <w:rFonts w:hint="eastAsia" w:ascii="黑体" w:hAnsi="黑体" w:eastAsia="黑体" w:cs="黑体"/>
                <w:color w:val="FF0000"/>
                <w:sz w:val="24"/>
                <w:lang w:val="en-US" w:eastAsia="zh-CN"/>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4275" w:type="dxa"/>
            <w:noWrap w:val="0"/>
            <w:vAlign w:val="top"/>
          </w:tcPr>
          <w:p>
            <w:pPr>
              <w:spacing w:line="500" w:lineRule="exact"/>
              <w:rPr>
                <w:rFonts w:hint="eastAsia" w:ascii="黑体" w:hAnsi="黑体" w:eastAsia="黑体" w:cs="黑体"/>
                <w:color w:val="auto"/>
                <w:sz w:val="24"/>
              </w:rPr>
            </w:pPr>
            <w:r>
              <w:rPr>
                <w:rFonts w:hint="eastAsia" w:ascii="黑体" w:hAnsi="黑体" w:eastAsia="黑体" w:cs="黑体"/>
                <w:color w:val="auto"/>
                <w:sz w:val="24"/>
                <w:lang w:val="en-US" w:eastAsia="zh-CN"/>
              </w:rPr>
              <w:t xml:space="preserve">地址：成都市武侯区沙堰西二街290号     </w:t>
            </w:r>
          </w:p>
        </w:tc>
        <w:tc>
          <w:tcPr>
            <w:tcW w:w="4804" w:type="dxa"/>
            <w:noWrap w:val="0"/>
            <w:vAlign w:val="top"/>
          </w:tcPr>
          <w:p>
            <w:pPr>
              <w:spacing w:line="500" w:lineRule="exact"/>
              <w:rPr>
                <w:rFonts w:hint="eastAsia" w:ascii="黑体" w:hAnsi="黑体" w:eastAsia="黑体" w:cs="黑体"/>
                <w:color w:val="FF0000"/>
                <w:sz w:val="24"/>
                <w:lang w:val="en-US" w:eastAsia="zh-CN"/>
              </w:rPr>
            </w:pPr>
            <w:r>
              <w:rPr>
                <w:rFonts w:hint="eastAsia" w:ascii="黑体" w:hAnsi="黑体" w:eastAsia="黑体" w:cs="黑体"/>
                <w:color w:val="FF0000"/>
                <w:sz w:val="24"/>
                <w:lang w:val="en-US" w:eastAsia="zh-CN"/>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4275" w:type="dxa"/>
            <w:noWrap w:val="0"/>
            <w:vAlign w:val="top"/>
          </w:tcPr>
          <w:p>
            <w:pPr>
              <w:spacing w:line="500" w:lineRule="exact"/>
              <w:rPr>
                <w:rFonts w:hint="eastAsia" w:ascii="黑体" w:hAnsi="黑体" w:eastAsia="黑体" w:cs="黑体"/>
                <w:color w:val="auto"/>
                <w:sz w:val="24"/>
              </w:rPr>
            </w:pPr>
            <w:r>
              <w:rPr>
                <w:rFonts w:hint="eastAsia" w:ascii="黑体" w:hAnsi="黑体" w:eastAsia="黑体" w:cs="黑体"/>
                <w:color w:val="auto"/>
                <w:sz w:val="24"/>
                <w:lang w:val="en-US" w:eastAsia="zh-CN"/>
              </w:rPr>
              <w:t xml:space="preserve">电话：028-65978222  </w:t>
            </w:r>
          </w:p>
        </w:tc>
        <w:tc>
          <w:tcPr>
            <w:tcW w:w="4804" w:type="dxa"/>
            <w:noWrap w:val="0"/>
            <w:vAlign w:val="top"/>
          </w:tcPr>
          <w:p>
            <w:pPr>
              <w:spacing w:line="500" w:lineRule="exact"/>
              <w:rPr>
                <w:rFonts w:hint="default" w:ascii="黑体" w:hAnsi="黑体" w:eastAsia="黑体" w:cs="黑体"/>
                <w:color w:val="FF0000"/>
                <w:sz w:val="24"/>
                <w:lang w:val="en-US" w:eastAsia="zh-CN"/>
              </w:rPr>
            </w:pPr>
            <w:r>
              <w:rPr>
                <w:rFonts w:hint="eastAsia" w:ascii="黑体" w:hAnsi="黑体" w:eastAsia="黑体" w:cs="黑体"/>
                <w:color w:val="FF0000"/>
                <w:sz w:val="24"/>
                <w:lang w:val="en-US" w:eastAsia="zh-CN"/>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4275" w:type="dxa"/>
            <w:noWrap w:val="0"/>
            <w:vAlign w:val="top"/>
          </w:tcPr>
          <w:p>
            <w:pPr>
              <w:spacing w:line="500" w:lineRule="exact"/>
              <w:rPr>
                <w:rFonts w:hint="eastAsia" w:ascii="黑体" w:hAnsi="黑体" w:eastAsia="黑体" w:cs="黑体"/>
                <w:color w:val="auto"/>
                <w:sz w:val="24"/>
                <w:lang w:val="en-US" w:eastAsia="zh-CN"/>
              </w:rPr>
            </w:pPr>
            <w:r>
              <w:rPr>
                <w:rFonts w:hint="eastAsia" w:ascii="黑体" w:hAnsi="黑体" w:eastAsia="黑体" w:cs="黑体"/>
                <w:color w:val="auto"/>
                <w:sz w:val="24"/>
              </w:rPr>
              <w:t xml:space="preserve">邮编：610045   </w:t>
            </w:r>
          </w:p>
        </w:tc>
        <w:tc>
          <w:tcPr>
            <w:tcW w:w="4804" w:type="dxa"/>
            <w:noWrap w:val="0"/>
            <w:vAlign w:val="top"/>
          </w:tcPr>
          <w:p>
            <w:pPr>
              <w:spacing w:line="500" w:lineRule="exact"/>
              <w:rPr>
                <w:rFonts w:hint="eastAsia" w:ascii="黑体" w:hAnsi="黑体" w:eastAsia="黑体" w:cs="黑体"/>
                <w:color w:val="FF0000"/>
                <w:sz w:val="24"/>
                <w:lang w:val="en-US" w:eastAsia="zh-CN"/>
              </w:rPr>
            </w:pPr>
            <w:r>
              <w:rPr>
                <w:rFonts w:hint="eastAsia" w:ascii="黑体" w:hAnsi="黑体" w:eastAsia="黑体" w:cs="黑体"/>
                <w:color w:val="FF0000"/>
                <w:sz w:val="24"/>
              </w:rPr>
              <w:t>邮编</w:t>
            </w:r>
          </w:p>
        </w:tc>
      </w:tr>
    </w:tbl>
    <w:p>
      <w:pPr>
        <w:spacing w:line="360" w:lineRule="auto"/>
        <w:ind w:left="4080" w:hanging="4097" w:hangingChars="1700"/>
        <w:rPr>
          <w:rFonts w:hint="eastAsia" w:ascii="黑体" w:hAnsi="黑体" w:eastAsia="黑体" w:cs="黑体"/>
          <w:color w:val="auto"/>
          <w:sz w:val="24"/>
          <w:lang w:val="en-US" w:eastAsia="zh-CN"/>
        </w:rPr>
      </w:pPr>
    </w:p>
    <w:p>
      <w:pPr>
        <w:pStyle w:val="25"/>
        <w:spacing w:line="460" w:lineRule="exact"/>
        <w:ind w:firstLine="500" w:firstLineChars="0"/>
        <w:rPr>
          <w:rFonts w:hint="eastAsia" w:ascii="仿宋" w:hAnsi="仿宋" w:eastAsia="仿宋"/>
          <w:color w:val="auto"/>
          <w:sz w:val="28"/>
          <w:szCs w:val="28"/>
        </w:rPr>
      </w:pPr>
      <w:r>
        <w:rPr>
          <w:rFonts w:hint="eastAsia" w:ascii="仿宋" w:hAnsi="仿宋" w:eastAsia="仿宋"/>
          <w:color w:val="auto"/>
          <w:sz w:val="28"/>
          <w:szCs w:val="28"/>
        </w:rPr>
        <w:t>甲乙双方通过院内采购的方式确定甲方在约定期限内向乙方采购货物。根据《中华人民共和国民法典》以及本次采购项目《招标文件》、乙方《投标文件》及中标通知书，甲、乙双方同意签订本合同，共同遵守如下条款：</w:t>
      </w:r>
    </w:p>
    <w:p>
      <w:pPr>
        <w:pStyle w:val="25"/>
        <w:spacing w:line="460" w:lineRule="exact"/>
        <w:ind w:firstLine="500" w:firstLineChars="0"/>
        <w:rPr>
          <w:rFonts w:hint="eastAsia" w:ascii="仿宋" w:hAnsi="仿宋" w:eastAsia="仿宋"/>
          <w:color w:val="auto"/>
          <w:sz w:val="28"/>
          <w:szCs w:val="28"/>
        </w:rPr>
      </w:pPr>
    </w:p>
    <w:p>
      <w:pPr>
        <w:numPr>
          <w:ilvl w:val="0"/>
          <w:numId w:val="2"/>
        </w:num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产品基本情况</w:t>
      </w:r>
    </w:p>
    <w:tbl>
      <w:tblPr>
        <w:tblStyle w:val="13"/>
        <w:tblW w:w="10574"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1285"/>
        <w:gridCol w:w="834"/>
        <w:gridCol w:w="416"/>
        <w:gridCol w:w="1051"/>
        <w:gridCol w:w="1446"/>
        <w:gridCol w:w="1367"/>
        <w:gridCol w:w="910"/>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355"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rPr>
              <w:t>材料名称（注册证名称）</w:t>
            </w:r>
          </w:p>
        </w:tc>
        <w:tc>
          <w:tcPr>
            <w:tcW w:w="1285"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rPr>
              <w:t>生产厂家</w:t>
            </w:r>
          </w:p>
        </w:tc>
        <w:tc>
          <w:tcPr>
            <w:tcW w:w="834"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rPr>
              <w:t>规格型号</w:t>
            </w:r>
          </w:p>
        </w:tc>
        <w:tc>
          <w:tcPr>
            <w:tcW w:w="416"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rPr>
              <w:t>单位</w:t>
            </w:r>
          </w:p>
        </w:tc>
        <w:tc>
          <w:tcPr>
            <w:tcW w:w="1051"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rPr>
              <w:t>单价（元）</w:t>
            </w:r>
          </w:p>
        </w:tc>
        <w:tc>
          <w:tcPr>
            <w:tcW w:w="1446"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rPr>
              <w:t>医疗器械注册证/备案凭证编号</w:t>
            </w:r>
          </w:p>
        </w:tc>
        <w:tc>
          <w:tcPr>
            <w:tcW w:w="1367"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rPr>
              <w:t>挂网商品代码</w:t>
            </w:r>
          </w:p>
        </w:tc>
        <w:tc>
          <w:tcPr>
            <w:tcW w:w="910" w:type="dxa"/>
            <w:noWrap w:val="0"/>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产品ID</w:t>
            </w:r>
          </w:p>
        </w:tc>
        <w:tc>
          <w:tcPr>
            <w:tcW w:w="910"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医保编码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355" w:type="dxa"/>
            <w:noWrap w:val="0"/>
            <w:vAlign w:val="center"/>
          </w:tcPr>
          <w:p>
            <w:pPr>
              <w:bidi w:val="0"/>
              <w:jc w:val="center"/>
              <w:rPr>
                <w:rFonts w:hint="eastAsia" w:ascii="宋体" w:hAnsi="宋体" w:eastAsia="宋体" w:cs="宋体"/>
                <w:kern w:val="2"/>
                <w:sz w:val="24"/>
                <w:szCs w:val="24"/>
                <w:lang w:val="en-US" w:eastAsia="zh-CN" w:bidi="ar-SA"/>
              </w:rPr>
            </w:pPr>
          </w:p>
        </w:tc>
        <w:tc>
          <w:tcPr>
            <w:tcW w:w="1285" w:type="dxa"/>
            <w:noWrap w:val="0"/>
            <w:vAlign w:val="center"/>
          </w:tcPr>
          <w:p>
            <w:pPr>
              <w:bidi w:val="0"/>
              <w:jc w:val="both"/>
              <w:rPr>
                <w:rFonts w:hint="eastAsia" w:ascii="宋体" w:hAnsi="宋体" w:eastAsia="宋体" w:cs="宋体"/>
                <w:kern w:val="2"/>
                <w:sz w:val="24"/>
                <w:szCs w:val="24"/>
                <w:lang w:val="en-US" w:eastAsia="en-US" w:bidi="ar-SA"/>
              </w:rPr>
            </w:pPr>
          </w:p>
        </w:tc>
        <w:tc>
          <w:tcPr>
            <w:tcW w:w="834" w:type="dxa"/>
            <w:noWrap w:val="0"/>
            <w:vAlign w:val="center"/>
          </w:tcPr>
          <w:p>
            <w:pPr>
              <w:bidi w:val="0"/>
              <w:jc w:val="center"/>
              <w:rPr>
                <w:rFonts w:hint="eastAsia" w:ascii="宋体" w:hAnsi="宋体" w:eastAsia="宋体" w:cs="宋体"/>
                <w:kern w:val="2"/>
                <w:sz w:val="24"/>
                <w:szCs w:val="24"/>
                <w:lang w:val="en-US" w:eastAsia="en-US" w:bidi="ar-SA"/>
              </w:rPr>
            </w:pPr>
          </w:p>
        </w:tc>
        <w:tc>
          <w:tcPr>
            <w:tcW w:w="416" w:type="dxa"/>
            <w:noWrap w:val="0"/>
            <w:vAlign w:val="center"/>
          </w:tcPr>
          <w:p>
            <w:pPr>
              <w:bidi w:val="0"/>
              <w:jc w:val="center"/>
              <w:rPr>
                <w:rFonts w:hint="eastAsia" w:ascii="宋体" w:hAnsi="宋体" w:eastAsia="宋体" w:cs="宋体"/>
                <w:kern w:val="2"/>
                <w:sz w:val="24"/>
                <w:szCs w:val="24"/>
                <w:lang w:val="en-US" w:eastAsia="en-US" w:bidi="ar-SA"/>
              </w:rPr>
            </w:pPr>
          </w:p>
        </w:tc>
        <w:tc>
          <w:tcPr>
            <w:tcW w:w="1051" w:type="dxa"/>
            <w:noWrap w:val="0"/>
            <w:vAlign w:val="center"/>
          </w:tcPr>
          <w:p>
            <w:pPr>
              <w:bidi w:val="0"/>
              <w:jc w:val="center"/>
              <w:rPr>
                <w:rFonts w:hint="eastAsia" w:ascii="宋体" w:hAnsi="宋体" w:eastAsia="宋体" w:cs="宋体"/>
                <w:kern w:val="2"/>
                <w:sz w:val="24"/>
                <w:szCs w:val="24"/>
                <w:lang w:val="en-US" w:eastAsia="en-US" w:bidi="ar-SA"/>
              </w:rPr>
            </w:pPr>
          </w:p>
        </w:tc>
        <w:tc>
          <w:tcPr>
            <w:tcW w:w="1446" w:type="dxa"/>
            <w:noWrap w:val="0"/>
            <w:vAlign w:val="center"/>
          </w:tcPr>
          <w:p>
            <w:pPr>
              <w:bidi w:val="0"/>
              <w:jc w:val="center"/>
              <w:rPr>
                <w:rFonts w:hint="eastAsia" w:ascii="宋体" w:hAnsi="宋体" w:eastAsia="宋体" w:cs="宋体"/>
                <w:kern w:val="2"/>
                <w:sz w:val="24"/>
                <w:szCs w:val="24"/>
                <w:lang w:val="en-US" w:eastAsia="en-US" w:bidi="ar-SA"/>
              </w:rPr>
            </w:pPr>
          </w:p>
        </w:tc>
        <w:tc>
          <w:tcPr>
            <w:tcW w:w="1367" w:type="dxa"/>
            <w:noWrap w:val="0"/>
            <w:vAlign w:val="center"/>
          </w:tcPr>
          <w:p>
            <w:pPr>
              <w:bidi w:val="0"/>
              <w:jc w:val="center"/>
              <w:rPr>
                <w:rFonts w:hint="eastAsia" w:ascii="宋体" w:hAnsi="宋体" w:eastAsia="宋体" w:cs="宋体"/>
                <w:kern w:val="2"/>
                <w:sz w:val="24"/>
                <w:szCs w:val="24"/>
                <w:lang w:val="en-US" w:eastAsia="en-US" w:bidi="ar-SA"/>
              </w:rPr>
            </w:pPr>
          </w:p>
        </w:tc>
        <w:tc>
          <w:tcPr>
            <w:tcW w:w="910" w:type="dxa"/>
            <w:noWrap w:val="0"/>
            <w:vAlign w:val="center"/>
          </w:tcPr>
          <w:p>
            <w:pPr>
              <w:bidi w:val="0"/>
              <w:jc w:val="center"/>
              <w:rPr>
                <w:rFonts w:hint="eastAsia" w:ascii="宋体" w:hAnsi="宋体" w:eastAsia="宋体" w:cs="宋体"/>
                <w:kern w:val="2"/>
                <w:sz w:val="24"/>
                <w:szCs w:val="24"/>
                <w:lang w:val="en-US" w:eastAsia="en-US" w:bidi="ar-SA"/>
              </w:rPr>
            </w:pPr>
          </w:p>
        </w:tc>
        <w:tc>
          <w:tcPr>
            <w:tcW w:w="910"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0574" w:type="dxa"/>
            <w:gridSpan w:val="9"/>
            <w:noWrap w:val="0"/>
            <w:vAlign w:val="center"/>
          </w:tcPr>
          <w:p>
            <w:pPr>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年度最高限价</w:t>
            </w:r>
            <w:r>
              <w:rPr>
                <w:rFonts w:hint="eastAsia" w:ascii="宋体" w:hAnsi="宋体" w:eastAsia="宋体" w:cs="宋体"/>
                <w:color w:val="auto"/>
                <w:sz w:val="24"/>
                <w:szCs w:val="24"/>
                <w:lang w:val="en-US" w:eastAsia="zh-CN"/>
              </w:rPr>
              <w:t>：¥   元/年，大写：人民币   元整/年。</w:t>
            </w:r>
          </w:p>
        </w:tc>
      </w:tr>
    </w:tbl>
    <w:p>
      <w:pPr>
        <w:spacing w:line="420" w:lineRule="exact"/>
        <w:jc w:val="left"/>
        <w:rPr>
          <w:rFonts w:hint="eastAsia" w:ascii="黑体" w:hAnsi="黑体" w:eastAsia="黑体"/>
          <w:color w:val="auto"/>
          <w:sz w:val="28"/>
          <w:szCs w:val="28"/>
        </w:rPr>
      </w:pP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二、供货价格</w:t>
      </w:r>
    </w:p>
    <w:p>
      <w:pPr>
        <w:spacing w:line="420" w:lineRule="exact"/>
        <w:jc w:val="left"/>
        <w:rPr>
          <w:rFonts w:hint="eastAsia" w:ascii="仿宋" w:hAnsi="仿宋" w:eastAsia="仿宋" w:cs="宋体"/>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1</w:t>
      </w:r>
      <w:r>
        <w:rPr>
          <w:rFonts w:hint="eastAsia" w:ascii="仿宋" w:hAnsi="仿宋" w:eastAsia="仿宋"/>
          <w:color w:val="auto"/>
          <w:sz w:val="28"/>
          <w:szCs w:val="28"/>
        </w:rPr>
        <w:t>.</w:t>
      </w:r>
      <w:r>
        <w:rPr>
          <w:rFonts w:hint="eastAsia" w:ascii="仿宋" w:hAnsi="仿宋" w:eastAsia="仿宋" w:cs="宋体"/>
          <w:color w:val="auto"/>
          <w:sz w:val="28"/>
          <w:szCs w:val="28"/>
        </w:rPr>
        <w:t>按第一条确定的价格执行，该价格包含但不限于成本、运输、包装、培训、配送、伴随服务、税费、保险及其他一切附加费用。</w:t>
      </w:r>
    </w:p>
    <w:p>
      <w:pPr>
        <w:spacing w:line="420" w:lineRule="exact"/>
        <w:ind w:firstLine="562" w:firstLineChars="200"/>
        <w:jc w:val="left"/>
        <w:rPr>
          <w:rFonts w:hint="eastAsia"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eastAsia="仿宋"/>
          <w:color w:val="auto"/>
          <w:sz w:val="28"/>
          <w:szCs w:val="28"/>
        </w:rPr>
        <w:t>.</w:t>
      </w:r>
      <w:r>
        <w:rPr>
          <w:rFonts w:hint="eastAsia" w:ascii="仿宋" w:hAnsi="仿宋" w:eastAsia="仿宋" w:cs="宋体"/>
          <w:color w:val="auto"/>
          <w:sz w:val="28"/>
          <w:szCs w:val="28"/>
        </w:rPr>
        <w:t>合同履行期间，供货价格原则上固定不变。如合同价格高于四川省药械集中采购及医药价格监管平台最低采购价，乙方按照不高于最低采购价供货；如乙方因政策变化提出价格上调要求，乙方须提供相关部门出具的价格调整文件并经甲方同意后，乙方可对尚未售出的医用耗材进行相应的供货价格调整，但在甲方最终确认前，乙方不得由此影响供货。</w:t>
      </w:r>
    </w:p>
    <w:p>
      <w:pPr>
        <w:spacing w:line="420" w:lineRule="exact"/>
        <w:jc w:val="left"/>
        <w:rPr>
          <w:rFonts w:hint="eastAsia" w:ascii="仿宋" w:hAnsi="仿宋" w:eastAsia="仿宋"/>
          <w:b/>
          <w:color w:val="auto"/>
          <w:sz w:val="28"/>
          <w:szCs w:val="28"/>
        </w:rPr>
      </w:pPr>
      <w:r>
        <w:rPr>
          <w:rFonts w:hint="eastAsia" w:ascii="黑体" w:hAnsi="黑体" w:eastAsia="黑体"/>
          <w:color w:val="auto"/>
          <w:sz w:val="28"/>
          <w:szCs w:val="28"/>
        </w:rPr>
        <w:t>三、供货期限：</w:t>
      </w:r>
      <w:r>
        <w:rPr>
          <w:rFonts w:hint="eastAsia" w:ascii="黑体" w:hAnsi="黑体" w:eastAsia="黑体"/>
          <w:color w:val="auto"/>
          <w:sz w:val="28"/>
          <w:szCs w:val="28"/>
          <w:lang w:val="en-US" w:eastAsia="zh-CN"/>
        </w:rPr>
        <w:t xml:space="preserve">   </w:t>
      </w:r>
      <w:r>
        <w:rPr>
          <w:rFonts w:hint="eastAsia" w:ascii="仿宋" w:hAnsi="仿宋" w:eastAsia="仿宋"/>
          <w:b/>
          <w:color w:val="auto"/>
          <w:sz w:val="28"/>
          <w:szCs w:val="28"/>
        </w:rPr>
        <w:t>年</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 xml:space="preserve">日 —  </w:t>
      </w:r>
      <w:r>
        <w:rPr>
          <w:rFonts w:hint="eastAsia" w:ascii="仿宋" w:hAnsi="仿宋" w:eastAsia="仿宋"/>
          <w:b/>
          <w:color w:val="auto"/>
          <w:sz w:val="28"/>
          <w:szCs w:val="28"/>
          <w:lang w:val="en-US" w:eastAsia="zh-CN"/>
        </w:rPr>
        <w:t xml:space="preserve">  2028 年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日。</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四、质量保证</w:t>
      </w:r>
    </w:p>
    <w:p>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 xml:space="preserve"> </w:t>
      </w:r>
      <w:r>
        <w:rPr>
          <w:rFonts w:hint="eastAsia" w:ascii="仿宋" w:hAnsi="仿宋" w:eastAsia="仿宋" w:cs="宋体"/>
          <w:sz w:val="28"/>
          <w:szCs w:val="28"/>
        </w:rPr>
        <w:t>乙方保证所供货物原产地真实，产品全新未使用过，质量符合国家标准（在无国家标准时，符合行业标准），不得以假充真，以次充好。如果所供产品的质量不合格或规格不符合甲方要求以及存在任何潜在的缺陷，</w:t>
      </w:r>
      <w:r>
        <w:rPr>
          <w:rFonts w:hint="eastAsia" w:ascii="仿宋" w:hAnsi="仿宋" w:eastAsia="仿宋" w:cs="宋体"/>
          <w:sz w:val="28"/>
          <w:szCs w:val="28"/>
          <w:lang w:val="en-US" w:eastAsia="zh-CN"/>
        </w:rPr>
        <w:t>甲方有权解除合同并要求乙方承担产品瑕疵的违约责任；若甲方要求乙方更换的，</w:t>
      </w:r>
      <w:r>
        <w:rPr>
          <w:rFonts w:hint="eastAsia" w:ascii="仿宋" w:hAnsi="仿宋" w:eastAsia="仿宋" w:cs="宋体"/>
          <w:sz w:val="28"/>
          <w:szCs w:val="28"/>
        </w:rPr>
        <w:t>乙方应在接到甲</w:t>
      </w:r>
      <w:r>
        <w:rPr>
          <w:rFonts w:hint="eastAsia" w:ascii="仿宋" w:hAnsi="仿宋" w:eastAsia="仿宋"/>
          <w:sz w:val="28"/>
          <w:szCs w:val="28"/>
        </w:rPr>
        <w:t>方通知后3天内负责换货，因换货产生的费用由乙方负担。如因不合格产品给甲方造成损失，乙方还应承担赔偿责任。</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五、资质保证</w:t>
      </w:r>
    </w:p>
    <w:p>
      <w:pPr>
        <w:spacing w:line="420" w:lineRule="exact"/>
        <w:ind w:firstLine="480"/>
        <w:jc w:val="left"/>
        <w:rPr>
          <w:rFonts w:hint="eastAsia" w:ascii="仿宋" w:hAnsi="仿宋" w:eastAsia="仿宋"/>
          <w:color w:val="auto"/>
          <w:sz w:val="28"/>
          <w:szCs w:val="28"/>
        </w:rPr>
      </w:pPr>
      <w:r>
        <w:rPr>
          <w:rFonts w:hint="eastAsia" w:ascii="仿宋" w:hAnsi="仿宋" w:eastAsia="仿宋"/>
          <w:color w:val="auto"/>
          <w:sz w:val="28"/>
          <w:szCs w:val="28"/>
        </w:rPr>
        <w:t>乙方必须按采购会议公告要求向甲方提交相关产品的资质文件并保证文件真实合法有效。在合同履行期间，如遇资质文件发生变动，乙方须在3天内提供变更后的相关资质。</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六、包装</w:t>
      </w:r>
    </w:p>
    <w:p>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sz w:val="28"/>
          <w:szCs w:val="28"/>
        </w:rPr>
        <w:t xml:space="preserve"> 1.乙方所供产品应使用原厂包装物并必须符合国家有关规定；符合国家食品药品监督管理局要求的中文说明书、标签和包装标识，产品包装上（包括大包装、小包装等）必须附有名称、批号、产地、规格、型号、消毒日期，有效期等国家规定的中文标识，否则，</w:t>
      </w:r>
      <w:r>
        <w:rPr>
          <w:rFonts w:hint="eastAsia" w:ascii="仿宋" w:hAnsi="仿宋" w:eastAsia="仿宋"/>
          <w:sz w:val="28"/>
          <w:szCs w:val="28"/>
          <w:lang w:val="en-US" w:eastAsia="zh-CN"/>
        </w:rPr>
        <w:t>视为乙方未按合同要求提供产品，</w:t>
      </w:r>
      <w:r>
        <w:rPr>
          <w:rFonts w:hint="eastAsia" w:ascii="仿宋" w:hAnsi="仿宋" w:eastAsia="仿宋"/>
          <w:sz w:val="28"/>
          <w:szCs w:val="28"/>
        </w:rPr>
        <w:t>甲方可拒绝接收货物</w:t>
      </w:r>
      <w:r>
        <w:rPr>
          <w:rFonts w:hint="eastAsia" w:ascii="仿宋" w:hAnsi="仿宋" w:eastAsia="仿宋"/>
          <w:sz w:val="28"/>
          <w:szCs w:val="28"/>
          <w:lang w:val="en-US" w:eastAsia="zh-CN"/>
        </w:rPr>
        <w:t>并不予付款</w:t>
      </w:r>
      <w:r>
        <w:rPr>
          <w:rFonts w:hint="eastAsia" w:ascii="仿宋" w:hAnsi="仿宋" w:eastAsia="仿宋"/>
          <w:sz w:val="28"/>
          <w:szCs w:val="28"/>
        </w:rPr>
        <w:t>。</w:t>
      </w:r>
    </w:p>
    <w:p>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2.乙方对提供的全部医用耗材均应提供适当额外包装，以防止医用耗材在转运中损坏或变质，包装应能够适应远距离运输、防潮、防震、防变质、防野蛮装卸，以确保医用耗材安全无损运抵指定地点，额外包装不得另行收费。</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七、物资交付</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乙方必须按甲方要求提前备货，并在接到甲方通知后24小时内将本合同约定的产品送到甲方指定地点；如果甲方急需该产品时，应在2小时内送达。如果乙方配送的产品不符合采购合同中的要求或国家（行业）有关规定时，甲方有权拒收并要求乙方在规定时间内及时将符合要求的产品送到。</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通过其他第三方送货的，应负责安排好与其他配送机构的衔接，确保及时满足甲方的供货要求，因配送工作不到位影响甲方对产品正常使用的，由乙方承担全部责任，甲方有权只对乙方提出异议并主张权利，拒绝与其他任何配送商直接联系。</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3.交货地点：乙方应按照甲方要求送交指定地点。</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4.运输、包装、装卸等相关费用由乙方承担。</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5.在乙方将货物交给甲方前，货物毁损灭失风险由乙方承担。</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八、产品有效期</w:t>
      </w:r>
    </w:p>
    <w:p>
      <w:pPr>
        <w:spacing w:line="420" w:lineRule="exact"/>
        <w:ind w:firstLine="562" w:firstLineChars="200"/>
        <w:jc w:val="left"/>
        <w:rPr>
          <w:rFonts w:hint="eastAsia" w:ascii="仿宋" w:hAnsi="仿宋" w:eastAsia="仿宋"/>
          <w:bCs/>
          <w:color w:val="auto"/>
          <w:sz w:val="28"/>
          <w:szCs w:val="28"/>
        </w:rPr>
      </w:pPr>
      <w:r>
        <w:rPr>
          <w:rFonts w:hint="eastAsia" w:ascii="仿宋" w:hAnsi="仿宋" w:eastAsia="仿宋"/>
          <w:bCs/>
          <w:color w:val="auto"/>
          <w:sz w:val="28"/>
          <w:szCs w:val="28"/>
        </w:rPr>
        <w:t>1.乙方保证每次提供给甲方的产品，在配送日期时剩余有效期不少于</w:t>
      </w:r>
      <w:r>
        <w:rPr>
          <w:rFonts w:hint="eastAsia" w:ascii="仿宋" w:hAnsi="仿宋" w:eastAsia="仿宋"/>
          <w:bCs/>
          <w:color w:val="auto"/>
          <w:sz w:val="28"/>
          <w:szCs w:val="28"/>
          <w:lang w:val="en-US" w:eastAsia="zh-CN"/>
        </w:rPr>
        <w:t>总效期的三分之二</w:t>
      </w:r>
      <w:r>
        <w:rPr>
          <w:rFonts w:hint="eastAsia" w:ascii="仿宋" w:hAnsi="仿宋" w:eastAsia="仿宋"/>
          <w:bCs/>
          <w:color w:val="auto"/>
          <w:sz w:val="28"/>
          <w:szCs w:val="28"/>
        </w:rPr>
        <w:t>。</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2.乙方应无条件按甲方要求对临近效期的货品进行退换。</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九、产品验收和使用</w:t>
      </w:r>
    </w:p>
    <w:p>
      <w:pPr>
        <w:pStyle w:val="25"/>
        <w:spacing w:line="420" w:lineRule="exact"/>
        <w:ind w:firstLine="560"/>
        <w:rPr>
          <w:rFonts w:ascii="仿宋" w:hAnsi="仿宋" w:eastAsia="仿宋"/>
          <w:sz w:val="28"/>
          <w:szCs w:val="28"/>
        </w:rPr>
      </w:pPr>
      <w:r>
        <w:rPr>
          <w:rFonts w:hint="eastAsia" w:ascii="仿宋" w:hAnsi="仿宋" w:eastAsia="仿宋"/>
          <w:sz w:val="28"/>
          <w:szCs w:val="28"/>
        </w:rPr>
        <w:t>1.交货验收时，甲乙双方应对产品按照本合同约定的品种、型号、规格和质量标准进行验收。乙方应提供该</w:t>
      </w:r>
      <w:r>
        <w:rPr>
          <w:rFonts w:hint="eastAsia" w:ascii="仿宋" w:hAnsi="仿宋" w:eastAsia="仿宋"/>
          <w:bCs/>
          <w:sz w:val="28"/>
          <w:szCs w:val="28"/>
        </w:rPr>
        <w:t>批次产品的检测报告</w:t>
      </w:r>
      <w:r>
        <w:rPr>
          <w:rFonts w:hint="eastAsia" w:ascii="仿宋" w:hAnsi="仿宋" w:eastAsia="仿宋"/>
          <w:b/>
          <w:sz w:val="28"/>
          <w:szCs w:val="28"/>
        </w:rPr>
        <w:t>。</w:t>
      </w:r>
      <w:r>
        <w:rPr>
          <w:rFonts w:hint="eastAsia" w:ascii="仿宋" w:hAnsi="仿宋" w:eastAsia="仿宋"/>
          <w:sz w:val="28"/>
          <w:szCs w:val="28"/>
        </w:rPr>
        <w:t>如果乙方不提供，甲方可以拒收</w:t>
      </w:r>
      <w:r>
        <w:rPr>
          <w:rFonts w:hint="eastAsia" w:ascii="仿宋" w:hAnsi="仿宋" w:eastAsia="仿宋"/>
          <w:sz w:val="28"/>
          <w:szCs w:val="28"/>
          <w:lang w:val="en-US" w:eastAsia="zh-CN"/>
        </w:rPr>
        <w:t>且不支付相应款项</w:t>
      </w:r>
      <w:r>
        <w:rPr>
          <w:rFonts w:hint="eastAsia" w:ascii="仿宋" w:hAnsi="仿宋" w:eastAsia="仿宋"/>
          <w:sz w:val="28"/>
          <w:szCs w:val="28"/>
        </w:rPr>
        <w:t>。验收不合格，乙方应无条件重新提供货物，如果仍然不符合质量要求的，甲方可提前终止本合同。验收合格应由甲乙双方工作人员在供货清单上签字确认。</w:t>
      </w:r>
    </w:p>
    <w:p>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2.甲方对乙方中标的医疗耗材产品的测试期限为30天。测试期内若不合格，甲方有权要求乙方对货物进行更换，从更换之日起重新计算测试期。如果测试期仍然有不合格情形的，甲方有权终止本合同。如果测试期满未发现不合格情形，最终验收合格。</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即使最终验收合格，如果甲方在使用产品过程中发现产品质量不符合标准的，甲方可要求乙方立即退换。乙方在接到甲方口头或书面异议后，当日内应派人查看并应在3日内负责处理，否则视为乙方默认甲方提出的异议。如果乙方在甲方通知后3日内未做相应处理的，甲方有权终止合同。</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4.甲方因保管、保养不善等因自身的原因造成产品质量下降的，不得提出异议。</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5.乙方出具合法有效完整的完税发票及凭证资料，并每月与甲方进行对账，甲方予以确认时间为最终验收时间。</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default"/>
          <w:lang w:val="en-US" w:eastAsia="zh-CN"/>
        </w:rPr>
      </w:pPr>
      <w:r>
        <w:rPr>
          <w:rFonts w:hint="eastAsia" w:ascii="仿宋" w:hAnsi="仿宋" w:eastAsia="仿宋" w:cs="Times New Roman"/>
          <w:color w:val="auto"/>
          <w:kern w:val="2"/>
          <w:sz w:val="28"/>
          <w:szCs w:val="28"/>
          <w:lang w:val="en-US" w:eastAsia="zh-CN" w:bidi="ar-SA"/>
        </w:rPr>
        <w:t>6.验收合格的，不免除耗材试剂在实际使用过程中乙方对耗材试剂承担质量担保责任。使用过程中，若耗材试剂出现质量问题，甲方有权无条件退货，并有权随时停止使用该耗材试剂，同时，甲方有权解除合同，乙方自行承担由此引起的一切法律责任和损失。使用过程中出现质量问题的，由乙方承担全部责任，如对耗材质量有争议的，可委托第三方机构进行质量鉴定，鉴定费用由乙方承担。</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十、付款方式</w:t>
      </w:r>
    </w:p>
    <w:p>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1.甲方自收到乙方配送的耗材产品，验收合格入库后，乙方按照甲方要求每月进行对账，甲方按以下方式支付货款：（请选择下面两种付款方式之一，方式一【√】/ 方式二【  】）</w:t>
      </w:r>
    </w:p>
    <w:p>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方式一：乙方为中小企业（依据国务院批准的中小企业划分标准确定的中型企业、小型企业和微型企业），乙方出具合法有效完整的完税发票及凭证资料后，甲方2个月内支付货款。</w:t>
      </w:r>
    </w:p>
    <w:p>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方式二：乙方为大型企业（方式一中规定的中小企业以外的企业），乙方出具合法有效完整的完税发票及凭证资料后，甲方6个月后支付货款。</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2.因乙方供货质量不合格或不符合甲方要求的，甲方有权拒绝付款。</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十一、违约责任</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1.甲方无正当理由违反合同规定拒绝收货的，应当承担乙方由此造成的损失。</w:t>
      </w:r>
    </w:p>
    <w:p>
      <w:pPr>
        <w:spacing w:line="420" w:lineRule="exact"/>
        <w:ind w:firstLine="562" w:firstLineChars="200"/>
        <w:jc w:val="both"/>
        <w:rPr>
          <w:rFonts w:hint="eastAsia" w:ascii="仿宋" w:hAnsi="仿宋" w:eastAsia="仿宋"/>
          <w:sz w:val="28"/>
          <w:szCs w:val="28"/>
          <w:highlight w:val="none"/>
        </w:rPr>
      </w:pPr>
      <w:r>
        <w:rPr>
          <w:rFonts w:hint="eastAsia" w:ascii="仿宋" w:hAnsi="仿宋" w:eastAsia="仿宋"/>
          <w:sz w:val="28"/>
          <w:szCs w:val="28"/>
          <w:highlight w:val="none"/>
        </w:rPr>
        <w:t>2.如果乙方不能按合同约定时间送货的，每延迟一天，应向甲方支付</w:t>
      </w:r>
      <w:r>
        <w:rPr>
          <w:rFonts w:hint="eastAsia" w:ascii="仿宋" w:hAnsi="仿宋" w:eastAsia="仿宋"/>
          <w:sz w:val="28"/>
          <w:szCs w:val="28"/>
          <w:highlight w:val="none"/>
          <w:lang w:val="en-US" w:eastAsia="zh-CN"/>
        </w:rPr>
        <w:t>试剂耗材</w:t>
      </w:r>
      <w:r>
        <w:rPr>
          <w:rFonts w:hint="eastAsia" w:ascii="仿宋" w:hAnsi="仿宋" w:eastAsia="仿宋"/>
          <w:sz w:val="28"/>
          <w:szCs w:val="28"/>
          <w:highlight w:val="none"/>
        </w:rPr>
        <w:t>年度最高限价</w:t>
      </w:r>
      <w:r>
        <w:rPr>
          <w:rFonts w:hint="eastAsia" w:ascii="仿宋" w:hAnsi="仿宋" w:eastAsia="仿宋"/>
          <w:sz w:val="28"/>
          <w:szCs w:val="28"/>
          <w:highlight w:val="none"/>
          <w:lang w:eastAsia="zh-CN"/>
        </w:rPr>
        <w:t>（</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元，大写：</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元</w:t>
      </w:r>
      <w:r>
        <w:rPr>
          <w:rFonts w:hint="eastAsia" w:ascii="仿宋" w:hAnsi="仿宋" w:eastAsia="仿宋"/>
          <w:sz w:val="28"/>
          <w:szCs w:val="28"/>
          <w:highlight w:val="none"/>
          <w:lang w:eastAsia="zh-CN"/>
        </w:rPr>
        <w:t>）</w:t>
      </w:r>
      <w:r>
        <w:rPr>
          <w:rFonts w:hint="eastAsia" w:ascii="仿宋" w:hAnsi="仿宋" w:eastAsia="仿宋"/>
          <w:sz w:val="28"/>
          <w:szCs w:val="28"/>
          <w:highlight w:val="none"/>
        </w:rPr>
        <w:t xml:space="preserve">的 </w:t>
      </w:r>
      <w:r>
        <w:rPr>
          <w:rFonts w:hint="eastAsia" w:ascii="仿宋" w:hAnsi="仿宋" w:eastAsia="仿宋"/>
          <w:sz w:val="28"/>
          <w:szCs w:val="28"/>
          <w:highlight w:val="none"/>
          <w:lang w:val="en-US" w:eastAsia="zh-CN"/>
        </w:rPr>
        <w:t>0.0</w:t>
      </w:r>
      <w:r>
        <w:rPr>
          <w:rFonts w:hint="eastAsia" w:ascii="仿宋" w:hAnsi="仿宋" w:eastAsia="仿宋"/>
          <w:sz w:val="28"/>
          <w:szCs w:val="28"/>
          <w:highlight w:val="none"/>
        </w:rPr>
        <w:t>5%/天的违约金。如延迟达到5天的，甲方有权解除合同。同时甲方有权追究乙方不能按约供货给甲方所造成的一切经济损失以及由此产生的全部法律责任。</w:t>
      </w:r>
    </w:p>
    <w:p>
      <w:pPr>
        <w:spacing w:line="420" w:lineRule="exact"/>
        <w:ind w:firstLine="562" w:firstLineChars="200"/>
        <w:jc w:val="both"/>
        <w:rPr>
          <w:rFonts w:hint="eastAsia" w:ascii="仿宋" w:hAnsi="仿宋" w:eastAsia="仿宋"/>
          <w:color w:val="auto"/>
          <w:sz w:val="28"/>
          <w:szCs w:val="28"/>
        </w:rPr>
      </w:pPr>
      <w:r>
        <w:rPr>
          <w:rFonts w:hint="eastAsia" w:ascii="仿宋" w:hAnsi="仿宋" w:eastAsia="仿宋"/>
          <w:sz w:val="28"/>
          <w:szCs w:val="28"/>
          <w:highlight w:val="none"/>
        </w:rPr>
        <w:t>3.如乙方未经甲方同意擅自调整价格或者违背报价原则,甲方有权终止合同或要求乙方按照原约定价格及时足量供货。甲方选择要求乙方按照原约定价格及时足量供货的，乙方应无条件配合。</w:t>
      </w:r>
    </w:p>
    <w:p>
      <w:pPr>
        <w:spacing w:line="420" w:lineRule="exact"/>
        <w:ind w:firstLine="558" w:firstLineChars="199"/>
        <w:rPr>
          <w:rFonts w:hint="eastAsia" w:ascii="仿宋" w:hAnsi="仿宋" w:eastAsia="仿宋"/>
          <w:bCs/>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w:t>
      </w:r>
      <w:r>
        <w:rPr>
          <w:rFonts w:hint="eastAsia" w:ascii="仿宋" w:hAnsi="仿宋" w:eastAsia="仿宋"/>
          <w:bCs/>
          <w:color w:val="auto"/>
          <w:sz w:val="28"/>
          <w:szCs w:val="28"/>
        </w:rPr>
        <w:t>乙方违反合同约定，出现包括但不限于逾期送货、未按时按量供货、货物因存在质量问题但乙方未能及时解决的，甲方为保证临床需要，有权向第三方进行采购，由此增加的费用，由乙方承担。</w:t>
      </w:r>
    </w:p>
    <w:p>
      <w:pPr>
        <w:spacing w:line="420" w:lineRule="exact"/>
        <w:ind w:firstLine="465"/>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.甲方有权直接从应付合同款项中扣除乙方违约金，如乙方偿付的违约金不足以弥补甲方损失的，由乙方予以补足。</w:t>
      </w:r>
    </w:p>
    <w:p>
      <w:pPr>
        <w:spacing w:line="420" w:lineRule="exact"/>
        <w:ind w:firstLine="562" w:firstLineChars="200"/>
        <w:jc w:val="both"/>
        <w:rPr>
          <w:rFonts w:hint="eastAsia" w:ascii="仿宋" w:hAnsi="仿宋" w:eastAsia="仿宋" w:cs="Times New Roman"/>
          <w:color w:val="auto"/>
          <w:sz w:val="28"/>
          <w:szCs w:val="28"/>
          <w:lang w:val="en-US" w:eastAsia="zh-CN"/>
        </w:rPr>
      </w:pPr>
      <w:r>
        <w:rPr>
          <w:rFonts w:hint="eastAsia" w:ascii="仿宋" w:hAnsi="仿宋" w:eastAsia="仿宋"/>
          <w:color w:val="auto"/>
          <w:sz w:val="28"/>
          <w:szCs w:val="28"/>
          <w:lang w:val="en-US" w:eastAsia="zh-CN"/>
        </w:rPr>
        <w:t>6.</w:t>
      </w:r>
      <w:r>
        <w:rPr>
          <w:rFonts w:hint="eastAsia" w:ascii="仿宋" w:hAnsi="仿宋" w:eastAsia="仿宋" w:cs="Times New Roman"/>
          <w:color w:val="auto"/>
          <w:sz w:val="28"/>
          <w:szCs w:val="28"/>
          <w:lang w:val="en-US" w:eastAsia="zh-CN"/>
        </w:rPr>
        <w:t>乙方存在以下失信违约行为的，应当按照</w:t>
      </w:r>
      <w:r>
        <w:rPr>
          <w:rFonts w:hint="eastAsia" w:ascii="仿宋" w:hAnsi="仿宋" w:eastAsia="仿宋"/>
          <w:sz w:val="28"/>
          <w:szCs w:val="28"/>
          <w:highlight w:val="none"/>
          <w:lang w:val="en-US" w:eastAsia="zh-CN"/>
        </w:rPr>
        <w:t>试剂耗材</w:t>
      </w:r>
      <w:r>
        <w:rPr>
          <w:rFonts w:hint="eastAsia" w:ascii="仿宋" w:hAnsi="仿宋" w:eastAsia="仿宋"/>
          <w:sz w:val="28"/>
          <w:szCs w:val="28"/>
          <w:highlight w:val="none"/>
        </w:rPr>
        <w:t>年度最高限价</w:t>
      </w:r>
      <w:r>
        <w:rPr>
          <w:rFonts w:hint="eastAsia" w:ascii="仿宋" w:hAnsi="仿宋" w:eastAsia="仿宋"/>
          <w:sz w:val="28"/>
          <w:szCs w:val="28"/>
          <w:highlight w:val="none"/>
          <w:lang w:eastAsia="zh-CN"/>
        </w:rPr>
        <w:t>（</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元，大写：</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整元</w:t>
      </w:r>
      <w:r>
        <w:rPr>
          <w:rFonts w:hint="eastAsia" w:ascii="仿宋" w:hAnsi="仿宋" w:eastAsia="仿宋"/>
          <w:sz w:val="28"/>
          <w:szCs w:val="28"/>
          <w:highlight w:val="none"/>
          <w:lang w:eastAsia="zh-CN"/>
        </w:rPr>
        <w:t>）</w:t>
      </w:r>
      <w:r>
        <w:rPr>
          <w:rFonts w:hint="eastAsia" w:ascii="仿宋" w:hAnsi="仿宋" w:eastAsia="仿宋" w:cs="Times New Roman"/>
          <w:color w:val="auto"/>
          <w:sz w:val="28"/>
          <w:szCs w:val="28"/>
          <w:lang w:val="en-US" w:eastAsia="zh-CN"/>
        </w:rPr>
        <w:t>的5％向甲方支付违约金，情节严重的，应按照</w:t>
      </w:r>
      <w:r>
        <w:rPr>
          <w:rFonts w:hint="eastAsia" w:ascii="仿宋" w:hAnsi="仿宋" w:eastAsia="仿宋"/>
          <w:sz w:val="28"/>
          <w:szCs w:val="28"/>
          <w:highlight w:val="none"/>
          <w:lang w:val="en-US" w:eastAsia="zh-CN"/>
        </w:rPr>
        <w:t>试剂耗材</w:t>
      </w:r>
      <w:r>
        <w:rPr>
          <w:rFonts w:hint="eastAsia" w:ascii="仿宋" w:hAnsi="仿宋" w:eastAsia="仿宋"/>
          <w:sz w:val="28"/>
          <w:szCs w:val="28"/>
          <w:highlight w:val="none"/>
        </w:rPr>
        <w:t>年度最高限价</w:t>
      </w:r>
      <w:r>
        <w:rPr>
          <w:rFonts w:hint="eastAsia" w:ascii="仿宋" w:hAnsi="仿宋" w:eastAsia="仿宋"/>
          <w:sz w:val="28"/>
          <w:szCs w:val="28"/>
          <w:highlight w:val="none"/>
          <w:lang w:eastAsia="zh-CN"/>
        </w:rPr>
        <w:t>（</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元，大写：</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整元</w:t>
      </w:r>
      <w:r>
        <w:rPr>
          <w:rFonts w:hint="eastAsia" w:ascii="仿宋" w:hAnsi="仿宋" w:eastAsia="仿宋"/>
          <w:sz w:val="28"/>
          <w:szCs w:val="28"/>
          <w:highlight w:val="none"/>
          <w:lang w:eastAsia="zh-CN"/>
        </w:rPr>
        <w:t>）</w:t>
      </w:r>
      <w:r>
        <w:rPr>
          <w:rFonts w:hint="eastAsia" w:ascii="仿宋" w:hAnsi="仿宋" w:eastAsia="仿宋" w:cs="Times New Roman"/>
          <w:color w:val="auto"/>
          <w:sz w:val="28"/>
          <w:szCs w:val="28"/>
          <w:lang w:val="en-US" w:eastAsia="zh-CN"/>
        </w:rPr>
        <w:t>的10%向甲方支付违约金，无论前述违约金是否已足额支付，乙方还应赔偿甲方因此遭受的全部实际损失（包括但不限于直接损失、间接损失及甲方为实现债权产生的合理费用）。若乙方支付的违约金及损失赔偿金总额仍不足以弥补甲方损失的，乙方应当继续承担补足责任。同时，甲方有权单方解除本合同且无需就此承担任何违约责任：</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（1）合同履行中未能按约履行、履约验收不合格、中标产品在使用过程中存在重大质量安全隐患,给甲方经济或名誉造成影响的；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（2）因乙方原因发生不良事件，给甲方造成负面影响或给社会带来不良后果的；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（3）乙方在采购和招标过程中相互串通投标、非法以他人名义投标和以其它方式弄虚作假骗取中标或成交，隐瞒不良记录或以不正当手段谋取中标、成交的；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（4）乙方不按约定履行、擅自变更或解除本合同的；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5）乙方捏造事实,提供虚假材料（营业执照、资质证书、体系认证、业绩证明、项目管理人员资质信息和虚假发票等行为的）、恶意质疑、投诉，影响项目执行进度，投诉、举报处理过程中隐瞒采购项目相关情况；</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（6）采购过程中存在行贿、提供不正当利益等违纪违法行为及其他具有商业贿赂行为的；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（7）严重违反投标承诺、响应承诺、合同约定等，擅自更换投标产品品牌、规格型号、产品组成，提高价格、降低质量、拖延供货时间；非法转包、违约分包以及擅自更换项目经理或主要技术人员；</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（8）恶意拖欠或克扣员工、雇工工资或报酬引起纠纷，造成项目延期或无法正常推进的，给甲方造成影响的；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（9）因不能满足甲方售后服务要求，给医院业务造成损失或影响的；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（10）对甲方恶意发起诉讼，给甲方造成不良影响的；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（11）经财政部门、税务部门、市场监管部门、审判机关及其相关部门认定的失信行为；</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（12）其他不当行为给甲方带来不良影响的。</w:t>
      </w:r>
    </w:p>
    <w:p>
      <w:pPr>
        <w:spacing w:line="420" w:lineRule="exact"/>
        <w:ind w:firstLine="562" w:firstLineChars="200"/>
        <w:jc w:val="left"/>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（13）乙方发生违反合同约定的其他情形。</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21" w:firstLineChars="150"/>
        <w:textAlignment w:val="auto"/>
        <w:rPr>
          <w:rFonts w:hint="default"/>
          <w:color w:val="auto"/>
          <w:lang w:val="en-US" w:eastAsia="zh-CN"/>
        </w:rPr>
      </w:pPr>
      <w:r>
        <w:rPr>
          <w:rFonts w:hint="eastAsia" w:ascii="仿宋" w:hAnsi="仿宋" w:eastAsia="仿宋" w:cs="Times New Roman"/>
          <w:color w:val="auto"/>
          <w:sz w:val="28"/>
          <w:szCs w:val="28"/>
          <w:lang w:val="en-US" w:eastAsia="zh-CN"/>
        </w:rPr>
        <w:t>7.如乙方所供耗材试剂因质量问题而引发纠纷或造成人身财产损失的，由乙方承担由此引发的全部损失（包括但不限于赔偿费、诉讼费、鉴定费、律师费、差旅费等），如果甲方先承担责任的，甲方有权向乙方追偿。</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十二、不可抗力</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1.发生不可抗力的一方应在不可抗力发生后二日内以书面形式将不可抗力的情况和原因通知</w:t>
      </w:r>
      <w:r>
        <w:rPr>
          <w:rFonts w:hint="eastAsia" w:ascii="仿宋" w:hAnsi="仿宋" w:eastAsia="仿宋"/>
          <w:color w:val="auto"/>
          <w:sz w:val="28"/>
          <w:szCs w:val="28"/>
          <w:lang w:val="en-US" w:eastAsia="zh-CN"/>
        </w:rPr>
        <w:t>对</w:t>
      </w:r>
      <w:r>
        <w:rPr>
          <w:rFonts w:hint="eastAsia" w:ascii="仿宋" w:hAnsi="仿宋" w:eastAsia="仿宋"/>
          <w:color w:val="auto"/>
          <w:sz w:val="28"/>
          <w:szCs w:val="28"/>
        </w:rPr>
        <w:t>方。逾期未通知的，视为不可抗力未发生，无权就违约行为主张免责。不可抗力事件消除后，提出不可抗力的一方应立即恢复履行合同义务。</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2.本条所述的“不可抗力”系指</w:t>
      </w:r>
      <w:r>
        <w:rPr>
          <w:rFonts w:hint="eastAsia" w:ascii="仿宋" w:hAnsi="仿宋" w:eastAsia="仿宋"/>
          <w:color w:val="auto"/>
          <w:sz w:val="28"/>
          <w:szCs w:val="28"/>
          <w:lang w:val="en-US" w:eastAsia="zh-CN"/>
        </w:rPr>
        <w:t>一</w:t>
      </w:r>
      <w:r>
        <w:rPr>
          <w:rFonts w:hint="eastAsia" w:ascii="仿宋" w:hAnsi="仿宋" w:eastAsia="仿宋"/>
          <w:color w:val="auto"/>
          <w:sz w:val="28"/>
          <w:szCs w:val="28"/>
        </w:rPr>
        <w:t>方无法控制，不可预见的事件，比如：战争、严重火灾、洪水、台风、地震等。</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十三、合同的变更及解除</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1.双方协议一致，协议可以解除和变更。</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2.以下情况，甲方有权解除合同，并不承担任何违约责任，合同解除后，乙方应向甲方返还所获得的全部款项，并承担合同约定的违约责任。</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（1）到货时间延迟达到5日经甲方提出异议后仍然不能在甲方规定的时间供货的；</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（2）货物不能满足合同约定的质量标准或因产品质量导致医疗争议或其他不良后果的；</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（3）乙方资质出现变更后不能按照约定提供资质文件或变更后的资质不再符合甲方采购条件的。</w:t>
      </w:r>
    </w:p>
    <w:p>
      <w:pPr>
        <w:spacing w:line="420" w:lineRule="exact"/>
        <w:ind w:firstLine="435"/>
        <w:rPr>
          <w:rFonts w:hint="eastAsia" w:ascii="仿宋" w:hAnsi="仿宋" w:eastAsia="仿宋"/>
          <w:color w:val="auto"/>
          <w:sz w:val="28"/>
          <w:szCs w:val="28"/>
          <w:highlight w:val="yellow"/>
        </w:rPr>
      </w:pPr>
      <w:r>
        <w:rPr>
          <w:rFonts w:hint="eastAsia" w:ascii="仿宋" w:hAnsi="仿宋" w:eastAsia="仿宋"/>
          <w:color w:val="auto"/>
          <w:sz w:val="28"/>
          <w:szCs w:val="28"/>
        </w:rPr>
        <w:t>（4）乙方在本项目投标时有虚假报价行为，供货期限内擅自调价、拒绝供货的。</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十四、纠纷解决方式</w:t>
      </w:r>
    </w:p>
    <w:p>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本合同适用中华人民共和国法律，如果双方在履行合同的过程中发生争议，可协商解决，如协商不成，可向甲方所在地的人民法院起诉。</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十五、合同的生效</w:t>
      </w:r>
    </w:p>
    <w:p>
      <w:pPr>
        <w:spacing w:line="420" w:lineRule="exact"/>
        <w:ind w:firstLine="435"/>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.本合同一式</w:t>
      </w:r>
      <w:r>
        <w:rPr>
          <w:rFonts w:hint="eastAsia" w:ascii="仿宋" w:hAnsi="仿宋" w:eastAsia="仿宋"/>
          <w:sz w:val="28"/>
          <w:szCs w:val="28"/>
          <w:lang w:val="en-US" w:eastAsia="zh-CN"/>
        </w:rPr>
        <w:t>肆</w:t>
      </w:r>
      <w:r>
        <w:rPr>
          <w:rFonts w:hint="eastAsia" w:ascii="仿宋" w:hAnsi="仿宋" w:eastAsia="仿宋"/>
          <w:sz w:val="28"/>
          <w:szCs w:val="28"/>
        </w:rPr>
        <w:t>份，甲方</w:t>
      </w:r>
      <w:r>
        <w:rPr>
          <w:rFonts w:hint="eastAsia" w:ascii="仿宋" w:hAnsi="仿宋" w:eastAsia="仿宋"/>
          <w:sz w:val="28"/>
          <w:szCs w:val="28"/>
          <w:lang w:val="en-US" w:eastAsia="zh-CN"/>
        </w:rPr>
        <w:t>叁</w:t>
      </w:r>
      <w:r>
        <w:rPr>
          <w:rFonts w:hint="eastAsia" w:ascii="仿宋" w:hAnsi="仿宋" w:eastAsia="仿宋"/>
          <w:sz w:val="28"/>
          <w:szCs w:val="28"/>
        </w:rPr>
        <w:t>份，乙方壹份。</w:t>
      </w:r>
      <w:r>
        <w:rPr>
          <w:rFonts w:hint="eastAsia" w:ascii="仿宋" w:hAnsi="仿宋" w:eastAsia="仿宋"/>
          <w:sz w:val="28"/>
          <w:szCs w:val="28"/>
          <w:lang w:val="en-US" w:eastAsia="zh-CN"/>
        </w:rPr>
        <w:t>本合同自</w:t>
      </w:r>
      <w:r>
        <w:rPr>
          <w:rFonts w:hint="eastAsia" w:ascii="仿宋" w:hAnsi="仿宋" w:eastAsia="仿宋"/>
          <w:sz w:val="28"/>
          <w:szCs w:val="28"/>
        </w:rPr>
        <w:t>双方法定代表人或授权代表</w:t>
      </w:r>
      <w:r>
        <w:rPr>
          <w:rFonts w:hint="eastAsia" w:ascii="仿宋" w:hAnsi="仿宋" w:eastAsia="仿宋"/>
          <w:sz w:val="28"/>
          <w:szCs w:val="28"/>
          <w:lang w:val="en-US" w:eastAsia="zh-CN"/>
        </w:rPr>
        <w:t>签字并</w:t>
      </w:r>
      <w:r>
        <w:rPr>
          <w:rFonts w:hint="eastAsia" w:ascii="仿宋" w:hAnsi="仿宋" w:eastAsia="仿宋"/>
          <w:sz w:val="28"/>
          <w:szCs w:val="28"/>
        </w:rPr>
        <w:t>加盖公章后生效。未尽事宜，双方可另行协商，签定补充协议，补充协议与本合同具有同等效力。</w:t>
      </w:r>
    </w:p>
    <w:p>
      <w:pPr>
        <w:spacing w:line="420" w:lineRule="exact"/>
        <w:ind w:firstLine="435"/>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.合同附件与本合同具有同等法律效力。</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十六、其他约定</w:t>
      </w:r>
    </w:p>
    <w:p>
      <w:pPr>
        <w:widowControl/>
        <w:spacing w:line="420" w:lineRule="exact"/>
        <w:jc w:val="left"/>
        <w:rPr>
          <w:rFonts w:hint="eastAsia" w:ascii="仿宋" w:hAnsi="仿宋" w:eastAsia="仿宋" w:cs="宋体"/>
          <w:bCs/>
          <w:color w:val="auto"/>
          <w:kern w:val="0"/>
          <w:sz w:val="28"/>
          <w:szCs w:val="28"/>
        </w:rPr>
      </w:pPr>
      <w:r>
        <w:rPr>
          <w:rFonts w:hint="eastAsia" w:ascii="仿宋" w:hAnsi="仿宋" w:eastAsia="仿宋"/>
          <w:b/>
          <w:color w:val="auto"/>
          <w:sz w:val="28"/>
          <w:szCs w:val="28"/>
        </w:rPr>
        <w:t xml:space="preserve">    </w:t>
      </w:r>
      <w:r>
        <w:rPr>
          <w:rFonts w:hint="eastAsia" w:ascii="仿宋" w:hAnsi="仿宋" w:eastAsia="仿宋" w:cs="宋体"/>
          <w:bCs/>
          <w:color w:val="auto"/>
          <w:kern w:val="0"/>
          <w:sz w:val="28"/>
          <w:szCs w:val="28"/>
        </w:rPr>
        <w:t>1</w:t>
      </w:r>
      <w:r>
        <w:rPr>
          <w:rFonts w:hint="eastAsia" w:ascii="仿宋" w:hAnsi="仿宋" w:eastAsia="仿宋"/>
          <w:color w:val="auto"/>
          <w:sz w:val="28"/>
          <w:szCs w:val="28"/>
        </w:rPr>
        <w:t>.</w:t>
      </w:r>
      <w:r>
        <w:rPr>
          <w:rFonts w:ascii="仿宋" w:hAnsi="仿宋" w:eastAsia="仿宋" w:cs="宋体"/>
          <w:bCs/>
          <w:color w:val="auto"/>
          <w:kern w:val="0"/>
          <w:sz w:val="28"/>
          <w:szCs w:val="28"/>
        </w:rPr>
        <w:t>应急供应：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1</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当遇因战争、自然灾害、事故灾难、公共卫生事件等不可抗力因素造成的突发性事件发生时，甲方将向乙方进行紧急采购，乙方应全力保障紧急情况下的及时供应。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2</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乙方应全力保证供应质量，符合合同要求，在乙方储备物资供应不足时，由乙方负责紧急协调、调配。</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3</w:t>
      </w:r>
      <w:r>
        <w:rPr>
          <w:rFonts w:hint="eastAsia" w:ascii="仿宋" w:hAnsi="仿宋" w:eastAsia="仿宋" w:cs="宋体"/>
          <w:bCs/>
          <w:color w:val="auto"/>
          <w:kern w:val="0"/>
          <w:sz w:val="28"/>
          <w:szCs w:val="28"/>
        </w:rPr>
        <w:t xml:space="preserve">） </w:t>
      </w:r>
      <w:r>
        <w:rPr>
          <w:rFonts w:ascii="仿宋" w:hAnsi="仿宋" w:eastAsia="仿宋" w:cs="宋体"/>
          <w:bCs/>
          <w:color w:val="auto"/>
          <w:kern w:val="0"/>
          <w:sz w:val="28"/>
          <w:szCs w:val="28"/>
        </w:rPr>
        <w:t>明确双方固定联系人，甲方联系人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梁</w:t>
      </w:r>
      <w:r>
        <w:rPr>
          <w:rFonts w:hint="eastAsia" w:ascii="仿宋" w:hAnsi="仿宋" w:eastAsia="仿宋" w:cs="宋体"/>
          <w:bCs/>
          <w:color w:val="auto"/>
          <w:kern w:val="0"/>
          <w:sz w:val="28"/>
          <w:szCs w:val="28"/>
        </w:rPr>
        <w:t>老师</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 xml:space="preserve"> </w:t>
      </w:r>
      <w:r>
        <w:rPr>
          <w:rFonts w:hint="eastAsia" w:ascii="仿宋" w:hAnsi="仿宋" w:eastAsia="仿宋" w:cs="宋体"/>
          <w:bCs/>
          <w:color w:val="auto"/>
          <w:kern w:val="0"/>
          <w:sz w:val="28"/>
          <w:szCs w:val="28"/>
        </w:rPr>
        <w:t>028-</w:t>
      </w:r>
      <w:r>
        <w:rPr>
          <w:rFonts w:ascii="仿宋" w:hAnsi="仿宋" w:eastAsia="仿宋" w:cs="宋体"/>
          <w:bCs/>
          <w:color w:val="auto"/>
          <w:kern w:val="0"/>
          <w:sz w:val="28"/>
          <w:szCs w:val="28"/>
        </w:rPr>
        <w:t>6597</w:t>
      </w:r>
      <w:r>
        <w:rPr>
          <w:rFonts w:hint="eastAsia" w:ascii="仿宋" w:hAnsi="仿宋" w:eastAsia="仿宋" w:cs="宋体"/>
          <w:bCs/>
          <w:color w:val="auto"/>
          <w:kern w:val="0"/>
          <w:sz w:val="28"/>
          <w:szCs w:val="28"/>
          <w:lang w:val="en-US" w:eastAsia="zh-CN"/>
        </w:rPr>
        <w:t>822</w:t>
      </w:r>
      <w:r>
        <w:rPr>
          <w:rFonts w:hint="eastAsia" w:ascii="仿宋" w:hAnsi="仿宋" w:eastAsia="仿宋" w:cs="宋体"/>
          <w:bCs/>
          <w:color w:val="auto"/>
          <w:kern w:val="0"/>
          <w:sz w:val="28"/>
          <w:szCs w:val="28"/>
        </w:rPr>
        <w:t>2</w:t>
      </w:r>
      <w:r>
        <w:rPr>
          <w:rFonts w:hint="eastAsia" w:ascii="仿宋" w:hAnsi="仿宋" w:eastAsia="仿宋" w:cs="宋体"/>
          <w:bCs/>
          <w:color w:val="auto"/>
          <w:kern w:val="0"/>
          <w:sz w:val="28"/>
          <w:szCs w:val="28"/>
          <w:lang w:val="en-US" w:eastAsia="zh-CN"/>
        </w:rPr>
        <w:t xml:space="preserve"> </w:t>
      </w:r>
      <w:r>
        <w:rPr>
          <w:rFonts w:ascii="仿宋" w:hAnsi="仿宋" w:eastAsia="仿宋" w:cs="宋体"/>
          <w:bCs/>
          <w:color w:val="FF0000"/>
          <w:kern w:val="0"/>
          <w:sz w:val="28"/>
          <w:szCs w:val="28"/>
        </w:rPr>
        <w:t>乙方联系人</w:t>
      </w:r>
      <w:r>
        <w:rPr>
          <w:rFonts w:hint="eastAsia" w:ascii="仿宋" w:hAnsi="仿宋" w:eastAsia="仿宋" w:cs="宋体"/>
          <w:bCs/>
          <w:color w:val="auto"/>
          <w:kern w:val="0"/>
          <w:sz w:val="28"/>
          <w:szCs w:val="28"/>
          <w:lang w:eastAsia="zh-CN"/>
        </w:rPr>
        <w:t>：</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w:t>
      </w:r>
      <w:r>
        <w:rPr>
          <w:rFonts w:ascii="仿宋" w:hAnsi="仿宋" w:eastAsia="仿宋" w:cs="宋体"/>
          <w:bCs/>
          <w:color w:val="FF0000"/>
          <w:kern w:val="0"/>
          <w:sz w:val="28"/>
          <w:szCs w:val="28"/>
        </w:rPr>
        <w:t>联系电话</w:t>
      </w:r>
      <w:r>
        <w:rPr>
          <w:rFonts w:hint="eastAsia" w:ascii="仿宋" w:hAnsi="仿宋" w:eastAsia="仿宋" w:cs="宋体"/>
          <w:bCs/>
          <w:color w:val="FF0000"/>
          <w:kern w:val="0"/>
          <w:sz w:val="28"/>
          <w:szCs w:val="28"/>
          <w:lang w:eastAsia="zh-CN"/>
        </w:rPr>
        <w:t>：</w:t>
      </w:r>
      <w:r>
        <w:rPr>
          <w:rFonts w:hint="eastAsia" w:ascii="仿宋" w:hAnsi="仿宋" w:eastAsia="仿宋" w:cs="宋体"/>
          <w:bCs/>
          <w:color w:val="FF0000"/>
          <w:kern w:val="0"/>
          <w:sz w:val="28"/>
          <w:szCs w:val="28"/>
          <w:u w:val="single"/>
          <w:lang w:val="en-US" w:eastAsia="zh-CN"/>
        </w:rPr>
        <w:t xml:space="preserve">        </w:t>
      </w:r>
      <w:r>
        <w:rPr>
          <w:rFonts w:ascii="仿宋" w:hAnsi="仿宋" w:eastAsia="仿宋" w:cs="宋体"/>
          <w:bCs/>
          <w:color w:val="auto"/>
          <w:kern w:val="0"/>
          <w:sz w:val="28"/>
          <w:szCs w:val="28"/>
        </w:rPr>
        <w:t>。突发性事件处置期间，双方联系人电话保持24小时畅通，确保随时取得联系。</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4</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突发性事件发生时，甲方使用的紧急物资可采取先调用后付款方式，但应在应急工作结束</w:t>
      </w:r>
      <w:r>
        <w:rPr>
          <w:rFonts w:hint="eastAsia" w:ascii="仿宋" w:hAnsi="仿宋" w:eastAsia="仿宋" w:cs="宋体"/>
          <w:bCs/>
          <w:color w:val="auto"/>
          <w:kern w:val="0"/>
          <w:sz w:val="28"/>
          <w:szCs w:val="28"/>
        </w:rPr>
        <w:t>30</w:t>
      </w:r>
      <w:r>
        <w:rPr>
          <w:rFonts w:ascii="仿宋" w:hAnsi="仿宋" w:eastAsia="仿宋" w:cs="宋体"/>
          <w:bCs/>
          <w:color w:val="auto"/>
          <w:kern w:val="0"/>
          <w:sz w:val="28"/>
          <w:szCs w:val="28"/>
        </w:rPr>
        <w:t>日内结清货款</w:t>
      </w:r>
      <w:r>
        <w:rPr>
          <w:rFonts w:hint="eastAsia" w:ascii="仿宋" w:hAnsi="仿宋" w:eastAsia="仿宋" w:cs="宋体"/>
          <w:bCs/>
          <w:color w:val="auto"/>
          <w:kern w:val="0"/>
          <w:sz w:val="28"/>
          <w:szCs w:val="28"/>
        </w:rPr>
        <w:t>。</w:t>
      </w:r>
    </w:p>
    <w:p>
      <w:pPr>
        <w:widowControl/>
        <w:spacing w:line="420" w:lineRule="exact"/>
        <w:ind w:firstLine="562" w:firstLineChars="200"/>
        <w:jc w:val="left"/>
        <w:rPr>
          <w:rFonts w:hint="eastAsia" w:ascii="仿宋" w:hAnsi="仿宋" w:eastAsia="仿宋"/>
          <w:color w:val="auto"/>
          <w:sz w:val="28"/>
          <w:szCs w:val="28"/>
        </w:rPr>
      </w:pPr>
      <w:r>
        <w:rPr>
          <w:rFonts w:hint="eastAsia" w:ascii="仿宋" w:hAnsi="仿宋" w:eastAsia="仿宋" w:cs="宋体"/>
          <w:bCs/>
          <w:color w:val="auto"/>
          <w:kern w:val="0"/>
          <w:sz w:val="28"/>
          <w:szCs w:val="28"/>
        </w:rPr>
        <w:t>2</w:t>
      </w:r>
      <w:r>
        <w:rPr>
          <w:rFonts w:hint="eastAsia" w:ascii="仿宋" w:hAnsi="仿宋" w:eastAsia="仿宋"/>
          <w:color w:val="auto"/>
          <w:sz w:val="28"/>
          <w:szCs w:val="28"/>
        </w:rPr>
        <w:t>.如在合同履行过程中甲方出现需求变更或增加，甲乙双方达成一致意见的前提下可签订补充协议，对双方责权进行补充约定。</w:t>
      </w:r>
    </w:p>
    <w:p>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3.本合同约定的联系方式如有改变，应立即书面通知对方。否则对方按照本合同约定的联系方式通知和送达的所有信息及文件视为改变方已收领，由此产生的法律责任由乙方自行承担。</w:t>
      </w:r>
    </w:p>
    <w:p>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4.乙方应配合注册和使用甲方提供的物流信息系统和信息平台，按要求接收和处理甲方发送的订单。根据甲方要求准备条码打印机和打印标签纸，配合甲方对甲方指定的医用耗材进行条形码管理。</w:t>
      </w:r>
    </w:p>
    <w:p>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5. 因合同年限较长，随着市场价格的波动，合同所涉及的耗材价格有调低的，乙方有通知甲方及主动调低价格的义务。</w:t>
      </w:r>
    </w:p>
    <w:p>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6. 如甲方发现乙方提供的耗材价格明显高于市场价格的，甲方有权要求和乙方本着公平、合理的原则进行价格协商，如达成一致可对合同价格进行调整；如双方无法达成一致意见，甲方有权终止合同，乙方不对甲方终止合同主张违约责任。</w:t>
      </w:r>
    </w:p>
    <w:p>
      <w:pPr>
        <w:spacing w:line="420" w:lineRule="exact"/>
        <w:jc w:val="left"/>
        <w:rPr>
          <w:rFonts w:hint="eastAsia" w:ascii="黑体" w:hAnsi="黑体" w:eastAsia="黑体" w:cs="Times New Roman"/>
          <w:sz w:val="28"/>
          <w:szCs w:val="28"/>
          <w:lang w:val="en-US" w:eastAsia="zh-CN"/>
        </w:rPr>
      </w:pPr>
      <w:r>
        <w:rPr>
          <w:rFonts w:hint="eastAsia" w:ascii="黑体" w:hAnsi="黑体" w:eastAsia="黑体" w:cs="Times New Roman"/>
          <w:sz w:val="28"/>
          <w:szCs w:val="28"/>
          <w:lang w:val="en-US" w:eastAsia="zh-CN"/>
        </w:rPr>
        <w:t>十七、送达条款</w:t>
      </w:r>
    </w:p>
    <w:p>
      <w:pPr>
        <w:spacing w:line="440" w:lineRule="exact"/>
        <w:ind w:firstLine="562" w:firstLineChars="200"/>
        <w:rPr>
          <w:rFonts w:hint="eastAsia" w:ascii="仿宋" w:hAnsi="仿宋" w:eastAsia="仿宋" w:cs="仿宋"/>
          <w:color w:val="000000"/>
          <w:sz w:val="28"/>
          <w:szCs w:val="28"/>
        </w:rPr>
      </w:pPr>
      <w:bookmarkStart w:id="34" w:name="OLE_LINK1"/>
      <w:r>
        <w:rPr>
          <w:rFonts w:hint="eastAsia" w:ascii="仿宋" w:hAnsi="仿宋" w:eastAsia="仿宋" w:cs="仿宋"/>
          <w:color w:val="000000"/>
          <w:sz w:val="28"/>
          <w:szCs w:val="28"/>
        </w:rPr>
        <w:t>（一）本合同项下任何一方向对方发出的通知、信件、数据电文等，应当以书面形式发送至本合同下列约定的送达地址。</w:t>
      </w:r>
    </w:p>
    <w:p>
      <w:pPr>
        <w:spacing w:line="440" w:lineRule="exact"/>
        <w:ind w:firstLine="562"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一方当事人变更送达地址信息/电子送达信息的，应当在变更后 3 日内及时书面通知对方当事人，对方当事人实际收到变更通知前的送达仍为有效送达，电子送达与其他送达方式具有同等法律效力。</w:t>
      </w:r>
    </w:p>
    <w:p>
      <w:pPr>
        <w:spacing w:line="44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甲方确认送达地址如下：</w:t>
      </w:r>
    </w:p>
    <w:p>
      <w:pPr>
        <w:spacing w:line="440" w:lineRule="exact"/>
        <w:ind w:firstLine="562"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hint="eastAsia" w:ascii="仿宋" w:hAnsi="仿宋" w:eastAsia="仿宋" w:cs="仿宋"/>
          <w:sz w:val="28"/>
          <w:szCs w:val="28"/>
        </w:rPr>
        <w:t>成都市武侯区沙堰西二街290号</w:t>
      </w:r>
      <w:r>
        <w:rPr>
          <w:rFonts w:hint="eastAsia" w:ascii="仿宋" w:hAnsi="仿宋" w:eastAsia="仿宋" w:cs="仿宋"/>
          <w:color w:val="000000"/>
          <w:sz w:val="28"/>
          <w:szCs w:val="28"/>
        </w:rPr>
        <w:t>，邮编：</w:t>
      </w:r>
      <w:r>
        <w:rPr>
          <w:rFonts w:hint="eastAsia" w:ascii="仿宋" w:hAnsi="仿宋" w:eastAsia="仿宋" w:cs="仿宋"/>
          <w:color w:val="000000"/>
          <w:sz w:val="28"/>
          <w:szCs w:val="28"/>
          <w:lang w:val="en-US" w:eastAsia="zh-CN"/>
        </w:rPr>
        <w:t>610045</w:t>
      </w:r>
      <w:r>
        <w:rPr>
          <w:rFonts w:hint="eastAsia" w:ascii="仿宋" w:hAnsi="仿宋" w:eastAsia="仿宋" w:cs="仿宋"/>
          <w:color w:val="000000"/>
          <w:sz w:val="28"/>
          <w:szCs w:val="28"/>
        </w:rPr>
        <w:t>，联系人：梁老师，联系电话：</w:t>
      </w:r>
      <w:r>
        <w:rPr>
          <w:rFonts w:hint="eastAsia" w:ascii="仿宋" w:hAnsi="仿宋" w:eastAsia="仿宋" w:cs="仿宋"/>
          <w:bCs/>
          <w:kern w:val="0"/>
          <w:sz w:val="28"/>
          <w:szCs w:val="28"/>
        </w:rPr>
        <w:t>028-65978</w:t>
      </w:r>
      <w:r>
        <w:rPr>
          <w:rFonts w:hint="eastAsia" w:ascii="仿宋" w:hAnsi="仿宋" w:eastAsia="仿宋" w:cs="仿宋"/>
          <w:bCs/>
          <w:kern w:val="0"/>
          <w:sz w:val="28"/>
          <w:szCs w:val="28"/>
          <w:lang w:val="en-US" w:eastAsia="zh-CN"/>
        </w:rPr>
        <w:t>222</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w:t>
      </w:r>
    </w:p>
    <w:p>
      <w:pPr>
        <w:spacing w:line="44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乙方确认送达地址如下：</w:t>
      </w:r>
    </w:p>
    <w:p>
      <w:pPr>
        <w:spacing w:line="440" w:lineRule="exact"/>
        <w:ind w:firstLine="562" w:firstLineChars="200"/>
        <w:rPr>
          <w:rFonts w:hint="eastAsia" w:ascii="仿宋" w:hAnsi="仿宋" w:eastAsia="仿宋" w:cs="仿宋"/>
          <w:color w:val="FF0000"/>
          <w:sz w:val="28"/>
          <w:szCs w:val="28"/>
          <w:highlight w:val="none"/>
        </w:rPr>
      </w:pPr>
      <w:r>
        <w:rPr>
          <w:rFonts w:hint="eastAsia" w:ascii="仿宋" w:hAnsi="仿宋" w:eastAsia="仿宋" w:cs="仿宋"/>
          <w:color w:val="FF0000"/>
          <w:sz w:val="28"/>
          <w:szCs w:val="28"/>
        </w:rPr>
        <w:t>地址：</w:t>
      </w:r>
      <w:r>
        <w:rPr>
          <w:rFonts w:hint="eastAsia" w:ascii="仿宋" w:hAnsi="仿宋" w:eastAsia="仿宋" w:cs="仿宋"/>
          <w:color w:val="FF0000"/>
          <w:sz w:val="28"/>
          <w:szCs w:val="28"/>
          <w:lang w:val="en-US" w:eastAsia="zh-CN"/>
        </w:rPr>
        <w:t xml:space="preserve"> </w:t>
      </w:r>
      <w:r>
        <w:rPr>
          <w:rFonts w:hint="eastAsia" w:ascii="仿宋" w:hAnsi="仿宋" w:eastAsia="仿宋" w:cs="仿宋"/>
          <w:color w:val="FF0000"/>
          <w:sz w:val="28"/>
          <w:szCs w:val="28"/>
        </w:rPr>
        <w:t>，邮编：，联系人：</w:t>
      </w:r>
      <w:r>
        <w:rPr>
          <w:rFonts w:hint="eastAsia" w:ascii="仿宋" w:hAnsi="仿宋" w:eastAsia="仿宋" w:cs="仿宋"/>
          <w:color w:val="FF0000"/>
          <w:sz w:val="28"/>
          <w:szCs w:val="28"/>
          <w:lang w:val="en-US" w:eastAsia="zh-CN"/>
        </w:rPr>
        <w:t xml:space="preserve"> </w:t>
      </w:r>
      <w:r>
        <w:rPr>
          <w:rFonts w:hint="eastAsia" w:ascii="仿宋" w:hAnsi="仿宋" w:eastAsia="仿宋" w:cs="仿宋"/>
          <w:color w:val="FF0000"/>
          <w:sz w:val="28"/>
          <w:szCs w:val="28"/>
        </w:rPr>
        <w:t>，联系电话：</w:t>
      </w:r>
      <w:r>
        <w:rPr>
          <w:rFonts w:hint="eastAsia" w:ascii="仿宋" w:hAnsi="仿宋" w:eastAsia="仿宋" w:cs="仿宋"/>
          <w:color w:val="FF0000"/>
          <w:sz w:val="28"/>
          <w:szCs w:val="28"/>
          <w:highlight w:val="none"/>
        </w:rPr>
        <w:t>电子邮箱：</w:t>
      </w:r>
    </w:p>
    <w:p>
      <w:pPr>
        <w:spacing w:line="440" w:lineRule="exact"/>
        <w:ind w:firstLine="562"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按照上述送达地址，以邮寄方式寄送的，接受方收到后即视为送达，如发生接受方拒收或提供地址不明经查无此人等情况的，在寄出后10日内即视为送达；以短信、电子邮件方式发送的，一旦发出即视为送达。</w:t>
      </w:r>
    </w:p>
    <w:p>
      <w:pPr>
        <w:spacing w:line="440" w:lineRule="exact"/>
        <w:ind w:firstLine="562"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上述第（一）款约定的送达地址系双方工作联系往来、法律文书及争议解决时人民法院/仲裁机构的法律文书送达地址，各方确认上述送达地址及送达方式适用于诉讼/仲裁的各阶段，包括但不限于一审、二审、再审、特别程序及执行程序。</w:t>
      </w:r>
    </w:p>
    <w:p>
      <w:pPr>
        <w:spacing w:line="440" w:lineRule="exact"/>
        <w:ind w:firstLine="562"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（三）合同送达条款为独立条款，不受合同整体或其他条款的效力的影响。</w:t>
      </w:r>
    </w:p>
    <w:bookmarkEnd w:id="34"/>
    <w:p>
      <w:pPr>
        <w:spacing w:line="420" w:lineRule="exact"/>
        <w:ind w:firstLine="562" w:firstLineChars="200"/>
        <w:rPr>
          <w:rFonts w:hint="eastAsia" w:ascii="仿宋" w:hAnsi="仿宋" w:eastAsia="仿宋"/>
          <w:color w:val="auto"/>
          <w:sz w:val="28"/>
          <w:szCs w:val="28"/>
        </w:rPr>
      </w:pPr>
    </w:p>
    <w:p>
      <w:pPr>
        <w:spacing w:line="420" w:lineRule="exact"/>
        <w:ind w:firstLine="562" w:firstLineChars="200"/>
        <w:rPr>
          <w:rFonts w:hint="eastAsia" w:ascii="仿宋" w:hAnsi="仿宋" w:eastAsia="仿宋"/>
          <w:color w:val="auto"/>
          <w:sz w:val="28"/>
          <w:szCs w:val="28"/>
        </w:rPr>
      </w:pPr>
    </w:p>
    <w:p>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附件1：</w:t>
      </w:r>
      <w:r>
        <w:rPr>
          <w:rFonts w:hint="eastAsia" w:ascii="仿宋" w:hAnsi="仿宋" w:eastAsia="仿宋"/>
          <w:color w:val="auto"/>
          <w:sz w:val="28"/>
          <w:szCs w:val="28"/>
        </w:rPr>
        <w:t>四川省妇幼保健院廉洁合同</w:t>
      </w:r>
    </w:p>
    <w:p>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附件2：</w:t>
      </w:r>
      <w:r>
        <w:rPr>
          <w:rFonts w:hint="eastAsia" w:ascii="仿宋" w:hAnsi="仿宋" w:eastAsia="仿宋"/>
          <w:color w:val="auto"/>
          <w:sz w:val="28"/>
          <w:szCs w:val="28"/>
        </w:rPr>
        <w:t>供应商产品质量和货源承诺书</w:t>
      </w:r>
    </w:p>
    <w:p>
      <w:pPr>
        <w:spacing w:line="420" w:lineRule="exact"/>
        <w:outlineLvl w:val="0"/>
        <w:rPr>
          <w:rFonts w:hint="eastAsia" w:ascii="仿宋" w:hAnsi="仿宋" w:eastAsia="仿宋"/>
          <w:color w:val="auto"/>
          <w:sz w:val="28"/>
          <w:szCs w:val="28"/>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7"/>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noWrap w:val="0"/>
            <w:vAlign w:val="top"/>
          </w:tcPr>
          <w:p>
            <w:pPr>
              <w:spacing w:line="500" w:lineRule="exact"/>
              <w:rPr>
                <w:rFonts w:hint="eastAsia" w:ascii="仿宋" w:hAnsi="仿宋" w:eastAsia="仿宋" w:cs="Times New Roman"/>
                <w:color w:val="auto"/>
                <w:sz w:val="28"/>
                <w:szCs w:val="28"/>
              </w:rPr>
            </w:pPr>
            <w:r>
              <w:rPr>
                <w:rFonts w:hint="eastAsia" w:ascii="仿宋" w:hAnsi="仿宋" w:eastAsia="仿宋" w:cs="Times New Roman"/>
                <w:color w:val="auto"/>
                <w:sz w:val="28"/>
                <w:szCs w:val="28"/>
              </w:rPr>
              <w:t>甲方：四川省妇幼保健院</w:t>
            </w:r>
          </w:p>
        </w:tc>
        <w:tc>
          <w:tcPr>
            <w:tcW w:w="4927" w:type="dxa"/>
            <w:noWrap w:val="0"/>
            <w:vAlign w:val="top"/>
          </w:tcPr>
          <w:p>
            <w:pPr>
              <w:spacing w:line="500" w:lineRule="exact"/>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noWrap w:val="0"/>
            <w:vAlign w:val="top"/>
          </w:tcPr>
          <w:p>
            <w:pPr>
              <w:spacing w:line="500" w:lineRule="exact"/>
              <w:rPr>
                <w:rFonts w:hint="eastAsia" w:ascii="仿宋" w:hAnsi="仿宋" w:eastAsia="仿宋" w:cs="Times New Roman"/>
                <w:color w:val="auto"/>
                <w:sz w:val="28"/>
                <w:szCs w:val="28"/>
              </w:rPr>
            </w:pPr>
            <w:r>
              <w:rPr>
                <w:rFonts w:hint="eastAsia" w:ascii="仿宋" w:hAnsi="仿宋" w:eastAsia="仿宋" w:cs="Times New Roman"/>
                <w:color w:val="auto"/>
                <w:sz w:val="28"/>
                <w:szCs w:val="28"/>
              </w:rPr>
              <w:t>法</w:t>
            </w:r>
            <w:r>
              <w:rPr>
                <w:rFonts w:hint="eastAsia" w:ascii="仿宋" w:hAnsi="仿宋" w:eastAsia="仿宋" w:cs="Times New Roman"/>
                <w:color w:val="auto"/>
                <w:sz w:val="28"/>
                <w:szCs w:val="28"/>
                <w:lang w:val="en-US" w:eastAsia="zh-CN"/>
              </w:rPr>
              <w:t>定</w:t>
            </w:r>
            <w:r>
              <w:rPr>
                <w:rFonts w:hint="eastAsia" w:ascii="仿宋" w:hAnsi="仿宋" w:eastAsia="仿宋" w:cs="Times New Roman"/>
                <w:color w:val="auto"/>
                <w:sz w:val="28"/>
                <w:szCs w:val="28"/>
              </w:rPr>
              <w:t>代表</w:t>
            </w:r>
            <w:r>
              <w:rPr>
                <w:rFonts w:hint="eastAsia" w:ascii="仿宋" w:hAnsi="仿宋" w:eastAsia="仿宋" w:cs="Times New Roman"/>
                <w:color w:val="auto"/>
                <w:sz w:val="28"/>
                <w:szCs w:val="28"/>
                <w:lang w:val="en-US" w:eastAsia="zh-CN"/>
              </w:rPr>
              <w:t>人</w:t>
            </w:r>
            <w:r>
              <w:rPr>
                <w:rFonts w:hint="eastAsia" w:ascii="仿宋" w:hAnsi="仿宋" w:eastAsia="仿宋" w:cs="Times New Roman"/>
                <w:color w:val="auto"/>
                <w:sz w:val="28"/>
                <w:szCs w:val="28"/>
              </w:rPr>
              <w:t>或授权</w:t>
            </w:r>
            <w:r>
              <w:rPr>
                <w:rFonts w:hint="eastAsia" w:ascii="仿宋" w:hAnsi="仿宋" w:eastAsia="仿宋" w:cs="Times New Roman"/>
                <w:color w:val="auto"/>
                <w:sz w:val="28"/>
                <w:szCs w:val="28"/>
                <w:lang w:val="en-US" w:eastAsia="zh-CN"/>
              </w:rPr>
              <w:t>代表</w:t>
            </w:r>
            <w:r>
              <w:rPr>
                <w:rFonts w:hint="eastAsia" w:ascii="仿宋" w:hAnsi="仿宋" w:eastAsia="仿宋" w:cs="Times New Roman"/>
                <w:color w:val="auto"/>
                <w:sz w:val="28"/>
                <w:szCs w:val="28"/>
              </w:rPr>
              <w:t>：</w:t>
            </w:r>
          </w:p>
        </w:tc>
        <w:tc>
          <w:tcPr>
            <w:tcW w:w="4927" w:type="dxa"/>
            <w:noWrap w:val="0"/>
            <w:vAlign w:val="top"/>
          </w:tcPr>
          <w:p>
            <w:pPr>
              <w:spacing w:line="500" w:lineRule="exact"/>
              <w:rPr>
                <w:rFonts w:hint="eastAsia" w:ascii="仿宋" w:hAnsi="仿宋" w:eastAsia="仿宋" w:cs="Times New Roman"/>
                <w:color w:val="auto"/>
                <w:sz w:val="28"/>
                <w:szCs w:val="28"/>
              </w:rPr>
            </w:pPr>
            <w:r>
              <w:rPr>
                <w:rFonts w:hint="eastAsia" w:ascii="仿宋" w:hAnsi="仿宋" w:eastAsia="仿宋" w:cs="Times New Roman"/>
                <w:color w:val="auto"/>
                <w:sz w:val="28"/>
                <w:szCs w:val="28"/>
              </w:rPr>
              <w:t>法</w:t>
            </w:r>
            <w:r>
              <w:rPr>
                <w:rFonts w:hint="eastAsia" w:ascii="仿宋" w:hAnsi="仿宋" w:eastAsia="仿宋" w:cs="Times New Roman"/>
                <w:color w:val="auto"/>
                <w:sz w:val="28"/>
                <w:szCs w:val="28"/>
                <w:lang w:val="en-US" w:eastAsia="zh-CN"/>
              </w:rPr>
              <w:t>定</w:t>
            </w:r>
            <w:r>
              <w:rPr>
                <w:rFonts w:hint="eastAsia" w:ascii="仿宋" w:hAnsi="仿宋" w:eastAsia="仿宋" w:cs="Times New Roman"/>
                <w:color w:val="auto"/>
                <w:sz w:val="28"/>
                <w:szCs w:val="28"/>
              </w:rPr>
              <w:t>代表</w:t>
            </w:r>
            <w:r>
              <w:rPr>
                <w:rFonts w:hint="eastAsia" w:ascii="仿宋" w:hAnsi="仿宋" w:eastAsia="仿宋" w:cs="Times New Roman"/>
                <w:color w:val="auto"/>
                <w:sz w:val="28"/>
                <w:szCs w:val="28"/>
                <w:lang w:val="en-US" w:eastAsia="zh-CN"/>
              </w:rPr>
              <w:t>人</w:t>
            </w:r>
            <w:r>
              <w:rPr>
                <w:rFonts w:hint="eastAsia" w:ascii="仿宋" w:hAnsi="仿宋" w:eastAsia="仿宋" w:cs="Times New Roman"/>
                <w:color w:val="auto"/>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noWrap w:val="0"/>
            <w:vAlign w:val="top"/>
          </w:tcPr>
          <w:p>
            <w:pPr>
              <w:spacing w:line="500" w:lineRule="exact"/>
              <w:rPr>
                <w:rFonts w:hint="eastAsia" w:ascii="仿宋" w:hAnsi="仿宋" w:eastAsia="仿宋" w:cs="Times New Roman"/>
                <w:color w:val="auto"/>
                <w:sz w:val="28"/>
                <w:szCs w:val="28"/>
              </w:rPr>
            </w:pPr>
          </w:p>
          <w:p>
            <w:pPr>
              <w:spacing w:line="500" w:lineRule="exact"/>
              <w:rPr>
                <w:rFonts w:hint="eastAsia" w:ascii="仿宋" w:hAnsi="仿宋" w:eastAsia="仿宋" w:cs="Times New Roman"/>
                <w:color w:val="auto"/>
                <w:sz w:val="28"/>
                <w:szCs w:val="28"/>
              </w:rPr>
            </w:pPr>
            <w:r>
              <w:rPr>
                <w:rFonts w:hint="eastAsia" w:ascii="仿宋" w:hAnsi="仿宋" w:eastAsia="仿宋" w:cs="Times New Roman"/>
                <w:color w:val="auto"/>
                <w:sz w:val="28"/>
                <w:szCs w:val="28"/>
              </w:rPr>
              <w:t>审核人：</w:t>
            </w:r>
          </w:p>
        </w:tc>
        <w:tc>
          <w:tcPr>
            <w:tcW w:w="4927" w:type="dxa"/>
            <w:noWrap w:val="0"/>
            <w:vAlign w:val="top"/>
          </w:tcPr>
          <w:p>
            <w:pPr>
              <w:spacing w:line="500" w:lineRule="exact"/>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noWrap w:val="0"/>
            <w:vAlign w:val="top"/>
          </w:tcPr>
          <w:p>
            <w:pPr>
              <w:spacing w:line="500" w:lineRule="exact"/>
              <w:rPr>
                <w:rFonts w:hint="eastAsia" w:ascii="仿宋" w:hAnsi="仿宋" w:eastAsia="仿宋" w:cs="Times New Roman"/>
                <w:color w:val="auto"/>
                <w:sz w:val="28"/>
                <w:szCs w:val="28"/>
              </w:rPr>
            </w:pPr>
          </w:p>
          <w:p>
            <w:pPr>
              <w:spacing w:line="500" w:lineRule="exact"/>
              <w:rPr>
                <w:rFonts w:hint="eastAsia" w:ascii="仿宋" w:hAnsi="仿宋" w:eastAsia="仿宋" w:cs="Times New Roman"/>
                <w:color w:val="auto"/>
                <w:sz w:val="28"/>
                <w:szCs w:val="28"/>
              </w:rPr>
            </w:pPr>
            <w:r>
              <w:rPr>
                <w:rFonts w:hint="eastAsia" w:ascii="仿宋" w:hAnsi="仿宋" w:eastAsia="仿宋" w:cs="Times New Roman"/>
                <w:color w:val="auto"/>
                <w:sz w:val="28"/>
                <w:szCs w:val="28"/>
              </w:rPr>
              <w:t>经办人：</w:t>
            </w:r>
          </w:p>
        </w:tc>
        <w:tc>
          <w:tcPr>
            <w:tcW w:w="4927" w:type="dxa"/>
            <w:noWrap w:val="0"/>
            <w:vAlign w:val="top"/>
          </w:tcPr>
          <w:p>
            <w:pPr>
              <w:spacing w:line="500" w:lineRule="exact"/>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noWrap w:val="0"/>
            <w:vAlign w:val="top"/>
          </w:tcPr>
          <w:p>
            <w:pPr>
              <w:spacing w:line="500" w:lineRule="exact"/>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rPr>
              <w:t>电话</w:t>
            </w:r>
            <w:r>
              <w:rPr>
                <w:rFonts w:hint="eastAsia" w:ascii="仿宋" w:hAnsi="仿宋" w:eastAsia="仿宋" w:cs="Times New Roman"/>
                <w:color w:val="auto"/>
                <w:sz w:val="28"/>
                <w:szCs w:val="28"/>
                <w:lang w:val="en-US" w:eastAsia="zh-CN"/>
              </w:rPr>
              <w:t>:028-659878222</w:t>
            </w:r>
          </w:p>
        </w:tc>
        <w:tc>
          <w:tcPr>
            <w:tcW w:w="4927" w:type="dxa"/>
            <w:noWrap w:val="0"/>
            <w:vAlign w:val="top"/>
          </w:tcPr>
          <w:p>
            <w:pPr>
              <w:spacing w:line="500" w:lineRule="exac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rPr>
              <w:t>电话</w:t>
            </w:r>
            <w:r>
              <w:rPr>
                <w:rFonts w:hint="eastAsia" w:ascii="仿宋" w:hAnsi="仿宋" w:eastAsia="仿宋" w:cs="Times New Roman"/>
                <w:color w:val="auto"/>
                <w:sz w:val="28"/>
                <w:szCs w:val="2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noWrap w:val="0"/>
            <w:vAlign w:val="top"/>
          </w:tcPr>
          <w:p>
            <w:pPr>
              <w:spacing w:line="500" w:lineRule="exact"/>
              <w:rPr>
                <w:rFonts w:hint="eastAsia" w:ascii="仿宋" w:hAnsi="仿宋" w:eastAsia="仿宋" w:cs="Times New Roman"/>
                <w:color w:val="auto"/>
                <w:sz w:val="28"/>
                <w:szCs w:val="28"/>
              </w:rPr>
            </w:pPr>
            <w:r>
              <w:rPr>
                <w:rFonts w:hint="eastAsia" w:ascii="仿宋" w:hAnsi="仿宋" w:eastAsia="仿宋" w:cs="Times New Roman"/>
                <w:color w:val="auto"/>
                <w:sz w:val="28"/>
                <w:szCs w:val="28"/>
              </w:rPr>
              <w:t>签订时间</w:t>
            </w:r>
            <w:r>
              <w:rPr>
                <w:rFonts w:hint="eastAsia" w:ascii="仿宋" w:hAnsi="仿宋" w:eastAsia="仿宋" w:cs="Times New Roman"/>
                <w:color w:val="auto"/>
                <w:sz w:val="28"/>
                <w:szCs w:val="28"/>
                <w:lang w:val="en-US" w:eastAsia="zh-CN"/>
              </w:rPr>
              <w:t>:</w:t>
            </w:r>
            <w:r>
              <w:rPr>
                <w:rFonts w:hint="eastAsia" w:ascii="仿宋" w:hAnsi="仿宋" w:eastAsia="仿宋" w:cs="Times New Roman"/>
                <w:color w:val="auto"/>
                <w:sz w:val="28"/>
                <w:szCs w:val="28"/>
              </w:rPr>
              <w:t xml:space="preserve"> </w:t>
            </w:r>
            <w:r>
              <w:rPr>
                <w:rFonts w:hint="eastAsia" w:ascii="仿宋" w:hAnsi="仿宋" w:eastAsia="仿宋" w:cs="Times New Roman"/>
                <w:color w:val="auto"/>
                <w:sz w:val="28"/>
                <w:szCs w:val="28"/>
                <w:lang w:val="en-US" w:eastAsia="zh-CN"/>
              </w:rPr>
              <w:t xml:space="preserve">    </w:t>
            </w:r>
            <w:r>
              <w:rPr>
                <w:rFonts w:hint="eastAsia" w:ascii="仿宋" w:hAnsi="仿宋" w:eastAsia="仿宋" w:cs="Times New Roman"/>
                <w:color w:val="auto"/>
                <w:sz w:val="28"/>
                <w:szCs w:val="28"/>
              </w:rPr>
              <w:t>年    月    日</w:t>
            </w:r>
          </w:p>
        </w:tc>
        <w:tc>
          <w:tcPr>
            <w:tcW w:w="4927" w:type="dxa"/>
            <w:noWrap w:val="0"/>
            <w:vAlign w:val="top"/>
          </w:tcPr>
          <w:p>
            <w:pPr>
              <w:spacing w:line="500" w:lineRule="exact"/>
              <w:rPr>
                <w:rFonts w:hint="eastAsia" w:ascii="仿宋" w:hAnsi="仿宋" w:eastAsia="仿宋" w:cs="Times New Roman"/>
                <w:color w:val="auto"/>
                <w:sz w:val="28"/>
                <w:szCs w:val="28"/>
              </w:rPr>
            </w:pPr>
            <w:r>
              <w:rPr>
                <w:rFonts w:hint="eastAsia" w:ascii="仿宋" w:hAnsi="仿宋" w:eastAsia="仿宋" w:cs="Times New Roman"/>
                <w:color w:val="auto"/>
                <w:sz w:val="28"/>
                <w:szCs w:val="28"/>
              </w:rPr>
              <w:t>签订时间</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 xml:space="preserve"> </w:t>
            </w:r>
            <w:r>
              <w:rPr>
                <w:rFonts w:hint="eastAsia" w:ascii="仿宋" w:hAnsi="仿宋" w:eastAsia="仿宋" w:cs="Times New Roman"/>
                <w:color w:val="auto"/>
                <w:sz w:val="28"/>
                <w:szCs w:val="28"/>
              </w:rPr>
              <w:t>年    月    日</w:t>
            </w:r>
          </w:p>
        </w:tc>
      </w:tr>
    </w:tbl>
    <w:p>
      <w:pPr>
        <w:spacing w:line="420" w:lineRule="exact"/>
        <w:outlineLvl w:val="0"/>
        <w:rPr>
          <w:rFonts w:hint="eastAsia" w:ascii="仿宋" w:hAnsi="仿宋" w:eastAsia="仿宋"/>
          <w:color w:val="auto"/>
          <w:sz w:val="28"/>
          <w:szCs w:val="28"/>
        </w:rPr>
      </w:pPr>
    </w:p>
    <w:p>
      <w:pPr>
        <w:tabs>
          <w:tab w:val="left" w:pos="5580"/>
        </w:tabs>
        <w:spacing w:line="420" w:lineRule="exact"/>
        <w:ind w:left="5880" w:hanging="5901" w:hangingChars="2100"/>
        <w:jc w:val="left"/>
        <w:rPr>
          <w:rFonts w:hint="eastAsia" w:ascii="仿宋" w:hAnsi="仿宋" w:eastAsia="仿宋"/>
          <w:color w:val="auto"/>
          <w:sz w:val="28"/>
          <w:szCs w:val="28"/>
        </w:rPr>
      </w:pPr>
    </w:p>
    <w:p>
      <w:pPr>
        <w:tabs>
          <w:tab w:val="left" w:pos="5580"/>
        </w:tabs>
        <w:spacing w:line="420" w:lineRule="exact"/>
        <w:ind w:left="5880" w:hanging="5901" w:hangingChars="2100"/>
        <w:jc w:val="left"/>
        <w:rPr>
          <w:rFonts w:hint="eastAsia" w:ascii="仿宋" w:hAnsi="仿宋" w:eastAsia="仿宋"/>
          <w:color w:val="auto"/>
          <w:sz w:val="28"/>
          <w:szCs w:val="28"/>
        </w:rPr>
      </w:pPr>
    </w:p>
    <w:p>
      <w:pPr>
        <w:tabs>
          <w:tab w:val="left" w:pos="5580"/>
        </w:tabs>
        <w:spacing w:line="420" w:lineRule="exact"/>
        <w:ind w:left="5880" w:hanging="5901" w:hangingChars="2100"/>
        <w:jc w:val="left"/>
        <w:rPr>
          <w:rFonts w:hint="eastAsia" w:ascii="仿宋" w:hAnsi="仿宋" w:eastAsia="仿宋"/>
          <w:color w:val="auto"/>
          <w:sz w:val="28"/>
          <w:szCs w:val="28"/>
        </w:rPr>
      </w:pPr>
    </w:p>
    <w:p>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四川省妇幼保健院廉洁合同</w:t>
      </w:r>
    </w:p>
    <w:p>
      <w:pPr>
        <w:spacing w:line="312" w:lineRule="auto"/>
        <w:jc w:val="center"/>
        <w:rPr>
          <w:rFonts w:ascii="黑体" w:hAnsi="黑体" w:eastAsia="黑体"/>
          <w:color w:val="auto"/>
          <w:sz w:val="44"/>
          <w:szCs w:val="44"/>
        </w:rPr>
      </w:pPr>
    </w:p>
    <w:p>
      <w:pPr>
        <w:spacing w:line="420" w:lineRule="exact"/>
        <w:rPr>
          <w:rFonts w:hint="eastAsia" w:ascii="仿宋" w:hAnsi="仿宋" w:eastAsia="仿宋"/>
          <w:color w:val="auto"/>
          <w:sz w:val="28"/>
          <w:szCs w:val="28"/>
        </w:rPr>
      </w:pPr>
      <w:r>
        <w:rPr>
          <w:rFonts w:hint="eastAsia" w:ascii="仿宋" w:hAnsi="仿宋" w:eastAsia="仿宋"/>
          <w:color w:val="auto"/>
          <w:sz w:val="28"/>
          <w:szCs w:val="28"/>
        </w:rPr>
        <w:t>甲方：四川省妇幼保健院</w:t>
      </w:r>
    </w:p>
    <w:p>
      <w:pPr>
        <w:spacing w:line="312" w:lineRule="auto"/>
        <w:rPr>
          <w:rFonts w:hint="eastAsia" w:ascii="仿宋" w:hAnsi="仿宋" w:eastAsia="仿宋"/>
          <w:color w:val="FF0000"/>
          <w:sz w:val="28"/>
          <w:szCs w:val="28"/>
        </w:rPr>
      </w:pPr>
      <w:r>
        <w:rPr>
          <w:rFonts w:hint="eastAsia" w:ascii="仿宋" w:hAnsi="仿宋" w:eastAsia="仿宋"/>
          <w:color w:val="FF0000"/>
          <w:sz w:val="28"/>
          <w:szCs w:val="28"/>
        </w:rPr>
        <w:t>乙方：</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为进一步加强医疗卫生行风建设，规范医药购销行为与医药企业的课题合作以及其它对外合作项目，保证药品、医用试剂、耗材、医疗器械、仪器设备、物资、基建工程及服务等招投标过程和合作项目合法合规，以及依法履行合同，有效防范商业贿赂行为，营造公平交易、诚实守信的购销及合作环境，经甲、乙双方协商，同意签订本合同，并共同遵守。</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一、甲、乙双方都清楚并愿意严格遵守中华人民共和国反商业贿赂的有关法律规定，双方都清楚任何形式的贿赂和贪渎行为都将触犯法律，并将受到法律的严惩。</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二、甲、乙双方同意建立廉洁协作机制，对在合作中发现的己方或对方人员的违规、违法行为，及时处理或通报给对方，并按照相关规定，双方配合进行严肃处理。</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三、甲方或乙方均不得向对方或对方经办人或其他相关人员索要、收受、提供、给予合同约定外的任何利益，包括但不限于明扣、暗扣、现金、购物卡、实物、有价证券、旅游或其它非物质性利益等，乙方不得以项目合作向甲方工作人员输送不正当利益，不得利用合作关系影响甲方招标采购项目的公平竞争。如被迫接受给予的钱物等利益，应予退还；无法退还的，有责任如实向有关纪检监察部门反映情况，并上交所得。</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四、甲方严格禁止经办人员接受乙方的任何商业贿赂。甲方经办人发生本合同第三条所列示的任何一种行为，都是违法违规行为，都将受到法律法规和甲方相关管理规定的惩处。</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五、甲方郑重提示：乙方不得为了本合同之目的与任何第三方发生本合同第三条所列示的任何一种行为，乙方不得以任何商业贿赂方式影响甲方工作人员招标、采购或使用产品的选择权。</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乙方如违反上述第三条之规定，甲方有权终止与乙方的合作合同，并按照医院《供应商和代理机构采购诚信管理制度》有关规定，将乙方列入失信名单并在医院官方网站通报，同时向上级有关部门报告乙方失信情况。乙方3年内不得以任何形式参与甲方的采购活动及项目合作。 </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七、因乙方原因造成甲方违反国家卫生行政管理部门及上级相关行政部门的规定被上级部门约谈、通报及处罚等情况发生，甲方有权视情节轻重对乙方进行以下处理：1.约谈督促改正或签约缓付货款；2.解除与乙方的采购/合作合同；3.承担甲方所受损失并向甲方支付实际损失金额1～5倍的违约金，乙方承担损失金额及违约金都将从货款中扣除，扣除后不足部分由乙方补足。</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八、本廉洁合同作为甲乙双方合作合同的重要组成部分，与甲乙双方合作合同一并签订、执行，具有同等的法律效力。</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九、本合同一式伍份，甲方肆份，乙方壹份，自甲乙双方签字并盖章之日起生效。</w:t>
      </w:r>
    </w:p>
    <w:p>
      <w:pPr>
        <w:spacing w:line="420" w:lineRule="exact"/>
        <w:rPr>
          <w:rFonts w:ascii="仿宋" w:hAnsi="仿宋" w:eastAsia="仿宋"/>
          <w:color w:val="auto"/>
          <w:sz w:val="28"/>
          <w:szCs w:val="28"/>
        </w:rPr>
      </w:pPr>
      <w:r>
        <w:rPr>
          <w:rFonts w:hint="eastAsia" w:ascii="仿宋" w:hAnsi="仿宋" w:eastAsia="仿宋"/>
          <w:color w:val="auto"/>
          <w:sz w:val="28"/>
          <w:szCs w:val="28"/>
        </w:rPr>
        <w:t>（本页无正文）</w:t>
      </w:r>
      <w:r>
        <w:rPr>
          <w:rFonts w:ascii="仿宋" w:hAnsi="仿宋" w:eastAsia="仿宋"/>
          <w:color w:val="auto"/>
          <w:sz w:val="28"/>
          <w:szCs w:val="28"/>
        </w:rPr>
        <w:t xml:space="preserve"> </w:t>
      </w:r>
    </w:p>
    <w:p>
      <w:pPr>
        <w:spacing w:line="420" w:lineRule="exact"/>
        <w:rPr>
          <w:rFonts w:hint="eastAsia" w:ascii="仿宋" w:hAnsi="仿宋" w:eastAsia="仿宋"/>
          <w:color w:val="auto"/>
          <w:sz w:val="28"/>
          <w:szCs w:val="28"/>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84"/>
        <w:gridCol w:w="4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noWrap w:val="0"/>
            <w:vAlign w:val="top"/>
          </w:tcPr>
          <w:p>
            <w:pPr>
              <w:spacing w:line="420" w:lineRule="exact"/>
              <w:ind w:left="5880" w:hanging="5901" w:hangingChars="2100"/>
              <w:jc w:val="both"/>
              <w:rPr>
                <w:rFonts w:hint="eastAsia" w:ascii="仿宋" w:hAnsi="仿宋" w:eastAsia="仿宋" w:cs="Times New Roman"/>
                <w:color w:val="auto"/>
                <w:sz w:val="28"/>
                <w:szCs w:val="28"/>
              </w:rPr>
            </w:pPr>
            <w:r>
              <w:rPr>
                <w:rFonts w:hint="eastAsia" w:ascii="仿宋" w:hAnsi="仿宋" w:eastAsia="仿宋" w:cs="Times New Roman"/>
                <w:color w:val="auto"/>
                <w:sz w:val="28"/>
                <w:szCs w:val="28"/>
              </w:rPr>
              <w:t>甲方：四川省妇幼保健院</w:t>
            </w:r>
          </w:p>
        </w:tc>
        <w:tc>
          <w:tcPr>
            <w:tcW w:w="4927" w:type="dxa"/>
            <w:noWrap w:val="0"/>
            <w:vAlign w:val="top"/>
          </w:tcPr>
          <w:p>
            <w:pPr>
              <w:spacing w:line="420" w:lineRule="exact"/>
              <w:ind w:left="5880" w:hanging="5901" w:hangingChars="2100"/>
              <w:jc w:val="both"/>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noWrap w:val="0"/>
            <w:vAlign w:val="top"/>
          </w:tcPr>
          <w:p>
            <w:pPr>
              <w:spacing w:line="420" w:lineRule="exact"/>
              <w:ind w:left="5880" w:hanging="5901" w:hangingChars="2100"/>
              <w:jc w:val="both"/>
              <w:rPr>
                <w:rFonts w:hint="eastAsia" w:ascii="仿宋" w:hAnsi="仿宋" w:eastAsia="仿宋" w:cs="Times New Roman"/>
                <w:color w:val="auto"/>
                <w:sz w:val="28"/>
                <w:szCs w:val="28"/>
              </w:rPr>
            </w:pPr>
            <w:r>
              <w:rPr>
                <w:rFonts w:hint="eastAsia" w:ascii="仿宋" w:hAnsi="仿宋" w:eastAsia="仿宋" w:cs="Times New Roman"/>
                <w:color w:val="auto"/>
                <w:sz w:val="28"/>
                <w:szCs w:val="28"/>
              </w:rPr>
              <w:t>法</w:t>
            </w:r>
            <w:r>
              <w:rPr>
                <w:rFonts w:hint="eastAsia" w:ascii="仿宋" w:hAnsi="仿宋" w:eastAsia="仿宋" w:cs="Times New Roman"/>
                <w:color w:val="auto"/>
                <w:sz w:val="28"/>
                <w:szCs w:val="28"/>
                <w:lang w:val="en-US" w:eastAsia="zh-CN"/>
              </w:rPr>
              <w:t>定</w:t>
            </w:r>
            <w:r>
              <w:rPr>
                <w:rFonts w:hint="eastAsia" w:ascii="仿宋" w:hAnsi="仿宋" w:eastAsia="仿宋" w:cs="Times New Roman"/>
                <w:color w:val="auto"/>
                <w:sz w:val="28"/>
                <w:szCs w:val="28"/>
              </w:rPr>
              <w:t>代表</w:t>
            </w:r>
            <w:r>
              <w:rPr>
                <w:rFonts w:hint="eastAsia" w:ascii="仿宋" w:hAnsi="仿宋" w:eastAsia="仿宋" w:cs="Times New Roman"/>
                <w:color w:val="auto"/>
                <w:sz w:val="28"/>
                <w:szCs w:val="28"/>
                <w:lang w:val="en-US" w:eastAsia="zh-CN"/>
              </w:rPr>
              <w:t>人</w:t>
            </w:r>
            <w:r>
              <w:rPr>
                <w:rFonts w:hint="eastAsia" w:ascii="仿宋" w:hAnsi="仿宋" w:eastAsia="仿宋" w:cs="Times New Roman"/>
                <w:color w:val="auto"/>
                <w:sz w:val="28"/>
                <w:szCs w:val="28"/>
              </w:rPr>
              <w:t>或授权</w:t>
            </w:r>
            <w:r>
              <w:rPr>
                <w:rFonts w:hint="eastAsia" w:ascii="仿宋" w:hAnsi="仿宋" w:eastAsia="仿宋" w:cs="Times New Roman"/>
                <w:color w:val="auto"/>
                <w:sz w:val="28"/>
                <w:szCs w:val="28"/>
                <w:lang w:val="en-US" w:eastAsia="zh-CN"/>
              </w:rPr>
              <w:t>代表</w:t>
            </w:r>
            <w:r>
              <w:rPr>
                <w:rFonts w:hint="eastAsia" w:ascii="仿宋" w:hAnsi="仿宋" w:eastAsia="仿宋" w:cs="Times New Roman"/>
                <w:color w:val="auto"/>
                <w:sz w:val="28"/>
                <w:szCs w:val="28"/>
              </w:rPr>
              <w:t>：</w:t>
            </w:r>
          </w:p>
        </w:tc>
        <w:tc>
          <w:tcPr>
            <w:tcW w:w="4927" w:type="dxa"/>
            <w:noWrap w:val="0"/>
            <w:vAlign w:val="top"/>
          </w:tcPr>
          <w:p>
            <w:pPr>
              <w:spacing w:line="420" w:lineRule="exact"/>
              <w:ind w:left="5880" w:hanging="5901" w:hangingChars="2100"/>
              <w:jc w:val="both"/>
              <w:rPr>
                <w:rFonts w:hint="eastAsia" w:ascii="仿宋" w:hAnsi="仿宋" w:eastAsia="仿宋" w:cs="Times New Roman"/>
                <w:color w:val="auto"/>
                <w:sz w:val="28"/>
                <w:szCs w:val="28"/>
              </w:rPr>
            </w:pPr>
            <w:r>
              <w:rPr>
                <w:rFonts w:hint="eastAsia" w:ascii="仿宋" w:hAnsi="仿宋" w:eastAsia="仿宋" w:cs="Times New Roman"/>
                <w:color w:val="auto"/>
                <w:sz w:val="28"/>
                <w:szCs w:val="28"/>
              </w:rPr>
              <w:t>法</w:t>
            </w:r>
            <w:r>
              <w:rPr>
                <w:rFonts w:hint="eastAsia" w:ascii="仿宋" w:hAnsi="仿宋" w:eastAsia="仿宋" w:cs="Times New Roman"/>
                <w:color w:val="auto"/>
                <w:sz w:val="28"/>
                <w:szCs w:val="28"/>
                <w:lang w:val="en-US" w:eastAsia="zh-CN"/>
              </w:rPr>
              <w:t>定</w:t>
            </w:r>
            <w:r>
              <w:rPr>
                <w:rFonts w:hint="eastAsia" w:ascii="仿宋" w:hAnsi="仿宋" w:eastAsia="仿宋" w:cs="Times New Roman"/>
                <w:color w:val="auto"/>
                <w:sz w:val="28"/>
                <w:szCs w:val="28"/>
              </w:rPr>
              <w:t>代表</w:t>
            </w:r>
            <w:r>
              <w:rPr>
                <w:rFonts w:hint="eastAsia" w:ascii="仿宋" w:hAnsi="仿宋" w:eastAsia="仿宋" w:cs="Times New Roman"/>
                <w:color w:val="auto"/>
                <w:sz w:val="28"/>
                <w:szCs w:val="28"/>
                <w:lang w:val="en-US" w:eastAsia="zh-CN"/>
              </w:rPr>
              <w:t>人</w:t>
            </w:r>
            <w:r>
              <w:rPr>
                <w:rFonts w:hint="eastAsia" w:ascii="仿宋" w:hAnsi="仿宋" w:eastAsia="仿宋" w:cs="Times New Roman"/>
                <w:color w:val="auto"/>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noWrap w:val="0"/>
            <w:vAlign w:val="top"/>
          </w:tcPr>
          <w:p>
            <w:pPr>
              <w:spacing w:line="420" w:lineRule="exact"/>
              <w:ind w:left="5880" w:hanging="5901" w:hangingChars="2100"/>
              <w:jc w:val="both"/>
              <w:rPr>
                <w:rFonts w:hint="eastAsia" w:ascii="仿宋" w:hAnsi="仿宋" w:eastAsia="仿宋" w:cs="Times New Roman"/>
                <w:color w:val="auto"/>
                <w:sz w:val="28"/>
                <w:szCs w:val="28"/>
              </w:rPr>
            </w:pPr>
          </w:p>
          <w:p>
            <w:pPr>
              <w:spacing w:line="420" w:lineRule="exact"/>
              <w:ind w:left="5880" w:hanging="5901" w:hangingChars="2100"/>
              <w:jc w:val="both"/>
              <w:rPr>
                <w:rFonts w:hint="eastAsia" w:ascii="仿宋" w:hAnsi="仿宋" w:eastAsia="仿宋" w:cs="Times New Roman"/>
                <w:color w:val="auto"/>
                <w:sz w:val="28"/>
                <w:szCs w:val="28"/>
              </w:rPr>
            </w:pPr>
            <w:r>
              <w:rPr>
                <w:rFonts w:hint="eastAsia" w:ascii="仿宋" w:hAnsi="仿宋" w:eastAsia="仿宋" w:cs="Times New Roman"/>
                <w:color w:val="auto"/>
                <w:sz w:val="28"/>
                <w:szCs w:val="28"/>
              </w:rPr>
              <w:t>审核人：</w:t>
            </w:r>
          </w:p>
        </w:tc>
        <w:tc>
          <w:tcPr>
            <w:tcW w:w="4927" w:type="dxa"/>
            <w:noWrap w:val="0"/>
            <w:vAlign w:val="top"/>
          </w:tcPr>
          <w:p>
            <w:pPr>
              <w:spacing w:line="420" w:lineRule="exact"/>
              <w:ind w:left="5880" w:hanging="5901" w:hangingChars="2100"/>
              <w:jc w:val="both"/>
              <w:rPr>
                <w:rFonts w:hint="eastAsia" w:ascii="仿宋" w:hAnsi="仿宋" w:eastAsia="仿宋" w:cs="Times New Roman"/>
                <w:color w:val="auto"/>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noWrap w:val="0"/>
            <w:vAlign w:val="top"/>
          </w:tcPr>
          <w:p>
            <w:pPr>
              <w:spacing w:line="420" w:lineRule="exact"/>
              <w:ind w:left="5880" w:hanging="5901" w:hangingChars="2100"/>
              <w:jc w:val="both"/>
              <w:rPr>
                <w:rFonts w:hint="eastAsia" w:ascii="仿宋" w:hAnsi="仿宋" w:eastAsia="仿宋" w:cs="Times New Roman"/>
                <w:color w:val="auto"/>
                <w:sz w:val="28"/>
                <w:szCs w:val="28"/>
              </w:rPr>
            </w:pPr>
          </w:p>
          <w:p>
            <w:pPr>
              <w:spacing w:line="420" w:lineRule="exact"/>
              <w:ind w:left="5880" w:hanging="5901" w:hangingChars="2100"/>
              <w:jc w:val="both"/>
              <w:rPr>
                <w:rFonts w:hint="eastAsia" w:ascii="仿宋" w:hAnsi="仿宋" w:eastAsia="仿宋" w:cs="Times New Roman"/>
                <w:color w:val="auto"/>
                <w:sz w:val="28"/>
                <w:szCs w:val="28"/>
              </w:rPr>
            </w:pPr>
            <w:r>
              <w:rPr>
                <w:rFonts w:hint="eastAsia" w:ascii="仿宋" w:hAnsi="仿宋" w:eastAsia="仿宋" w:cs="Times New Roman"/>
                <w:color w:val="auto"/>
                <w:sz w:val="28"/>
                <w:szCs w:val="28"/>
              </w:rPr>
              <w:t>经办人：</w:t>
            </w:r>
          </w:p>
        </w:tc>
        <w:tc>
          <w:tcPr>
            <w:tcW w:w="4927" w:type="dxa"/>
            <w:noWrap w:val="0"/>
            <w:vAlign w:val="top"/>
          </w:tcPr>
          <w:p>
            <w:pPr>
              <w:spacing w:line="420" w:lineRule="exact"/>
              <w:ind w:left="5880" w:hanging="5901" w:hangingChars="2100"/>
              <w:jc w:val="both"/>
              <w:rPr>
                <w:rFonts w:hint="eastAsia" w:ascii="仿宋" w:hAnsi="仿宋" w:eastAsia="仿宋" w:cs="Times New Roman"/>
                <w:color w:val="auto"/>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noWrap w:val="0"/>
            <w:vAlign w:val="top"/>
          </w:tcPr>
          <w:p>
            <w:pPr>
              <w:spacing w:line="420" w:lineRule="exact"/>
              <w:ind w:left="5880" w:hanging="5901" w:hangingChars="2100"/>
              <w:jc w:val="both"/>
              <w:rPr>
                <w:rFonts w:hint="eastAsia" w:ascii="仿宋" w:hAnsi="仿宋" w:eastAsia="仿宋" w:cs="Times New Roman"/>
                <w:color w:val="auto"/>
                <w:sz w:val="28"/>
                <w:szCs w:val="28"/>
              </w:rPr>
            </w:pPr>
            <w:r>
              <w:rPr>
                <w:rFonts w:hint="eastAsia" w:ascii="仿宋" w:hAnsi="仿宋" w:eastAsia="仿宋" w:cs="Times New Roman"/>
                <w:color w:val="auto"/>
                <w:sz w:val="28"/>
                <w:szCs w:val="28"/>
              </w:rPr>
              <w:t>签字时间：</w:t>
            </w:r>
            <w:r>
              <w:rPr>
                <w:rFonts w:hint="eastAsia" w:ascii="仿宋" w:hAnsi="仿宋" w:eastAsia="仿宋" w:cs="Times New Roman"/>
                <w:color w:val="auto"/>
                <w:sz w:val="28"/>
                <w:szCs w:val="28"/>
                <w:lang w:val="en-US" w:eastAsia="zh-CN"/>
              </w:rPr>
              <w:t xml:space="preserve">    </w:t>
            </w:r>
            <w:r>
              <w:rPr>
                <w:rFonts w:hint="eastAsia" w:ascii="仿宋" w:hAnsi="仿宋" w:eastAsia="仿宋" w:cs="Times New Roman"/>
                <w:color w:val="auto"/>
                <w:sz w:val="28"/>
                <w:szCs w:val="28"/>
              </w:rPr>
              <w:t>年    月    日</w:t>
            </w:r>
          </w:p>
        </w:tc>
        <w:tc>
          <w:tcPr>
            <w:tcW w:w="4927" w:type="dxa"/>
            <w:noWrap w:val="0"/>
            <w:vAlign w:val="top"/>
          </w:tcPr>
          <w:p>
            <w:pPr>
              <w:spacing w:line="420" w:lineRule="exact"/>
              <w:ind w:left="5880" w:hanging="5901" w:hangingChars="2100"/>
              <w:jc w:val="both"/>
              <w:rPr>
                <w:rFonts w:hint="eastAsia" w:ascii="仿宋" w:hAnsi="仿宋" w:eastAsia="仿宋" w:cs="Times New Roman"/>
                <w:color w:val="auto"/>
                <w:sz w:val="28"/>
                <w:szCs w:val="28"/>
              </w:rPr>
            </w:pPr>
            <w:r>
              <w:rPr>
                <w:rFonts w:hint="eastAsia" w:ascii="仿宋" w:hAnsi="仿宋" w:eastAsia="仿宋" w:cs="Times New Roman"/>
                <w:color w:val="auto"/>
                <w:sz w:val="28"/>
                <w:szCs w:val="28"/>
              </w:rPr>
              <w:t>签字时间：</w:t>
            </w:r>
            <w:r>
              <w:rPr>
                <w:rFonts w:hint="eastAsia" w:ascii="仿宋" w:hAnsi="仿宋" w:eastAsia="仿宋" w:cs="Times New Roman"/>
                <w:color w:val="auto"/>
                <w:sz w:val="28"/>
                <w:szCs w:val="28"/>
                <w:lang w:val="en-US" w:eastAsia="zh-CN"/>
              </w:rPr>
              <w:t xml:space="preserve">    </w:t>
            </w:r>
            <w:r>
              <w:rPr>
                <w:rFonts w:hint="eastAsia" w:ascii="仿宋" w:hAnsi="仿宋" w:eastAsia="仿宋" w:cs="Times New Roman"/>
                <w:color w:val="auto"/>
                <w:sz w:val="28"/>
                <w:szCs w:val="28"/>
              </w:rPr>
              <w:t>年    月    日</w:t>
            </w:r>
          </w:p>
        </w:tc>
      </w:tr>
    </w:tbl>
    <w:p>
      <w:pPr>
        <w:spacing w:line="420" w:lineRule="exact"/>
        <w:rPr>
          <w:rFonts w:ascii="仿宋" w:hAnsi="仿宋" w:eastAsia="仿宋"/>
          <w:color w:val="auto"/>
          <w:sz w:val="28"/>
          <w:szCs w:val="28"/>
        </w:rPr>
      </w:pPr>
    </w:p>
    <w:p>
      <w:pPr>
        <w:spacing w:line="420" w:lineRule="exact"/>
        <w:ind w:firstLine="4220" w:firstLineChars="2000"/>
        <w:rPr>
          <w:rFonts w:ascii="微软雅黑" w:hAnsi="微软雅黑" w:eastAsia="微软雅黑"/>
          <w:color w:val="auto"/>
        </w:rPr>
      </w:pPr>
    </w:p>
    <w:p>
      <w:pPr>
        <w:spacing w:line="500" w:lineRule="exact"/>
        <w:rPr>
          <w:rFonts w:hint="eastAsia" w:ascii="黑体" w:hAnsi="黑体" w:eastAsia="黑体"/>
          <w:b/>
          <w:color w:val="auto"/>
          <w:sz w:val="28"/>
          <w:szCs w:val="28"/>
        </w:rPr>
      </w:pPr>
      <w:r>
        <w:rPr>
          <w:color w:val="auto"/>
          <w:sz w:val="24"/>
          <w:szCs w:val="24"/>
        </w:rPr>
        <w:br w:type="page"/>
      </w:r>
      <w:r>
        <w:rPr>
          <w:rFonts w:hint="eastAsia" w:ascii="黑体" w:hAnsi="黑体" w:eastAsia="黑体"/>
          <w:color w:val="auto"/>
          <w:sz w:val="28"/>
          <w:szCs w:val="28"/>
        </w:rPr>
        <w:t>附件2：</w:t>
      </w:r>
      <w:r>
        <w:rPr>
          <w:rFonts w:hint="eastAsia" w:ascii="黑体" w:hAnsi="黑体" w:eastAsia="黑体"/>
          <w:b/>
          <w:color w:val="auto"/>
          <w:sz w:val="28"/>
          <w:szCs w:val="28"/>
        </w:rPr>
        <w:t xml:space="preserve"> </w:t>
      </w:r>
    </w:p>
    <w:p>
      <w:pPr>
        <w:spacing w:line="500" w:lineRule="exact"/>
        <w:jc w:val="center"/>
        <w:rPr>
          <w:rFonts w:hint="eastAsia" w:ascii="黑体" w:hAnsi="黑体" w:eastAsia="黑体"/>
          <w:color w:val="auto"/>
          <w:sz w:val="44"/>
          <w:szCs w:val="44"/>
        </w:rPr>
      </w:pPr>
      <w:r>
        <w:rPr>
          <w:rFonts w:hint="eastAsia" w:ascii="黑体" w:hAnsi="黑体" w:eastAsia="黑体"/>
          <w:color w:val="auto"/>
          <w:sz w:val="44"/>
          <w:szCs w:val="44"/>
        </w:rPr>
        <w:t>供应商产品质量和货源承诺书</w:t>
      </w:r>
    </w:p>
    <w:p>
      <w:pPr>
        <w:spacing w:line="500" w:lineRule="exact"/>
        <w:jc w:val="center"/>
        <w:rPr>
          <w:rFonts w:ascii="黑体" w:hAnsi="黑体" w:eastAsia="黑体"/>
          <w:color w:val="auto"/>
          <w:sz w:val="36"/>
          <w:szCs w:val="36"/>
        </w:rPr>
      </w:pPr>
    </w:p>
    <w:p>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一、承诺所提供的合同产品必须符合有关法律法规规定的质量标准，并与供应商中标产品相符。进口产品为合法渠道进口。 </w:t>
      </w:r>
    </w:p>
    <w:p>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二、承诺每个包装箱内附有产品说明书。进口产品按国家的规定提供中文标识。 </w:t>
      </w:r>
    </w:p>
    <w:p>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三、承诺合同产品被国家权威检验机构检验证明存在产品质量缺陷和安全隐患时，对其后果承担全部责任，包括采购人终止合同及产品质量缺陷和安全隐患造成医疗事故（纠纷）导致的后果。 </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四、承诺对合同产品有充足的货源和不延误供货。 </w:t>
      </w:r>
    </w:p>
    <w:p>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五、承诺授权的配送商不对配送进行转包和分包，不向采购人收取运费和保险费用，配送中发生的问题由成交供应商承担责任。 </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六、承诺按合同载明的配送时间、地点、数量和交货方式配送货物。交货方式以现场交货方式为主。 </w:t>
      </w:r>
    </w:p>
    <w:p>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七、合同当事人现场验货时，发现配送产品破损或与合同不符，应重新配送，并承担由此发生的费用和引发的责任。 </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八、承诺无正当理由延误供货的，向采购人缴纳延误供货赔偿费。</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九、承诺提供合同产品的伴随和售后服务，不收取费用。如有收费项目，须在合同中载明。 </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十、承诺如采购人需要，提供合同产品现场技术支持，电话、电子邮件答询和进行人员培训。 </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十一、承诺不得以任何名义、形式给予采购方工作人员回扣，不得将捐赠资助与采购挂钩。不得为采购方工作人员安排并支付费用的营业性娱乐场所的娱乐活动，不得以任何形式向采购方工作人员赠与现金、有价证券、支付凭证和贵重礼品等。被迫要求给予钱物的，有责任如实向有关纪检监察部门反映情况。</w:t>
      </w:r>
    </w:p>
    <w:p>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十二、承诺不得以回扣、宴请等方式影响采购方工作人员采购或使用医药产品的选择权，不得在学术活动中提供旅游、超标准支付食宿费用。</w:t>
      </w:r>
    </w:p>
    <w:p>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十三、供应商指定</w:t>
      </w:r>
      <w:r>
        <w:rPr>
          <w:rFonts w:hint="eastAsia" w:ascii="仿宋" w:hAnsi="仿宋" w:eastAsia="仿宋"/>
          <w:color w:val="FF0000"/>
          <w:sz w:val="28"/>
          <w:szCs w:val="28"/>
          <w:u w:val="single"/>
          <w:lang w:val="en-US" w:eastAsia="zh-CN"/>
        </w:rPr>
        <w:t xml:space="preserve">      </w:t>
      </w:r>
      <w:r>
        <w:rPr>
          <w:rFonts w:hint="eastAsia" w:ascii="仿宋" w:hAnsi="仿宋" w:eastAsia="仿宋"/>
          <w:color w:val="auto"/>
          <w:sz w:val="28"/>
          <w:szCs w:val="28"/>
        </w:rPr>
        <w:t>作为销售代表洽谈业务。销售代表必须在工作时间到采购方指定地点联系商谈，不得到住院部、门诊部、医技科室等推销医药产品，不得借故到采购方相关领导、部门负责人及相关工作人员家中访谈并提供任何好处费。</w:t>
      </w:r>
    </w:p>
    <w:p>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四、供应商如违反本承诺书，一经发现，采购方有权终止购销合同，并向有关卫生计生行政部门报告。如供应商被列入商业贿赂不良记录，则严格按照《国家卫生计生委关于建立医药购销领域商业贿赂不良记录的规定》（国卫法制发〔2013〕50号）相关规定处理。</w:t>
      </w:r>
    </w:p>
    <w:p>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left"/>
        <w:textAlignment w:val="auto"/>
        <w:rPr>
          <w:rFonts w:hint="eastAsia"/>
        </w:rPr>
      </w:pPr>
      <w:r>
        <w:rPr>
          <w:rFonts w:hint="eastAsia" w:ascii="仿宋" w:hAnsi="仿宋" w:eastAsia="仿宋"/>
          <w:color w:val="auto"/>
          <w:sz w:val="28"/>
          <w:szCs w:val="28"/>
        </w:rPr>
        <w:t xml:space="preserve">                </w:t>
      </w:r>
      <w:r>
        <w:rPr>
          <w:rFonts w:hint="eastAsia" w:ascii="仿宋" w:hAnsi="仿宋" w:eastAsia="仿宋"/>
          <w:color w:val="FF0000"/>
          <w:sz w:val="28"/>
          <w:szCs w:val="28"/>
        </w:rPr>
        <w:t xml:space="preserve"> 供应商：</w:t>
      </w:r>
      <w:r>
        <w:rPr>
          <w:rFonts w:hint="eastAsia" w:ascii="仿宋" w:hAnsi="仿宋" w:eastAsia="仿宋"/>
          <w:color w:val="FF0000"/>
          <w:sz w:val="28"/>
          <w:szCs w:val="28"/>
          <w:lang w:val="en-US" w:eastAsia="zh-CN"/>
        </w:rPr>
        <w:t xml:space="preserve">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时  间：</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年     月    日</w:t>
      </w:r>
    </w:p>
    <w:sectPr>
      <w:pgSz w:w="11906" w:h="16838"/>
      <w:pgMar w:top="1440" w:right="1077" w:bottom="1440" w:left="1077" w:header="851" w:footer="992" w:gutter="0"/>
      <w:cols w:space="0" w:num="1"/>
      <w:rtlGutter w:val="0"/>
      <w:docGrid w:type="linesAndChars" w:linePitch="314"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54A3"/>
    <w:multiLevelType w:val="singleLevel"/>
    <w:tmpl w:val="050754A3"/>
    <w:lvl w:ilvl="0" w:tentative="0">
      <w:start w:val="1"/>
      <w:numFmt w:val="chineseCounting"/>
      <w:suff w:val="nothing"/>
      <w:lvlText w:val="%1、"/>
      <w:lvlJc w:val="left"/>
      <w:rPr>
        <w:rFonts w:hint="eastAsia"/>
      </w:rPr>
    </w:lvl>
  </w:abstractNum>
  <w:abstractNum w:abstractNumId="1">
    <w:nsid w:val="0C817138"/>
    <w:multiLevelType w:val="multilevel"/>
    <w:tmpl w:val="0C817138"/>
    <w:lvl w:ilvl="0" w:tentative="0">
      <w:start w:val="1"/>
      <w:numFmt w:val="japaneseCounting"/>
      <w:lvlText w:val="%1、"/>
      <w:lvlJc w:val="left"/>
      <w:pPr>
        <w:ind w:left="570" w:hanging="57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6"/>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338744B"/>
    <w:rsid w:val="04FB0831"/>
    <w:rsid w:val="053A5330"/>
    <w:rsid w:val="07953CAB"/>
    <w:rsid w:val="07B925A7"/>
    <w:rsid w:val="08DA7948"/>
    <w:rsid w:val="098702CB"/>
    <w:rsid w:val="0A99264E"/>
    <w:rsid w:val="0BF815CE"/>
    <w:rsid w:val="0DBB7E7D"/>
    <w:rsid w:val="0E911C5D"/>
    <w:rsid w:val="10954EC2"/>
    <w:rsid w:val="1242760B"/>
    <w:rsid w:val="12A81059"/>
    <w:rsid w:val="12F40DED"/>
    <w:rsid w:val="13485B4A"/>
    <w:rsid w:val="136D18E4"/>
    <w:rsid w:val="14456F80"/>
    <w:rsid w:val="169332CB"/>
    <w:rsid w:val="18A53700"/>
    <w:rsid w:val="18B43DAF"/>
    <w:rsid w:val="195D2073"/>
    <w:rsid w:val="1A37043E"/>
    <w:rsid w:val="1C462F83"/>
    <w:rsid w:val="1FFA326B"/>
    <w:rsid w:val="221A6DCA"/>
    <w:rsid w:val="228C2840"/>
    <w:rsid w:val="2306229A"/>
    <w:rsid w:val="240075DB"/>
    <w:rsid w:val="2610660A"/>
    <w:rsid w:val="26D9225C"/>
    <w:rsid w:val="272816FC"/>
    <w:rsid w:val="28203DA9"/>
    <w:rsid w:val="288B72CF"/>
    <w:rsid w:val="290E01EB"/>
    <w:rsid w:val="29191C6B"/>
    <w:rsid w:val="2C741D56"/>
    <w:rsid w:val="2E811DD5"/>
    <w:rsid w:val="30EB5768"/>
    <w:rsid w:val="32164CEA"/>
    <w:rsid w:val="347E4944"/>
    <w:rsid w:val="357C4381"/>
    <w:rsid w:val="364F4E7F"/>
    <w:rsid w:val="365344A5"/>
    <w:rsid w:val="38BB478A"/>
    <w:rsid w:val="396510AC"/>
    <w:rsid w:val="3BA27AC6"/>
    <w:rsid w:val="3BD83F86"/>
    <w:rsid w:val="3ED3727D"/>
    <w:rsid w:val="405F3E1B"/>
    <w:rsid w:val="41EE0E8D"/>
    <w:rsid w:val="4669398D"/>
    <w:rsid w:val="48983A5D"/>
    <w:rsid w:val="49177328"/>
    <w:rsid w:val="4AE36A9A"/>
    <w:rsid w:val="4B7A520A"/>
    <w:rsid w:val="4C5E41EC"/>
    <w:rsid w:val="4C6B4A07"/>
    <w:rsid w:val="4C9D5819"/>
    <w:rsid w:val="4CAB6BF2"/>
    <w:rsid w:val="4EA5407F"/>
    <w:rsid w:val="4EE10A0C"/>
    <w:rsid w:val="51CB3FD0"/>
    <w:rsid w:val="53914C7E"/>
    <w:rsid w:val="54A55367"/>
    <w:rsid w:val="5536063D"/>
    <w:rsid w:val="55A07BBA"/>
    <w:rsid w:val="55F211D3"/>
    <w:rsid w:val="56183BA8"/>
    <w:rsid w:val="577B25E6"/>
    <w:rsid w:val="5C452678"/>
    <w:rsid w:val="5D2D064D"/>
    <w:rsid w:val="5DC03791"/>
    <w:rsid w:val="5FEC0FA4"/>
    <w:rsid w:val="60795DD8"/>
    <w:rsid w:val="61DB5EE7"/>
    <w:rsid w:val="62FA0171"/>
    <w:rsid w:val="637366D0"/>
    <w:rsid w:val="63E72E68"/>
    <w:rsid w:val="64ED5044"/>
    <w:rsid w:val="656709A8"/>
    <w:rsid w:val="65C660EF"/>
    <w:rsid w:val="65DA011F"/>
    <w:rsid w:val="66D20681"/>
    <w:rsid w:val="672843F4"/>
    <w:rsid w:val="68A017BF"/>
    <w:rsid w:val="6A052BEC"/>
    <w:rsid w:val="6A1B1B87"/>
    <w:rsid w:val="6A38583D"/>
    <w:rsid w:val="6A717D4B"/>
    <w:rsid w:val="6C0F1984"/>
    <w:rsid w:val="6CF82393"/>
    <w:rsid w:val="701306BF"/>
    <w:rsid w:val="707E1032"/>
    <w:rsid w:val="70D97D2C"/>
    <w:rsid w:val="710D63F2"/>
    <w:rsid w:val="716610EA"/>
    <w:rsid w:val="71D57369"/>
    <w:rsid w:val="72F11C48"/>
    <w:rsid w:val="745C42F1"/>
    <w:rsid w:val="75233D75"/>
    <w:rsid w:val="766B2655"/>
    <w:rsid w:val="77490A08"/>
    <w:rsid w:val="78BA1DAC"/>
    <w:rsid w:val="799A6260"/>
    <w:rsid w:val="7B362A78"/>
    <w:rsid w:val="7C0814C8"/>
    <w:rsid w:val="7C560E66"/>
    <w:rsid w:val="7CE30947"/>
    <w:rsid w:val="7DFC578F"/>
    <w:rsid w:val="7F350078"/>
    <w:rsid w:val="7F895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20"/>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2"/>
    <w:semiHidden/>
    <w:unhideWhenUsed/>
    <w:qFormat/>
    <w:uiPriority w:val="99"/>
    <w:rPr>
      <w:sz w:val="18"/>
      <w:szCs w:val="18"/>
    </w:rPr>
  </w:style>
  <w:style w:type="paragraph" w:styleId="8">
    <w:name w:val="footer"/>
    <w:basedOn w:val="1"/>
    <w:link w:val="18"/>
    <w:semiHidden/>
    <w:unhideWhenUsed/>
    <w:qFormat/>
    <w:uiPriority w:val="99"/>
    <w:pPr>
      <w:tabs>
        <w:tab w:val="center" w:pos="4153"/>
        <w:tab w:val="right" w:pos="8306"/>
      </w:tabs>
      <w:snapToGrid w:val="0"/>
      <w:jc w:val="left"/>
    </w:pPr>
    <w:rPr>
      <w:sz w:val="18"/>
      <w:szCs w:val="18"/>
    </w:rPr>
  </w:style>
  <w:style w:type="paragraph" w:styleId="9">
    <w:name w:val="header"/>
    <w:basedOn w:val="1"/>
    <w:next w:val="2"/>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1"/>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qFormat/>
    <w:uiPriority w:val="0"/>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9"/>
    <w:semiHidden/>
    <w:qFormat/>
    <w:uiPriority w:val="99"/>
    <w:rPr>
      <w:sz w:val="18"/>
      <w:szCs w:val="18"/>
    </w:rPr>
  </w:style>
  <w:style w:type="character" w:customStyle="1" w:styleId="18">
    <w:name w:val="页脚 Char"/>
    <w:basedOn w:val="14"/>
    <w:link w:val="8"/>
    <w:semiHidden/>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文字 Char"/>
    <w:basedOn w:val="14"/>
    <w:link w:val="5"/>
    <w:semiHidden/>
    <w:qFormat/>
    <w:uiPriority w:val="99"/>
  </w:style>
  <w:style w:type="character" w:customStyle="1" w:styleId="21">
    <w:name w:val="批注主题 Char"/>
    <w:basedOn w:val="20"/>
    <w:link w:val="11"/>
    <w:semiHidden/>
    <w:qFormat/>
    <w:uiPriority w:val="99"/>
    <w:rPr>
      <w:b/>
      <w:bCs/>
    </w:rPr>
  </w:style>
  <w:style w:type="character" w:customStyle="1" w:styleId="22">
    <w:name w:val="批注框文本 Char"/>
    <w:basedOn w:val="14"/>
    <w:link w:val="7"/>
    <w:semiHidden/>
    <w:qFormat/>
    <w:uiPriority w:val="99"/>
    <w:rPr>
      <w:sz w:val="18"/>
      <w:szCs w:val="18"/>
    </w:rPr>
  </w:style>
  <w:style w:type="character" w:customStyle="1" w:styleId="23">
    <w:name w:val="fontstyle01"/>
    <w:basedOn w:val="14"/>
    <w:qFormat/>
    <w:uiPriority w:val="0"/>
    <w:rPr>
      <w:rFonts w:ascii="SegoeUI" w:hAnsi="SegoeUI" w:eastAsia="SegoeUI" w:cs="SegoeUI"/>
      <w:color w:val="333333"/>
      <w:sz w:val="16"/>
      <w:szCs w:val="16"/>
    </w:rPr>
  </w:style>
  <w:style w:type="character" w:customStyle="1" w:styleId="24">
    <w:name w:val="fontstyle11"/>
    <w:basedOn w:val="14"/>
    <w:qFormat/>
    <w:uiPriority w:val="0"/>
    <w:rPr>
      <w:rFonts w:ascii="MicrosoftYaHei" w:hAnsi="MicrosoftYaHei" w:eastAsia="MicrosoftYaHei" w:cs="MicrosoftYaHei"/>
      <w:color w:val="333333"/>
      <w:sz w:val="16"/>
      <w:szCs w:val="16"/>
    </w:rPr>
  </w:style>
  <w:style w:type="paragraph" w:customStyle="1" w:styleId="25">
    <w:name w:val="样式 首行缩进:  2 字符"/>
    <w:basedOn w:val="1"/>
    <w:qFormat/>
    <w:uiPriority w:val="0"/>
    <w:pPr>
      <w:spacing w:line="400" w:lineRule="exact"/>
      <w:ind w:firstLine="200" w:firstLineChars="200"/>
    </w:pPr>
    <w:rPr>
      <w:rFonts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1</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卢</cp:lastModifiedBy>
  <dcterms:modified xsi:type="dcterms:W3CDTF">2025-06-19T06:18:30Z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