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spacing w:line="400" w:lineRule="exact"/>
        <w:jc w:val="left"/>
        <w:textAlignment w:val="auto"/>
        <w:rPr>
          <w:rFonts w:ascii="仿宋" w:hAnsi="仿宋" w:eastAsia="仿宋" w:cs="Segoe UI"/>
          <w:b/>
          <w:color w:val="auto"/>
          <w:spacing w:val="8"/>
          <w:kern w:val="0"/>
          <w:sz w:val="28"/>
          <w:szCs w:val="28"/>
        </w:rPr>
      </w:pPr>
      <w:r>
        <w:rPr>
          <w:rFonts w:hint="eastAsia" w:ascii="黑体" w:hAnsi="黑体" w:eastAsia="黑体" w:cs="Segoe UI"/>
          <w:color w:val="auto"/>
          <w:kern w:val="0"/>
          <w:sz w:val="32"/>
          <w:szCs w:val="32"/>
        </w:rPr>
        <w:t>附件1：</w:t>
      </w:r>
      <w:r>
        <w:rPr>
          <w:rFonts w:hint="eastAsia" w:ascii="仿宋" w:hAnsi="仿宋" w:eastAsia="仿宋" w:cs="Segoe UI"/>
          <w:b/>
          <w:color w:val="auto"/>
          <w:spacing w:val="8"/>
          <w:kern w:val="0"/>
          <w:sz w:val="28"/>
          <w:szCs w:val="28"/>
        </w:rPr>
        <w:t>采购项目需求</w:t>
      </w:r>
    </w:p>
    <w:p>
      <w:pPr>
        <w:keepNext w:val="0"/>
        <w:keepLines w:val="0"/>
        <w:pageBreakBefore w:val="0"/>
        <w:kinsoku/>
        <w:wordWrap/>
        <w:overflowPunct/>
        <w:topLinePunct w:val="0"/>
        <w:bidi w:val="0"/>
        <w:snapToGrid/>
        <w:spacing w:line="400" w:lineRule="exact"/>
        <w:jc w:val="left"/>
        <w:textAlignment w:val="auto"/>
        <w:rPr>
          <w:b/>
          <w:bCs/>
          <w:color w:val="auto"/>
        </w:rPr>
      </w:pPr>
      <w:bookmarkStart w:id="0" w:name="OLE_LINK4"/>
      <w:r>
        <w:rPr>
          <w:rFonts w:hint="eastAsia"/>
          <w:b/>
          <w:bCs/>
          <w:color w:val="auto"/>
        </w:rPr>
        <w:t>一、采购标的：</w:t>
      </w:r>
    </w:p>
    <w:p>
      <w:pPr>
        <w:keepNext w:val="0"/>
        <w:keepLines w:val="0"/>
        <w:pageBreakBefore w:val="0"/>
        <w:kinsoku/>
        <w:wordWrap/>
        <w:overflowPunct/>
        <w:topLinePunct w:val="0"/>
        <w:bidi w:val="0"/>
        <w:snapToGrid/>
        <w:spacing w:line="400" w:lineRule="exact"/>
        <w:jc w:val="left"/>
        <w:textAlignment w:val="auto"/>
        <w:rPr>
          <w:rFonts w:ascii="宋体" w:hAnsi="宋体" w:eastAsia="宋体" w:cs="宋体"/>
          <w:color w:val="auto"/>
        </w:rPr>
      </w:pPr>
      <w:r>
        <w:rPr>
          <w:rFonts w:hint="eastAsia" w:ascii="宋体" w:hAnsi="宋体" w:eastAsia="宋体" w:cs="宋体"/>
          <w:color w:val="auto"/>
        </w:rPr>
        <w:t>备注：超过最高限价的报价，视为无效投标</w:t>
      </w:r>
    </w:p>
    <w:tbl>
      <w:tblPr>
        <w:tblStyle w:val="12"/>
        <w:tblW w:w="42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3029"/>
        <w:gridCol w:w="144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53"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bCs/>
                <w:color w:val="auto"/>
              </w:rPr>
            </w:pPr>
            <w:r>
              <w:rPr>
                <w:rFonts w:hint="eastAsia" w:ascii="宋体" w:hAnsi="宋体"/>
                <w:bCs/>
                <w:color w:val="auto"/>
              </w:rPr>
              <w:t>序号</w:t>
            </w:r>
          </w:p>
        </w:tc>
        <w:tc>
          <w:tcPr>
            <w:tcW w:w="2109"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bCs/>
                <w:color w:val="auto"/>
              </w:rPr>
            </w:pPr>
            <w:r>
              <w:rPr>
                <w:rFonts w:hint="eastAsia" w:ascii="宋体" w:hAnsi="宋体" w:cs="宋体"/>
                <w:bCs/>
                <w:color w:val="auto"/>
              </w:rPr>
              <w:t>产品名称</w:t>
            </w:r>
          </w:p>
        </w:tc>
        <w:tc>
          <w:tcPr>
            <w:tcW w:w="100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宋体" w:eastAsiaTheme="minorEastAsia"/>
                <w:bCs/>
                <w:color w:val="auto"/>
                <w:lang w:val="en-US" w:eastAsia="zh-CN"/>
              </w:rPr>
            </w:pPr>
            <w:r>
              <w:rPr>
                <w:rFonts w:hint="eastAsia" w:ascii="宋体" w:hAnsi="宋体" w:cs="宋体"/>
                <w:bCs/>
                <w:color w:val="auto"/>
              </w:rPr>
              <w:t>数量</w:t>
            </w:r>
            <w:r>
              <w:rPr>
                <w:rFonts w:hint="eastAsia" w:ascii="宋体" w:hAnsi="宋体" w:cs="宋体"/>
                <w:bCs/>
                <w:color w:val="auto"/>
                <w:lang w:val="en-US" w:eastAsia="zh-CN"/>
              </w:rPr>
              <w:t>(台)</w:t>
            </w:r>
          </w:p>
        </w:tc>
        <w:tc>
          <w:tcPr>
            <w:tcW w:w="1233"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rPr>
            </w:pPr>
            <w:r>
              <w:rPr>
                <w:rFonts w:hint="eastAsia" w:ascii="宋体" w:hAnsi="宋体" w:cs="宋体"/>
                <w:bCs/>
                <w:color w:val="auto"/>
              </w:rPr>
              <w:t>最高限价</w:t>
            </w:r>
          </w:p>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rPr>
            </w:pPr>
            <w:r>
              <w:rPr>
                <w:rFonts w:hint="eastAsia" w:ascii="宋体" w:hAnsi="宋体" w:cs="宋体"/>
                <w:bCs/>
                <w:color w:val="auto"/>
              </w:rPr>
              <w:t>（</w:t>
            </w:r>
            <w:r>
              <w:rPr>
                <w:rFonts w:hint="eastAsia" w:ascii="宋体" w:hAnsi="宋体"/>
                <w:color w:val="auto"/>
              </w:rPr>
              <w:t>万元</w:t>
            </w:r>
            <w:r>
              <w:rPr>
                <w:rFonts w:hint="eastAsia" w:ascii="宋体" w:hAnsi="宋体" w:cs="宋体"/>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53" w:type="pct"/>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Theme="minorEastAsia"/>
                <w:color w:val="auto"/>
                <w:lang w:eastAsia="zh-CN"/>
              </w:rPr>
            </w:pPr>
            <w:r>
              <w:rPr>
                <w:rFonts w:hint="eastAsia" w:ascii="宋体" w:hAnsi="宋体"/>
                <w:color w:val="auto"/>
                <w:lang w:val="en-US" w:eastAsia="zh-CN"/>
              </w:rPr>
              <w:t>1</w:t>
            </w:r>
          </w:p>
        </w:tc>
        <w:tc>
          <w:tcPr>
            <w:tcW w:w="3029" w:type="dxa"/>
            <w:vAlign w:val="center"/>
          </w:tcPr>
          <w:p>
            <w:pPr>
              <w:keepNext w:val="0"/>
              <w:keepLines w:val="0"/>
              <w:widowControl/>
              <w:suppressLineNumbers w:val="0"/>
              <w:jc w:val="center"/>
              <w:textAlignment w:val="center"/>
              <w:rPr>
                <w:rFonts w:hint="default" w:ascii="宋体" w:hAnsi="宋体" w:eastAsia="宋体" w:cs="宋体"/>
                <w:bCs/>
                <w:kern w:val="2"/>
                <w:sz w:val="21"/>
                <w:szCs w:val="22"/>
                <w:lang w:val="en-US" w:eastAsia="zh-CN" w:bidi="ar-SA"/>
              </w:rPr>
            </w:pPr>
            <w:r>
              <w:rPr>
                <w:rFonts w:hint="eastAsia" w:ascii="宋体" w:hAnsi="宋体" w:eastAsia="宋体" w:cs="Times New Roman"/>
                <w:color w:val="000000"/>
                <w:lang w:val="en-US" w:eastAsia="zh-CN"/>
              </w:rPr>
              <w:t>全自动化学发光分析仪</w:t>
            </w:r>
          </w:p>
        </w:tc>
        <w:tc>
          <w:tcPr>
            <w:tcW w:w="1441" w:type="dxa"/>
            <w:vAlign w:val="center"/>
          </w:tcPr>
          <w:p>
            <w:pPr>
              <w:keepNext w:val="0"/>
              <w:keepLines w:val="0"/>
              <w:widowControl/>
              <w:suppressLineNumbers w:val="0"/>
              <w:jc w:val="center"/>
              <w:textAlignment w:val="center"/>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1</w:t>
            </w:r>
          </w:p>
        </w:tc>
        <w:tc>
          <w:tcPr>
            <w:tcW w:w="123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0.2</w:t>
            </w:r>
          </w:p>
        </w:tc>
      </w:tr>
    </w:tbl>
    <w:p>
      <w:pPr>
        <w:keepNext w:val="0"/>
        <w:keepLines w:val="0"/>
        <w:pageBreakBefore w:val="0"/>
        <w:kinsoku/>
        <w:wordWrap/>
        <w:overflowPunct/>
        <w:topLinePunct w:val="0"/>
        <w:bidi w:val="0"/>
        <w:snapToGrid/>
        <w:spacing w:line="400" w:lineRule="exact"/>
        <w:jc w:val="left"/>
        <w:textAlignment w:val="auto"/>
        <w:rPr>
          <w:b/>
          <w:bCs/>
          <w:color w:val="auto"/>
        </w:rPr>
      </w:pPr>
      <w:r>
        <w:rPr>
          <w:rFonts w:hint="eastAsia"/>
          <w:b/>
          <w:bCs/>
          <w:color w:val="auto"/>
        </w:rPr>
        <w:t>二、技术要求：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textAlignment w:val="auto"/>
        <w:rPr>
          <w:rFonts w:hint="eastAsia"/>
          <w:lang w:val="en-US" w:eastAsia="zh-CN"/>
        </w:rPr>
      </w:pPr>
      <w:r>
        <w:rPr>
          <w:rFonts w:hint="eastAsia"/>
          <w:lang w:val="en-US" w:eastAsia="zh-CN"/>
        </w:rPr>
        <w:t>备</w:t>
      </w:r>
      <w:r>
        <w:rPr>
          <w:rFonts w:hint="eastAsia"/>
        </w:rPr>
        <w:t>注：</w:t>
      </w:r>
      <w:r>
        <w:rPr>
          <w:rFonts w:hint="eastAsia" w:ascii="宋体" w:hAnsi="宋体" w:eastAsia="宋体" w:cs="宋体"/>
          <w:color w:val="auto"/>
          <w:kern w:val="0"/>
          <w:lang w:val="en-US" w:eastAsia="zh-CN"/>
        </w:rPr>
        <w:t>★条款为本次招标项目的实质性要求，不允许负偏离。以上技术条款需要逐条提供佐证材料，佐证材料为投标产品说明书或公开发行的彩页或技术白皮书或国家认可的第三方检测机构出具的检测报告，并加盖投标人公章</w:t>
      </w:r>
      <w:r>
        <w:rPr>
          <w:rFonts w:hint="eastAsia"/>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default"/>
          <w:lang w:val="en-US" w:eastAsia="zh-CN"/>
        </w:rPr>
        <w:t>1.★开展项目：仪器可检测项目必须包括但不限于如下项目：胰岛素样生长因子-1、胰岛素样生长因子结合蛋白-3、抗缪勒管激素、总I型胶原氨基端前肽、血清骨钙素、β-胶原降解产物、促肾上腺皮质激素</w:t>
      </w:r>
      <w:r>
        <w:rPr>
          <w:rFonts w:hint="eastAsia"/>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default"/>
          <w:lang w:val="en-US" w:eastAsia="zh-CN"/>
        </w:rPr>
        <w:t>2.项目扩展：原装配套试剂项目多，方便后期拓展其他项目（需提供试剂说明书、试剂医疗器械注册证、挂网及公示公布材料）已挂网的配套试剂每一个得0.05分，最高可得2分。</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default"/>
          <w:lang w:val="en-US" w:eastAsia="zh-CN"/>
        </w:rPr>
        <w:t>3.检测原理：全自动化学发光免疫分析法</w:t>
      </w:r>
      <w:r>
        <w:rPr>
          <w:rFonts w:hint="eastAsia"/>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default"/>
          <w:lang w:val="en-US" w:eastAsia="zh-CN"/>
        </w:rPr>
        <w:t>4.最快检测速度：≥120测试/小时</w:t>
      </w:r>
      <w:r>
        <w:rPr>
          <w:rFonts w:hint="eastAsia"/>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default"/>
          <w:lang w:val="en-US" w:eastAsia="zh-CN"/>
        </w:rPr>
        <w:t>5.试剂位：≥25个，支持在机冷藏、随存随取、支持扫码获取试剂信息</w:t>
      </w:r>
      <w:r>
        <w:rPr>
          <w:rFonts w:hint="eastAsia"/>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default"/>
          <w:lang w:val="en-US" w:eastAsia="zh-CN"/>
        </w:rPr>
        <w:t>6.试剂仓：具有冷藏功能，温控范围2-10℃</w:t>
      </w:r>
      <w:r>
        <w:rPr>
          <w:rFonts w:hint="eastAsia"/>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default"/>
          <w:lang w:val="en-US" w:eastAsia="zh-CN"/>
        </w:rPr>
        <w:t>7.试剂稳定性：在机稳定性≥ 28天</w:t>
      </w:r>
      <w:r>
        <w:rPr>
          <w:rFonts w:hint="eastAsia"/>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default"/>
          <w:lang w:val="en-US" w:eastAsia="zh-CN"/>
        </w:rPr>
        <w:t>8.▲试剂更换：支持不停机在线更换试剂，扫码自动识别试剂信息（至少包含批号、效期、项目）</w:t>
      </w:r>
      <w:r>
        <w:rPr>
          <w:rFonts w:hint="eastAsia"/>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default"/>
          <w:lang w:val="en-US" w:eastAsia="zh-CN"/>
        </w:rPr>
        <w:t>9.试剂针：至少具有液面探测，气泡检测，随量跟踪功能</w:t>
      </w:r>
      <w:r>
        <w:rPr>
          <w:rFonts w:hint="eastAsia"/>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default"/>
          <w:lang w:val="en-US" w:eastAsia="zh-CN"/>
        </w:rPr>
        <w:t>10.样本位：≥50个</w:t>
      </w:r>
      <w:r>
        <w:rPr>
          <w:rFonts w:hint="eastAsia"/>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default"/>
          <w:lang w:val="en-US" w:eastAsia="zh-CN"/>
        </w:rPr>
        <w:t>11.急诊功能：支持急诊样本实时插入检测，优先级别可设置，响应时间&lt;30秒，且不中断当前检测。</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default"/>
          <w:lang w:val="en-US" w:eastAsia="zh-CN"/>
        </w:rPr>
        <w:t>12.样本针：至少具有液面探测，气泡检测，凝块检测，随量跟踪，微量吸样功能，且上述每一项功能均需配备对应的报警功能。</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default"/>
          <w:lang w:val="en-US" w:eastAsia="zh-CN"/>
        </w:rPr>
        <w:t>13.反应杯和吸头：为一次性使用，且可随时添加</w:t>
      </w:r>
      <w:r>
        <w:rPr>
          <w:rFonts w:hint="eastAsia"/>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eastAsia"/>
          <w:lang w:val="en-US" w:eastAsia="zh-CN"/>
        </w:rPr>
        <w:t>14.</w:t>
      </w:r>
      <w:r>
        <w:rPr>
          <w:rFonts w:hint="default"/>
          <w:lang w:val="en-US" w:eastAsia="zh-CN"/>
        </w:rPr>
        <w:t>耗材备份：在机耗材一用一备，一个耗材使用完成后可自动切换到备用耗材</w:t>
      </w:r>
      <w:r>
        <w:rPr>
          <w:rFonts w:hint="eastAsia"/>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eastAsia"/>
          <w:lang w:val="en-US" w:eastAsia="zh-CN"/>
        </w:rPr>
      </w:pPr>
      <w:r>
        <w:rPr>
          <w:rFonts w:hint="eastAsia"/>
          <w:lang w:val="en-US" w:eastAsia="zh-CN"/>
        </w:rPr>
        <w:t>15.</w:t>
      </w:r>
      <w:r>
        <w:rPr>
          <w:rFonts w:hint="default"/>
          <w:lang w:val="en-US" w:eastAsia="zh-CN"/>
        </w:rPr>
        <w:t>定标：2点定标方式，单次定标试剂消耗不高于4人份</w:t>
      </w:r>
      <w:r>
        <w:rPr>
          <w:rFonts w:hint="eastAsia"/>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default"/>
          <w:lang w:val="en-US" w:eastAsia="zh-CN"/>
        </w:rPr>
        <w:t>1</w:t>
      </w:r>
      <w:r>
        <w:rPr>
          <w:rFonts w:hint="eastAsia"/>
          <w:lang w:val="en-US" w:eastAsia="zh-CN"/>
        </w:rPr>
        <w:t>6.</w:t>
      </w:r>
      <w:r>
        <w:rPr>
          <w:rFonts w:hint="default"/>
          <w:lang w:val="en-US" w:eastAsia="zh-CN"/>
        </w:rPr>
        <w:t>校准曲线：稳定期≥28天</w:t>
      </w:r>
      <w:r>
        <w:rPr>
          <w:rFonts w:hint="eastAsia"/>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default"/>
          <w:lang w:val="en-US" w:eastAsia="zh-CN"/>
        </w:rPr>
        <w:t>1</w:t>
      </w:r>
      <w:r>
        <w:rPr>
          <w:rFonts w:hint="eastAsia"/>
          <w:lang w:val="en-US" w:eastAsia="zh-CN"/>
        </w:rPr>
        <w:t>7</w:t>
      </w:r>
      <w:r>
        <w:rPr>
          <w:rFonts w:hint="default"/>
          <w:lang w:val="en-US" w:eastAsia="zh-CN"/>
        </w:rPr>
        <w:t>.▲质控：配套同品牌的多水平质控品，至少包括正常值和异常值。支持Westgard多规则自动判定，异常结果实时报警。</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default"/>
          <w:lang w:val="en-US" w:eastAsia="zh-CN"/>
        </w:rPr>
        <w:t>1</w:t>
      </w:r>
      <w:r>
        <w:rPr>
          <w:rFonts w:hint="eastAsia"/>
          <w:lang w:val="en-US" w:eastAsia="zh-CN"/>
        </w:rPr>
        <w:t>8</w:t>
      </w:r>
      <w:r>
        <w:rPr>
          <w:rFonts w:hint="default"/>
          <w:lang w:val="en-US" w:eastAsia="zh-CN"/>
        </w:rPr>
        <w:t xml:space="preserve">.自动稀释功能：具有在机稀释样本的功能，可自定义稀释倍数，对指定样本进行在机稀释后检测处理 </w:t>
      </w:r>
      <w:r>
        <w:rPr>
          <w:rFonts w:hint="eastAsia"/>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default"/>
          <w:lang w:val="en-US" w:eastAsia="zh-CN"/>
        </w:rPr>
        <w:t>1</w:t>
      </w:r>
      <w:r>
        <w:rPr>
          <w:rFonts w:hint="eastAsia"/>
          <w:lang w:val="en-US" w:eastAsia="zh-CN"/>
        </w:rPr>
        <w:t>9</w:t>
      </w:r>
      <w:r>
        <w:rPr>
          <w:rFonts w:hint="default"/>
          <w:lang w:val="en-US" w:eastAsia="zh-CN"/>
        </w:rPr>
        <w:t>.维护：支持一键维护，仪器自动进行保养维护</w:t>
      </w:r>
      <w:r>
        <w:rPr>
          <w:rFonts w:hint="eastAsia"/>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eastAsia"/>
          <w:lang w:val="en-US" w:eastAsia="zh-CN"/>
        </w:rPr>
        <w:t>20.</w:t>
      </w:r>
      <w:r>
        <w:rPr>
          <w:rFonts w:hint="default"/>
          <w:lang w:val="en-US" w:eastAsia="zh-CN"/>
        </w:rPr>
        <w:t>仪器扩展：可多模块组合（2-4台联机）</w:t>
      </w:r>
      <w:r>
        <w:rPr>
          <w:rFonts w:hint="eastAsia"/>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eastAsia"/>
          <w:lang w:val="en-US" w:eastAsia="zh-CN"/>
        </w:rPr>
        <w:t>21</w:t>
      </w:r>
      <w:r>
        <w:rPr>
          <w:rFonts w:hint="default"/>
          <w:lang w:val="en-US" w:eastAsia="zh-CN"/>
        </w:rPr>
        <w:t>.条码：仪器配置样品条码扫描装置和试剂条码扫描装置</w:t>
      </w:r>
      <w:r>
        <w:rPr>
          <w:rFonts w:hint="eastAsia"/>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eastAsia"/>
          <w:lang w:val="en-US" w:eastAsia="zh-CN"/>
        </w:rPr>
        <w:t>22</w:t>
      </w:r>
      <w:r>
        <w:rPr>
          <w:rFonts w:hint="default"/>
          <w:lang w:val="en-US" w:eastAsia="zh-CN"/>
        </w:rPr>
        <w:t>.数据对接功能：支持与医院LIS系统连接，实现双向数据传输.</w:t>
      </w:r>
      <w:r>
        <w:rPr>
          <w:rFonts w:hint="eastAsia"/>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default"/>
          <w:lang w:val="en-US" w:eastAsia="zh-CN"/>
        </w:rPr>
        <w:t>2</w:t>
      </w:r>
      <w:r>
        <w:rPr>
          <w:rFonts w:hint="eastAsia"/>
          <w:lang w:val="en-US" w:eastAsia="zh-CN"/>
        </w:rPr>
        <w:t>3</w:t>
      </w:r>
      <w:r>
        <w:rPr>
          <w:rFonts w:hint="default"/>
          <w:lang w:val="en-US" w:eastAsia="zh-CN"/>
        </w:rPr>
        <w:t>.报警：具有清洗液、试剂余量检测及报警提示功能，标本堵孔、废弃物满载检测及报警提示功能</w:t>
      </w:r>
      <w:r>
        <w:rPr>
          <w:rFonts w:hint="eastAsia"/>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default"/>
          <w:lang w:val="en-US" w:eastAsia="zh-CN"/>
        </w:rPr>
        <w:t>2</w:t>
      </w:r>
      <w:r>
        <w:rPr>
          <w:rFonts w:hint="eastAsia"/>
          <w:lang w:val="en-US" w:eastAsia="zh-CN"/>
        </w:rPr>
        <w:t>4</w:t>
      </w:r>
      <w:r>
        <w:rPr>
          <w:rFonts w:hint="default"/>
          <w:lang w:val="en-US" w:eastAsia="zh-CN"/>
        </w:rPr>
        <w:t>.数据存储：&gt;100万条检测检测记录，支持历史数据追溯，Excel/PDF格式导出。</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jc w:val="both"/>
        <w:textAlignment w:val="auto"/>
        <w:rPr>
          <w:rFonts w:hint="default"/>
          <w:lang w:val="en-US" w:eastAsia="zh-CN"/>
        </w:rPr>
      </w:pPr>
      <w:r>
        <w:rPr>
          <w:rFonts w:hint="default"/>
          <w:lang w:val="en-US" w:eastAsia="zh-CN"/>
        </w:rPr>
        <w:t>2</w:t>
      </w:r>
      <w:r>
        <w:rPr>
          <w:rFonts w:hint="eastAsia"/>
          <w:lang w:val="en-US" w:eastAsia="zh-CN"/>
        </w:rPr>
        <w:t>5</w:t>
      </w:r>
      <w:r>
        <w:rPr>
          <w:rFonts w:hint="default"/>
          <w:lang w:val="en-US" w:eastAsia="zh-CN"/>
        </w:rPr>
        <w:t>.项目要求：AMH项目在2024年国家卫健委临检中心室间质评实验数量排名前三。</w:t>
      </w:r>
    </w:p>
    <w:p>
      <w:pPr>
        <w:numPr>
          <w:ilvl w:val="0"/>
          <w:numId w:val="0"/>
        </w:numPr>
        <w:spacing w:line="360" w:lineRule="exact"/>
        <w:ind w:leftChars="0"/>
        <w:jc w:val="left"/>
        <w:rPr>
          <w:rFonts w:hint="default"/>
          <w:lang w:val="en-US" w:eastAsia="zh-CN"/>
        </w:rPr>
      </w:pPr>
      <w:r>
        <w:rPr>
          <w:rFonts w:hint="default"/>
          <w:lang w:val="en-US" w:eastAsia="zh-CN"/>
        </w:rPr>
        <w:t>2</w:t>
      </w:r>
      <w:r>
        <w:rPr>
          <w:rFonts w:hint="eastAsia"/>
          <w:lang w:val="en-US" w:eastAsia="zh-CN"/>
        </w:rPr>
        <w:t>6</w:t>
      </w:r>
      <w:r>
        <w:rPr>
          <w:rFonts w:hint="default"/>
          <w:lang w:val="en-US" w:eastAsia="zh-CN"/>
        </w:rPr>
        <w:t>.试剂参数要求：胰岛素生长因子-1及胰岛素样生长因子结合蛋白-3提供未成年人（&lt;18岁）每一年龄的参考区间（提供说明书佐证）。</w:t>
      </w:r>
    </w:p>
    <w:p>
      <w:pPr>
        <w:numPr>
          <w:ilvl w:val="0"/>
          <w:numId w:val="0"/>
        </w:numPr>
        <w:spacing w:line="360" w:lineRule="exact"/>
        <w:ind w:leftChars="0"/>
        <w:jc w:val="left"/>
        <w:rPr>
          <w:b/>
          <w:bCs/>
          <w:color w:val="auto"/>
        </w:rPr>
      </w:pPr>
      <w:r>
        <w:rPr>
          <w:rFonts w:hint="eastAsia"/>
          <w:b/>
          <w:bCs/>
          <w:color w:val="auto"/>
        </w:rPr>
        <w:t>三、商务要求：</w:t>
      </w:r>
    </w:p>
    <w:p>
      <w:pPr>
        <w:spacing w:line="360" w:lineRule="exact"/>
        <w:rPr>
          <w:rFonts w:hint="eastAsia"/>
        </w:rPr>
      </w:pPr>
      <w:r>
        <w:rPr>
          <w:rFonts w:hint="eastAsia"/>
        </w:rPr>
        <w:t>1.合同履行期限及地点</w:t>
      </w:r>
    </w:p>
    <w:p>
      <w:pPr>
        <w:numPr>
          <w:ilvl w:val="0"/>
          <w:numId w:val="0"/>
        </w:numPr>
        <w:spacing w:line="360" w:lineRule="exact"/>
        <w:rPr>
          <w:rFonts w:hint="default"/>
          <w:lang w:val="en-US" w:eastAsia="zh-CN"/>
        </w:rPr>
      </w:pPr>
      <w:r>
        <w:rPr>
          <w:rFonts w:hint="eastAsia"/>
          <w:lang w:eastAsia="zh-CN"/>
        </w:rPr>
        <w:t xml:space="preserve">1.1 </w:t>
      </w:r>
      <w:r>
        <w:rPr>
          <w:rFonts w:hint="eastAsia"/>
          <w:lang w:val="en-US" w:eastAsia="zh-CN"/>
        </w:rPr>
        <w:t>合同履行期限</w:t>
      </w:r>
      <w:r>
        <w:rPr>
          <w:rFonts w:hint="eastAsia"/>
          <w:lang w:eastAsia="zh-CN"/>
        </w:rPr>
        <w:t>：</w:t>
      </w:r>
      <w:r>
        <w:rPr>
          <w:rFonts w:hint="eastAsia"/>
          <w:lang w:val="en-US" w:eastAsia="zh-CN"/>
        </w:rPr>
        <w:t>经甲乙双方法定代表人（或授权代表）签字并加盖公章（或合同专用章）之日起生效</w:t>
      </w:r>
      <w:r>
        <w:rPr>
          <w:rFonts w:hint="eastAsia"/>
          <w:lang w:eastAsia="zh-CN"/>
        </w:rPr>
        <w:t>，完成日期：</w:t>
      </w:r>
      <w:r>
        <w:rPr>
          <w:rFonts w:hint="eastAsia"/>
          <w:lang w:val="en-US" w:eastAsia="zh-CN"/>
        </w:rPr>
        <w:t>质保期结束之日</w:t>
      </w:r>
      <w:r>
        <w:rPr>
          <w:rFonts w:hint="eastAsia"/>
          <w:lang w:eastAsia="zh-CN"/>
        </w:rPr>
        <w:t>。</w:t>
      </w:r>
    </w:p>
    <w:p>
      <w:pPr>
        <w:numPr>
          <w:ilvl w:val="0"/>
          <w:numId w:val="0"/>
        </w:numPr>
        <w:spacing w:line="360" w:lineRule="exact"/>
        <w:rPr>
          <w:rFonts w:hint="eastAsia"/>
          <w:lang w:eastAsia="zh-CN"/>
        </w:rPr>
      </w:pPr>
      <w:r>
        <w:rPr>
          <w:rFonts w:hint="eastAsia"/>
          <w:lang w:eastAsia="zh-CN"/>
        </w:rPr>
        <w:t xml:space="preserve">1.2 </w:t>
      </w:r>
      <w:r>
        <w:rPr>
          <w:rFonts w:hint="eastAsia"/>
          <w:lang w:val="en-US" w:eastAsia="zh-CN"/>
        </w:rPr>
        <w:t>合同履行</w:t>
      </w:r>
      <w:r>
        <w:rPr>
          <w:rFonts w:hint="eastAsia"/>
          <w:lang w:eastAsia="zh-CN"/>
        </w:rPr>
        <w:t>地点：四川省妇幼保健院。</w:t>
      </w:r>
    </w:p>
    <w:p>
      <w:pPr>
        <w:numPr>
          <w:ilvl w:val="0"/>
          <w:numId w:val="0"/>
        </w:numPr>
        <w:spacing w:line="360" w:lineRule="exact"/>
        <w:rPr>
          <w:rFonts w:hint="default"/>
          <w:lang w:val="en-US" w:eastAsia="zh-CN"/>
        </w:rPr>
      </w:pPr>
      <w:r>
        <w:rPr>
          <w:rFonts w:hint="eastAsia"/>
          <w:lang w:val="en-US" w:eastAsia="zh-CN"/>
        </w:rPr>
        <w:t>1.3交货期限：</w:t>
      </w:r>
      <w:r>
        <w:rPr>
          <w:rFonts w:hint="eastAsia"/>
          <w:lang w:eastAsia="zh-CN"/>
        </w:rPr>
        <w:t>合同签订生效后，收到采购人通知后30日内完成安装调试并交付采购人验收。</w:t>
      </w:r>
    </w:p>
    <w:p>
      <w:pPr>
        <w:numPr>
          <w:ilvl w:val="0"/>
          <w:numId w:val="1"/>
        </w:numPr>
        <w:spacing w:line="360" w:lineRule="exact"/>
        <w:rPr>
          <w:rFonts w:hint="eastAsia"/>
        </w:rPr>
      </w:pPr>
      <w:r>
        <w:rPr>
          <w:rFonts w:hint="eastAsia"/>
        </w:rPr>
        <w:t>付款方法和条件：采购人验收合格后5日内，供应商须向采购人出具合法有效完整的完税发票及凭证资料，采购人自收到上述发票及凭证资料后60 日内支付合同总价 100%的货款给供应商。</w:t>
      </w:r>
    </w:p>
    <w:p>
      <w:pPr>
        <w:numPr>
          <w:ilvl w:val="0"/>
          <w:numId w:val="0"/>
        </w:numPr>
        <w:spacing w:line="360" w:lineRule="exact"/>
        <w:rPr>
          <w:rFonts w:hint="eastAsia"/>
        </w:rPr>
      </w:pPr>
      <w:r>
        <w:rPr>
          <w:rFonts w:hint="eastAsia"/>
        </w:rPr>
        <w:t>3.安装调试及验收：</w:t>
      </w:r>
    </w:p>
    <w:p>
      <w:pPr>
        <w:spacing w:line="360" w:lineRule="exact"/>
        <w:rPr>
          <w:rFonts w:hint="eastAsia"/>
        </w:rPr>
      </w:pPr>
      <w:r>
        <w:rPr>
          <w:rFonts w:hint="eastAsia"/>
        </w:rPr>
        <w:t>3.1中标人负责货物安装、调试。</w:t>
      </w:r>
    </w:p>
    <w:p>
      <w:pPr>
        <w:spacing w:line="360" w:lineRule="exact"/>
        <w:rPr>
          <w:rFonts w:hint="eastAsia"/>
        </w:rPr>
      </w:pPr>
      <w:r>
        <w:rPr>
          <w:rFonts w:hint="eastAsia"/>
        </w:rPr>
        <w:t>3.2货物安装调试完毕后，中标人应对采购人操作人员进行现场培训，直至采购人的技术人员能独立操作，同时能完成一般常见故障的维修工作。</w:t>
      </w:r>
    </w:p>
    <w:p>
      <w:pPr>
        <w:spacing w:line="360" w:lineRule="exact"/>
        <w:rPr>
          <w:rFonts w:hint="eastAsia"/>
        </w:rPr>
      </w:pPr>
      <w:r>
        <w:rPr>
          <w:rFonts w:hint="eastAsia"/>
        </w:rPr>
        <w:t>3.3完成中标产品所有安装、调试、培训后，采购人组织项目验收，验收标准按照《财政部关于进一步加强政府采购需求和履约验收管理的指导意见》（财库〔2016〕205号）、招标文件、中标人投标文件为准。</w:t>
      </w:r>
    </w:p>
    <w:p>
      <w:pPr>
        <w:spacing w:line="360" w:lineRule="exact"/>
        <w:rPr>
          <w:rFonts w:hint="eastAsia"/>
        </w:rPr>
      </w:pPr>
      <w:r>
        <w:rPr>
          <w:rFonts w:hint="eastAsia"/>
        </w:rPr>
        <w:t>4.售后服务：</w:t>
      </w:r>
    </w:p>
    <w:p>
      <w:pPr>
        <w:spacing w:line="360" w:lineRule="exact"/>
        <w:rPr>
          <w:rFonts w:hint="eastAsia"/>
        </w:rPr>
      </w:pPr>
      <w:r>
        <w:rPr>
          <w:rFonts w:hint="eastAsia"/>
        </w:rPr>
        <w:t>4.1质保期：最终验收合格后提供至少5年原厂质保</w:t>
      </w:r>
      <w:r>
        <w:rPr>
          <w:rFonts w:hint="eastAsia"/>
          <w:lang w:eastAsia="zh-CN"/>
        </w:rPr>
        <w:t>，</w:t>
      </w:r>
      <w:r>
        <w:rPr>
          <w:rFonts w:hint="eastAsia"/>
        </w:rPr>
        <w:t>含整机所有部件；如质保期内部件损坏，中标人免费更换全新原厂配件，并对更换部件延长一年质保。</w:t>
      </w:r>
    </w:p>
    <w:p>
      <w:pPr>
        <w:spacing w:line="360" w:lineRule="exact"/>
        <w:rPr>
          <w:rFonts w:hint="eastAsia"/>
        </w:rPr>
      </w:pPr>
      <w:r>
        <w:rPr>
          <w:rFonts w:hint="eastAsia"/>
        </w:rPr>
        <w:t>4.2中标人接到采购人故障通知后</w:t>
      </w:r>
      <w:r>
        <w:rPr>
          <w:rFonts w:hint="eastAsia"/>
          <w:lang w:val="en-US" w:eastAsia="zh-CN"/>
        </w:rPr>
        <w:t>2</w:t>
      </w:r>
      <w:r>
        <w:rPr>
          <w:rFonts w:hint="eastAsia"/>
        </w:rPr>
        <w:t>小时内响应，</w:t>
      </w:r>
      <w:r>
        <w:rPr>
          <w:rFonts w:hint="eastAsia"/>
          <w:lang w:val="en-US" w:eastAsia="zh-CN"/>
        </w:rPr>
        <w:t>24</w:t>
      </w:r>
      <w:r>
        <w:rPr>
          <w:rFonts w:hint="eastAsia"/>
        </w:rPr>
        <w:t>小时内到达现场维修，如维修不涉及零配件更换，应在</w:t>
      </w:r>
      <w:r>
        <w:rPr>
          <w:rFonts w:hint="eastAsia"/>
          <w:lang w:val="en-US" w:eastAsia="zh-CN"/>
        </w:rPr>
        <w:t>48</w:t>
      </w:r>
      <w:r>
        <w:rPr>
          <w:rFonts w:hint="eastAsia"/>
        </w:rPr>
        <w:t>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rPr>
          <w:rFonts w:hint="eastAsia"/>
        </w:rPr>
      </w:pPr>
      <w:r>
        <w:rPr>
          <w:rFonts w:hint="eastAsia"/>
        </w:rPr>
        <w:t>4.3如质保期内货物经中标人两次维修仍不能达到国家相关质量标准，采购人有权要求中标人无条件更换全新货物或退货，并追究中标人违约责任。</w:t>
      </w:r>
    </w:p>
    <w:p>
      <w:pPr>
        <w:spacing w:line="360" w:lineRule="exact"/>
        <w:rPr>
          <w:rFonts w:hint="eastAsia"/>
        </w:rPr>
      </w:pPr>
      <w:r>
        <w:rPr>
          <w:rFonts w:hint="eastAsia"/>
        </w:rPr>
        <w:t>4.4如货物涉及软件升级，中标人承诺为采购人提供软件升级服务，费用包含在投标总价内，采购人不再另行支付费用。</w:t>
      </w:r>
    </w:p>
    <w:p>
      <w:pPr>
        <w:spacing w:line="360" w:lineRule="exact"/>
        <w:rPr>
          <w:rFonts w:hint="eastAsia"/>
        </w:rPr>
      </w:pPr>
      <w:r>
        <w:rPr>
          <w:rFonts w:hint="eastAsia"/>
        </w:rPr>
        <w:t>4.5中标人应承诺保证设备停产后至少5年的零配件供应。每</w:t>
      </w:r>
      <w:r>
        <w:rPr>
          <w:rFonts w:hint="eastAsia"/>
          <w:lang w:val="en-US" w:eastAsia="zh-CN"/>
        </w:rPr>
        <w:t>半</w:t>
      </w:r>
      <w:r>
        <w:rPr>
          <w:rFonts w:hint="eastAsia"/>
        </w:rPr>
        <w:t>年</w:t>
      </w:r>
      <w:r>
        <w:rPr>
          <w:rFonts w:hint="eastAsia"/>
          <w:lang w:val="en-US" w:eastAsia="zh-CN"/>
        </w:rPr>
        <w:t>提供</w:t>
      </w:r>
      <w:r>
        <w:rPr>
          <w:rFonts w:hint="eastAsia"/>
        </w:rPr>
        <w:t>巡检</w:t>
      </w:r>
      <w:r>
        <w:rPr>
          <w:rFonts w:hint="eastAsia"/>
          <w:lang w:val="en-US" w:eastAsia="zh-CN"/>
        </w:rPr>
        <w:t>及保养</w:t>
      </w:r>
      <w:r>
        <w:rPr>
          <w:rFonts w:hint="eastAsia"/>
        </w:rPr>
        <w:t>≥</w:t>
      </w:r>
      <w:r>
        <w:rPr>
          <w:rFonts w:hint="eastAsia"/>
          <w:lang w:val="en-US" w:eastAsia="zh-CN"/>
        </w:rPr>
        <w:t>1</w:t>
      </w:r>
      <w:r>
        <w:rPr>
          <w:rFonts w:hint="eastAsia"/>
        </w:rPr>
        <w:t>次，并提供巡检</w:t>
      </w:r>
      <w:r>
        <w:rPr>
          <w:rFonts w:hint="eastAsia"/>
          <w:lang w:val="en-US" w:eastAsia="zh-CN"/>
        </w:rPr>
        <w:t>及保养</w:t>
      </w:r>
      <w:r>
        <w:rPr>
          <w:rFonts w:hint="eastAsia"/>
        </w:rPr>
        <w:t>记录。</w:t>
      </w:r>
    </w:p>
    <w:p>
      <w:pPr>
        <w:numPr>
          <w:ilvl w:val="0"/>
          <w:numId w:val="2"/>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设备配套试剂报价说明：</w:t>
      </w:r>
    </w:p>
    <w:p>
      <w:pPr>
        <w:spacing w:line="360" w:lineRule="exact"/>
        <w:rPr>
          <w:rFonts w:hint="eastAsia" w:ascii="Times New Roman" w:hAnsi="Times New Roman" w:eastAsia="宋体" w:cs="Times New Roman"/>
          <w:b/>
          <w:bCs/>
          <w:lang w:val="en-US" w:eastAsia="zh-CN"/>
        </w:rPr>
      </w:pPr>
      <w:r>
        <w:rPr>
          <w:rFonts w:hint="eastAsia" w:ascii="Times New Roman" w:hAnsi="Times New Roman" w:eastAsia="宋体" w:cs="Times New Roman"/>
          <w:lang w:val="en-US" w:eastAsia="zh-CN"/>
        </w:rPr>
        <w:t>5.1在保障设备正常运行的基础上，投标人按照以下检测项目及预估测试数进行报价，报价需包含检测项目涉及的所有配套试剂/耗材清单及价格。配套试剂请按人份单价进行报价，既单人单次进行某项目检测时，所需配套试剂的价格。</w:t>
      </w:r>
      <w:r>
        <w:rPr>
          <w:rFonts w:hint="eastAsia" w:ascii="Times New Roman" w:hAnsi="Times New Roman" w:eastAsia="宋体" w:cs="Times New Roman"/>
          <w:b/>
          <w:bCs/>
          <w:lang w:val="en-US" w:eastAsia="zh-CN"/>
        </w:rPr>
        <w:t>测试总价=（每测试人份单价</w:t>
      </w:r>
      <w:r>
        <w:rPr>
          <w:rFonts w:hint="default" w:ascii="Arial" w:hAnsi="Arial" w:eastAsia="宋体" w:cs="Arial"/>
          <w:b/>
          <w:bCs/>
          <w:lang w:val="en-US" w:eastAsia="zh-CN"/>
        </w:rPr>
        <w:t>×</w:t>
      </w:r>
      <w:r>
        <w:rPr>
          <w:rFonts w:hint="eastAsia" w:ascii="Arial" w:hAnsi="Arial" w:eastAsia="宋体" w:cs="Arial"/>
          <w:b/>
          <w:bCs/>
          <w:lang w:val="en-US" w:eastAsia="zh-CN"/>
        </w:rPr>
        <w:t>预估测试数</w:t>
      </w:r>
      <w:r>
        <w:rPr>
          <w:rFonts w:hint="eastAsia" w:ascii="Times New Roman" w:hAnsi="Times New Roman" w:eastAsia="宋体" w:cs="Times New Roman"/>
          <w:b/>
          <w:bCs/>
          <w:lang w:val="en-US" w:eastAsia="zh-CN"/>
        </w:rPr>
        <w:t>）+非每次使用总价，格式参考表1。</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5.2需提供配套检验项目中的试剂/耗材的产品信息，</w:t>
      </w:r>
      <w:r>
        <w:rPr>
          <w:rFonts w:hint="eastAsia" w:ascii="Times New Roman" w:hAnsi="Times New Roman" w:eastAsia="宋体" w:cs="Times New Roman"/>
          <w:color w:val="auto"/>
          <w:lang w:val="en-US" w:eastAsia="zh-CN"/>
        </w:rPr>
        <w:t>内容至少包含试剂/耗材名称、生产厂家、规格、单价、每测试用量、四川医保公共服务平台</w:t>
      </w:r>
      <w:r>
        <w:rPr>
          <w:rFonts w:hint="eastAsia" w:ascii="宋体" w:hAnsi="宋体" w:eastAsia="宋体" w:cs="宋体"/>
          <w:color w:val="auto"/>
          <w:sz w:val="21"/>
          <w:szCs w:val="21"/>
          <w:highlight w:val="none"/>
          <w:lang w:val="en-US" w:eastAsia="zh-CN"/>
        </w:rPr>
        <w:t>商品代码/产品</w:t>
      </w:r>
      <w:r>
        <w:rPr>
          <w:rFonts w:hint="eastAsia" w:ascii="Times New Roman" w:hAnsi="Times New Roman" w:eastAsia="宋体" w:cs="Times New Roman"/>
          <w:color w:val="auto"/>
          <w:lang w:val="en-US" w:eastAsia="zh-CN"/>
        </w:rPr>
        <w:t>流水号(如有)等，格式自拟。</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5.3若未提供配套试剂/耗材清单或清单中价格为0元，视为配套试剂/耗材无收费，不再参与评审因素中“后期保障”评审，且采购人不再另行支付费用。</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5.4投标人需提供配套检验项目报价承诺函，承诺后期该设备配套试剂耗材投标报价不高于本次测算价格，否则按无效投标处理。</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5.5《设备配套检验项目报价单》中的报价仅做为后期保障评审依据。</w:t>
      </w:r>
    </w:p>
    <w:p>
      <w:pPr>
        <w:pStyle w:val="2"/>
        <w:jc w:val="center"/>
        <w:rPr>
          <w:rFonts w:hint="eastAsia"/>
          <w:lang w:val="en-US" w:eastAsia="zh-CN"/>
        </w:rPr>
      </w:pPr>
      <w:r>
        <w:rPr>
          <w:rFonts w:hint="eastAsia" w:ascii="Times New Roman" w:hAnsi="Times New Roman" w:eastAsia="宋体" w:cs="Times New Roman"/>
          <w:lang w:val="en-US" w:eastAsia="zh-CN"/>
        </w:rPr>
        <w:t>表1 设备配套检验项目报价单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681"/>
        <w:gridCol w:w="829"/>
        <w:gridCol w:w="872"/>
        <w:gridCol w:w="1082"/>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6" w:type="dxa"/>
            <w:noWrap w:val="0"/>
            <w:vAlign w:val="center"/>
          </w:tcPr>
          <w:p>
            <w:pPr>
              <w:spacing w:line="360" w:lineRule="exact"/>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21"/>
                <w:szCs w:val="21"/>
                <w:lang w:val="en-US" w:eastAsia="zh-CN"/>
              </w:rPr>
              <w:t>设备配套检验项目报价单</w:t>
            </w:r>
            <w:r>
              <w:rPr>
                <w:rFonts w:hint="eastAsia" w:ascii="宋体" w:hAnsi="宋体" w:eastAsia="宋体" w:cs="宋体"/>
                <w:b/>
                <w:bCs/>
                <w:sz w:val="18"/>
                <w:szCs w:val="18"/>
                <w:vertAlign w:val="baseline"/>
                <w:lang w:val="en-US" w:eastAsia="zh-CN"/>
              </w:rPr>
              <w:t>序号</w:t>
            </w:r>
          </w:p>
        </w:tc>
        <w:tc>
          <w:tcPr>
            <w:tcW w:w="1681" w:type="dxa"/>
            <w:noWrap w:val="0"/>
            <w:vAlign w:val="center"/>
          </w:tcPr>
          <w:p>
            <w:pPr>
              <w:spacing w:line="360" w:lineRule="exact"/>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配套试剂名称</w:t>
            </w:r>
          </w:p>
        </w:tc>
        <w:tc>
          <w:tcPr>
            <w:tcW w:w="829" w:type="dxa"/>
            <w:noWrap w:val="0"/>
            <w:vAlign w:val="center"/>
          </w:tcPr>
          <w:p>
            <w:pPr>
              <w:spacing w:line="360" w:lineRule="exact"/>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耗材种类</w:t>
            </w:r>
          </w:p>
        </w:tc>
        <w:tc>
          <w:tcPr>
            <w:tcW w:w="872" w:type="dxa"/>
            <w:noWrap w:val="0"/>
            <w:vAlign w:val="center"/>
          </w:tcPr>
          <w:p>
            <w:pPr>
              <w:spacing w:line="360" w:lineRule="exact"/>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人份单价</w:t>
            </w:r>
          </w:p>
        </w:tc>
        <w:tc>
          <w:tcPr>
            <w:tcW w:w="1082" w:type="dxa"/>
            <w:noWrap w:val="0"/>
            <w:vAlign w:val="center"/>
          </w:tcPr>
          <w:p>
            <w:pPr>
              <w:spacing w:line="360" w:lineRule="exact"/>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年度预估</w:t>
            </w:r>
          </w:p>
          <w:p>
            <w:pPr>
              <w:spacing w:line="360" w:lineRule="exact"/>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测试数</w:t>
            </w:r>
          </w:p>
        </w:tc>
        <w:tc>
          <w:tcPr>
            <w:tcW w:w="2362" w:type="dxa"/>
            <w:noWrap w:val="0"/>
            <w:vAlign w:val="center"/>
          </w:tcPr>
          <w:p>
            <w:pPr>
              <w:spacing w:line="360" w:lineRule="exact"/>
              <w:jc w:val="center"/>
              <w:rPr>
                <w:rFonts w:hint="default"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6" w:type="dxa"/>
            <w:vMerge w:val="restart"/>
            <w:noWrap w:val="0"/>
            <w:vAlign w:val="center"/>
          </w:tcPr>
          <w:p>
            <w:pPr>
              <w:spacing w:line="240" w:lineRule="auto"/>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1</w:t>
            </w:r>
          </w:p>
        </w:tc>
        <w:tc>
          <w:tcPr>
            <w:tcW w:w="1681" w:type="dxa"/>
            <w:vMerge w:val="restart"/>
            <w:noWrap w:val="0"/>
            <w:vAlign w:val="center"/>
          </w:tcPr>
          <w:p>
            <w:pPr>
              <w:spacing w:line="240" w:lineRule="auto"/>
              <w:jc w:val="center"/>
              <w:rPr>
                <w:rFonts w:hint="eastAsia" w:ascii="宋体" w:hAnsi="宋体" w:eastAsia="宋体" w:cs="宋体"/>
                <w:sz w:val="18"/>
                <w:szCs w:val="18"/>
                <w:highlight w:val="none"/>
                <w:vertAlign w:val="baseline"/>
                <w:lang w:val="en-US" w:eastAsia="zh-CN"/>
              </w:rPr>
            </w:pPr>
            <w:r>
              <w:rPr>
                <w:rFonts w:hint="eastAsia"/>
                <w:sz w:val="18"/>
                <w:szCs w:val="18"/>
              </w:rPr>
              <w:t>胰岛素样生长因子-1</w:t>
            </w:r>
          </w:p>
        </w:tc>
        <w:tc>
          <w:tcPr>
            <w:tcW w:w="829" w:type="dxa"/>
            <w:noWrap w:val="0"/>
            <w:vAlign w:val="center"/>
          </w:tcPr>
          <w:p>
            <w:pPr>
              <w:spacing w:line="240" w:lineRule="auto"/>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每次使用</w:t>
            </w:r>
          </w:p>
        </w:tc>
        <w:tc>
          <w:tcPr>
            <w:tcW w:w="872" w:type="dxa"/>
            <w:noWrap w:val="0"/>
            <w:vAlign w:val="center"/>
          </w:tcPr>
          <w:p>
            <w:pPr>
              <w:spacing w:line="240" w:lineRule="auto"/>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***元/测试</w:t>
            </w:r>
          </w:p>
        </w:tc>
        <w:tc>
          <w:tcPr>
            <w:tcW w:w="1082" w:type="dxa"/>
            <w:vMerge w:val="restart"/>
            <w:noWrap w:val="0"/>
            <w:vAlign w:val="center"/>
          </w:tcPr>
          <w:p>
            <w:pPr>
              <w:spacing w:line="240" w:lineRule="auto"/>
              <w:jc w:val="center"/>
              <w:rPr>
                <w:rFonts w:hint="eastAsia" w:ascii="宋体" w:hAnsi="宋体" w:eastAsia="宋体" w:cs="宋体"/>
                <w:kern w:val="2"/>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6500</w:t>
            </w:r>
          </w:p>
        </w:tc>
        <w:tc>
          <w:tcPr>
            <w:tcW w:w="2362" w:type="dxa"/>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6"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1681"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829" w:type="dxa"/>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非每次使用</w:t>
            </w:r>
          </w:p>
        </w:tc>
        <w:tc>
          <w:tcPr>
            <w:tcW w:w="872" w:type="dxa"/>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c>
          <w:tcPr>
            <w:tcW w:w="1082" w:type="dxa"/>
            <w:vMerge w:val="continue"/>
            <w:noWrap w:val="0"/>
            <w:vAlign w:val="center"/>
          </w:tcPr>
          <w:p>
            <w:pPr>
              <w:spacing w:line="240" w:lineRule="auto"/>
              <w:jc w:val="center"/>
              <w:rPr>
                <w:rFonts w:hint="default" w:ascii="宋体" w:hAnsi="宋体" w:eastAsia="宋体" w:cs="宋体"/>
                <w:sz w:val="18"/>
                <w:szCs w:val="18"/>
                <w:vertAlign w:val="baseline"/>
                <w:lang w:val="en-US" w:eastAsia="zh-CN"/>
              </w:rPr>
            </w:pPr>
          </w:p>
        </w:tc>
        <w:tc>
          <w:tcPr>
            <w:tcW w:w="2362" w:type="dxa"/>
            <w:noWrap w:val="0"/>
            <w:vAlign w:val="center"/>
          </w:tcPr>
          <w:p>
            <w:pPr>
              <w:spacing w:line="240" w:lineRule="auto"/>
              <w:jc w:val="center"/>
              <w:rPr>
                <w:rFonts w:hint="default"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6" w:type="dxa"/>
            <w:vMerge w:val="restart"/>
            <w:noWrap w:val="0"/>
            <w:vAlign w:val="center"/>
          </w:tcPr>
          <w:p>
            <w:pPr>
              <w:spacing w:line="240" w:lineRule="auto"/>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2</w:t>
            </w:r>
          </w:p>
        </w:tc>
        <w:tc>
          <w:tcPr>
            <w:tcW w:w="1681" w:type="dxa"/>
            <w:vMerge w:val="restart"/>
            <w:noWrap w:val="0"/>
            <w:vAlign w:val="center"/>
          </w:tcPr>
          <w:p>
            <w:pPr>
              <w:spacing w:line="240" w:lineRule="auto"/>
              <w:jc w:val="center"/>
              <w:rPr>
                <w:rFonts w:hint="eastAsia" w:ascii="宋体" w:hAnsi="宋体" w:eastAsia="宋体" w:cs="宋体"/>
                <w:sz w:val="18"/>
                <w:szCs w:val="18"/>
                <w:highlight w:val="none"/>
                <w:vertAlign w:val="baseline"/>
                <w:lang w:val="en-US" w:eastAsia="zh-CN"/>
              </w:rPr>
            </w:pPr>
            <w:r>
              <w:rPr>
                <w:rFonts w:hint="eastAsia"/>
                <w:sz w:val="18"/>
                <w:szCs w:val="18"/>
              </w:rPr>
              <w:t>胰岛素样生长因子结合蛋白-3</w:t>
            </w:r>
          </w:p>
        </w:tc>
        <w:tc>
          <w:tcPr>
            <w:tcW w:w="829" w:type="dxa"/>
            <w:noWrap w:val="0"/>
            <w:vAlign w:val="center"/>
          </w:tcPr>
          <w:p>
            <w:pPr>
              <w:spacing w:line="240" w:lineRule="auto"/>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每次使用</w:t>
            </w:r>
          </w:p>
        </w:tc>
        <w:tc>
          <w:tcPr>
            <w:tcW w:w="872" w:type="dxa"/>
            <w:noWrap w:val="0"/>
            <w:vAlign w:val="center"/>
          </w:tcPr>
          <w:p>
            <w:pPr>
              <w:spacing w:line="240" w:lineRule="auto"/>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***元/测试</w:t>
            </w:r>
          </w:p>
        </w:tc>
        <w:tc>
          <w:tcPr>
            <w:tcW w:w="1082" w:type="dxa"/>
            <w:vMerge w:val="restart"/>
            <w:noWrap w:val="0"/>
            <w:vAlign w:val="center"/>
          </w:tcPr>
          <w:p>
            <w:pPr>
              <w:spacing w:line="240" w:lineRule="auto"/>
              <w:jc w:val="center"/>
              <w:rPr>
                <w:rFonts w:hint="eastAsia" w:ascii="宋体" w:hAnsi="宋体" w:eastAsia="宋体" w:cs="宋体"/>
                <w:kern w:val="2"/>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6500</w:t>
            </w:r>
          </w:p>
        </w:tc>
        <w:tc>
          <w:tcPr>
            <w:tcW w:w="2362" w:type="dxa"/>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6"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1681"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829" w:type="dxa"/>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非每次使用</w:t>
            </w:r>
          </w:p>
        </w:tc>
        <w:tc>
          <w:tcPr>
            <w:tcW w:w="872" w:type="dxa"/>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c>
          <w:tcPr>
            <w:tcW w:w="1082"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2362" w:type="dxa"/>
            <w:noWrap w:val="0"/>
            <w:vAlign w:val="center"/>
          </w:tcPr>
          <w:p>
            <w:pPr>
              <w:spacing w:line="240" w:lineRule="auto"/>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6" w:type="dxa"/>
            <w:vMerge w:val="restart"/>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1681" w:type="dxa"/>
            <w:vMerge w:val="restart"/>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sz w:val="18"/>
                <w:szCs w:val="18"/>
              </w:rPr>
              <w:t>抗缪勒管激素</w:t>
            </w:r>
          </w:p>
        </w:tc>
        <w:tc>
          <w:tcPr>
            <w:tcW w:w="829" w:type="dxa"/>
            <w:noWrap w:val="0"/>
            <w:vAlign w:val="center"/>
          </w:tcPr>
          <w:p>
            <w:pPr>
              <w:spacing w:line="240" w:lineRule="auto"/>
              <w:jc w:val="center"/>
              <w:rPr>
                <w:rFonts w:hint="eastAsia" w:ascii="宋体" w:hAnsi="宋体" w:eastAsia="宋体" w:cs="宋体"/>
                <w:kern w:val="2"/>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每次使用</w:t>
            </w:r>
          </w:p>
        </w:tc>
        <w:tc>
          <w:tcPr>
            <w:tcW w:w="872" w:type="dxa"/>
            <w:noWrap w:val="0"/>
            <w:vAlign w:val="center"/>
          </w:tcPr>
          <w:p>
            <w:pPr>
              <w:spacing w:line="240" w:lineRule="auto"/>
              <w:jc w:val="center"/>
              <w:rPr>
                <w:rFonts w:hint="eastAsia" w:ascii="宋体" w:hAnsi="宋体" w:eastAsia="宋体" w:cs="宋体"/>
                <w:kern w:val="2"/>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***元/测试</w:t>
            </w:r>
          </w:p>
        </w:tc>
        <w:tc>
          <w:tcPr>
            <w:tcW w:w="1082" w:type="dxa"/>
            <w:vMerge w:val="restart"/>
            <w:noWrap w:val="0"/>
            <w:vAlign w:val="center"/>
          </w:tcPr>
          <w:p>
            <w:pPr>
              <w:spacing w:line="240" w:lineRule="auto"/>
              <w:jc w:val="center"/>
              <w:rPr>
                <w:rFonts w:hint="eastAsia" w:ascii="宋体" w:hAnsi="宋体" w:eastAsia="宋体" w:cs="宋体"/>
                <w:kern w:val="2"/>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6000</w:t>
            </w:r>
          </w:p>
        </w:tc>
        <w:tc>
          <w:tcPr>
            <w:tcW w:w="2362" w:type="dxa"/>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6"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1681"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829" w:type="dxa"/>
            <w:noWrap w:val="0"/>
            <w:vAlign w:val="center"/>
          </w:tcPr>
          <w:p>
            <w:pPr>
              <w:spacing w:line="240" w:lineRule="auto"/>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非每次使用</w:t>
            </w:r>
          </w:p>
        </w:tc>
        <w:tc>
          <w:tcPr>
            <w:tcW w:w="872" w:type="dxa"/>
            <w:noWrap w:val="0"/>
            <w:vAlign w:val="center"/>
          </w:tcPr>
          <w:p>
            <w:pPr>
              <w:spacing w:line="240" w:lineRule="auto"/>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082" w:type="dxa"/>
            <w:vMerge w:val="continue"/>
            <w:noWrap w:val="0"/>
            <w:vAlign w:val="center"/>
          </w:tcPr>
          <w:p>
            <w:pPr>
              <w:spacing w:line="240" w:lineRule="auto"/>
              <w:jc w:val="center"/>
              <w:rPr>
                <w:rFonts w:hint="eastAsia" w:ascii="宋体" w:hAnsi="宋体" w:eastAsia="宋体" w:cs="宋体"/>
                <w:kern w:val="2"/>
                <w:sz w:val="18"/>
                <w:szCs w:val="18"/>
                <w:vertAlign w:val="baseline"/>
                <w:lang w:val="en-US" w:eastAsia="zh-CN" w:bidi="ar-SA"/>
              </w:rPr>
            </w:pPr>
          </w:p>
        </w:tc>
        <w:tc>
          <w:tcPr>
            <w:tcW w:w="2362" w:type="dxa"/>
            <w:noWrap w:val="0"/>
            <w:vAlign w:val="center"/>
          </w:tcPr>
          <w:p>
            <w:pPr>
              <w:spacing w:line="240" w:lineRule="auto"/>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6" w:type="dxa"/>
            <w:vMerge w:val="restart"/>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w:t>
            </w:r>
          </w:p>
        </w:tc>
        <w:tc>
          <w:tcPr>
            <w:tcW w:w="1681" w:type="dxa"/>
            <w:vMerge w:val="restart"/>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sz w:val="18"/>
                <w:szCs w:val="18"/>
              </w:rPr>
              <w:t>总I型胶原氨基端前肽</w:t>
            </w:r>
          </w:p>
        </w:tc>
        <w:tc>
          <w:tcPr>
            <w:tcW w:w="829" w:type="dxa"/>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highlight w:val="none"/>
                <w:vertAlign w:val="baseline"/>
                <w:lang w:val="en-US" w:eastAsia="zh-CN"/>
              </w:rPr>
              <w:t>每次使用</w:t>
            </w:r>
          </w:p>
        </w:tc>
        <w:tc>
          <w:tcPr>
            <w:tcW w:w="872" w:type="dxa"/>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highlight w:val="none"/>
                <w:vertAlign w:val="baseline"/>
                <w:lang w:val="en-US" w:eastAsia="zh-CN"/>
              </w:rPr>
              <w:t>***元/测试</w:t>
            </w:r>
          </w:p>
        </w:tc>
        <w:tc>
          <w:tcPr>
            <w:tcW w:w="1082" w:type="dxa"/>
            <w:vMerge w:val="restart"/>
            <w:noWrap w:val="0"/>
            <w:vAlign w:val="center"/>
          </w:tcPr>
          <w:p>
            <w:pPr>
              <w:spacing w:line="240" w:lineRule="auto"/>
              <w:jc w:val="center"/>
              <w:rPr>
                <w:rFonts w:hint="eastAsia" w:ascii="宋体" w:hAnsi="宋体" w:eastAsia="宋体" w:cs="宋体"/>
                <w:kern w:val="2"/>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1000</w:t>
            </w:r>
          </w:p>
        </w:tc>
        <w:tc>
          <w:tcPr>
            <w:tcW w:w="2362" w:type="dxa"/>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6"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1681"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829" w:type="dxa"/>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非每次使用</w:t>
            </w:r>
          </w:p>
        </w:tc>
        <w:tc>
          <w:tcPr>
            <w:tcW w:w="872" w:type="dxa"/>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c>
          <w:tcPr>
            <w:tcW w:w="1082"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2362" w:type="dxa"/>
            <w:noWrap w:val="0"/>
            <w:vAlign w:val="center"/>
          </w:tcPr>
          <w:p>
            <w:pPr>
              <w:spacing w:line="240" w:lineRule="auto"/>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6" w:type="dxa"/>
            <w:vMerge w:val="restart"/>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c>
          <w:tcPr>
            <w:tcW w:w="1681" w:type="dxa"/>
            <w:vMerge w:val="restart"/>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sz w:val="18"/>
                <w:szCs w:val="18"/>
              </w:rPr>
              <w:t>血清骨钙素</w:t>
            </w:r>
          </w:p>
        </w:tc>
        <w:tc>
          <w:tcPr>
            <w:tcW w:w="829" w:type="dxa"/>
            <w:noWrap w:val="0"/>
            <w:vAlign w:val="center"/>
          </w:tcPr>
          <w:p>
            <w:pPr>
              <w:spacing w:line="240" w:lineRule="auto"/>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highlight w:val="none"/>
                <w:vertAlign w:val="baseline"/>
                <w:lang w:val="en-US" w:eastAsia="zh-CN"/>
              </w:rPr>
              <w:t>每次使用</w:t>
            </w:r>
          </w:p>
        </w:tc>
        <w:tc>
          <w:tcPr>
            <w:tcW w:w="872" w:type="dxa"/>
            <w:noWrap w:val="0"/>
            <w:vAlign w:val="center"/>
          </w:tcPr>
          <w:p>
            <w:pPr>
              <w:spacing w:line="240" w:lineRule="auto"/>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highlight w:val="none"/>
                <w:vertAlign w:val="baseline"/>
                <w:lang w:val="en-US" w:eastAsia="zh-CN"/>
              </w:rPr>
              <w:t>***元/测试</w:t>
            </w:r>
          </w:p>
        </w:tc>
        <w:tc>
          <w:tcPr>
            <w:tcW w:w="1082" w:type="dxa"/>
            <w:vMerge w:val="restart"/>
            <w:noWrap w:val="0"/>
            <w:vAlign w:val="center"/>
          </w:tcPr>
          <w:p>
            <w:pPr>
              <w:spacing w:line="240" w:lineRule="auto"/>
              <w:jc w:val="center"/>
              <w:rPr>
                <w:rFonts w:hint="eastAsia" w:ascii="宋体" w:hAnsi="宋体" w:eastAsia="宋体" w:cs="宋体"/>
                <w:kern w:val="2"/>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1000</w:t>
            </w:r>
          </w:p>
        </w:tc>
        <w:tc>
          <w:tcPr>
            <w:tcW w:w="2362" w:type="dxa"/>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6"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1681"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829" w:type="dxa"/>
            <w:noWrap w:val="0"/>
            <w:vAlign w:val="center"/>
          </w:tcPr>
          <w:p>
            <w:pPr>
              <w:spacing w:line="240" w:lineRule="auto"/>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非每次使用</w:t>
            </w:r>
          </w:p>
        </w:tc>
        <w:tc>
          <w:tcPr>
            <w:tcW w:w="872" w:type="dxa"/>
            <w:noWrap w:val="0"/>
            <w:vAlign w:val="center"/>
          </w:tcPr>
          <w:p>
            <w:pPr>
              <w:spacing w:line="240" w:lineRule="auto"/>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082" w:type="dxa"/>
            <w:vMerge w:val="continue"/>
            <w:noWrap w:val="0"/>
            <w:vAlign w:val="center"/>
          </w:tcPr>
          <w:p>
            <w:pPr>
              <w:spacing w:line="240" w:lineRule="auto"/>
              <w:jc w:val="center"/>
              <w:rPr>
                <w:rFonts w:hint="eastAsia" w:ascii="宋体" w:hAnsi="宋体" w:eastAsia="宋体" w:cs="宋体"/>
                <w:kern w:val="2"/>
                <w:sz w:val="18"/>
                <w:szCs w:val="18"/>
                <w:vertAlign w:val="baseline"/>
                <w:lang w:val="en-US" w:eastAsia="zh-CN" w:bidi="ar-SA"/>
              </w:rPr>
            </w:pPr>
          </w:p>
        </w:tc>
        <w:tc>
          <w:tcPr>
            <w:tcW w:w="2362" w:type="dxa"/>
            <w:noWrap w:val="0"/>
            <w:vAlign w:val="center"/>
          </w:tcPr>
          <w:p>
            <w:pPr>
              <w:spacing w:line="240" w:lineRule="auto"/>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6" w:type="dxa"/>
            <w:vMerge w:val="restart"/>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w:t>
            </w:r>
          </w:p>
        </w:tc>
        <w:tc>
          <w:tcPr>
            <w:tcW w:w="1681" w:type="dxa"/>
            <w:vMerge w:val="restart"/>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sz w:val="18"/>
                <w:szCs w:val="18"/>
              </w:rPr>
              <w:t>β-胶原降解产物</w:t>
            </w:r>
          </w:p>
        </w:tc>
        <w:tc>
          <w:tcPr>
            <w:tcW w:w="829" w:type="dxa"/>
            <w:noWrap w:val="0"/>
            <w:vAlign w:val="center"/>
          </w:tcPr>
          <w:p>
            <w:pPr>
              <w:spacing w:line="240" w:lineRule="auto"/>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highlight w:val="none"/>
                <w:vertAlign w:val="baseline"/>
                <w:lang w:val="en-US" w:eastAsia="zh-CN"/>
              </w:rPr>
              <w:t>每次使用</w:t>
            </w:r>
          </w:p>
        </w:tc>
        <w:tc>
          <w:tcPr>
            <w:tcW w:w="872" w:type="dxa"/>
            <w:noWrap w:val="0"/>
            <w:vAlign w:val="center"/>
          </w:tcPr>
          <w:p>
            <w:pPr>
              <w:spacing w:line="240" w:lineRule="auto"/>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highlight w:val="none"/>
                <w:vertAlign w:val="baseline"/>
                <w:lang w:val="en-US" w:eastAsia="zh-CN"/>
              </w:rPr>
              <w:t>***元/测试</w:t>
            </w:r>
          </w:p>
        </w:tc>
        <w:tc>
          <w:tcPr>
            <w:tcW w:w="1082" w:type="dxa"/>
            <w:vMerge w:val="restart"/>
            <w:noWrap w:val="0"/>
            <w:vAlign w:val="center"/>
          </w:tcPr>
          <w:p>
            <w:pPr>
              <w:spacing w:line="240" w:lineRule="auto"/>
              <w:jc w:val="center"/>
              <w:rPr>
                <w:rFonts w:hint="eastAsia" w:ascii="宋体" w:hAnsi="宋体" w:eastAsia="宋体" w:cs="宋体"/>
                <w:kern w:val="2"/>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1000</w:t>
            </w:r>
          </w:p>
        </w:tc>
        <w:tc>
          <w:tcPr>
            <w:tcW w:w="2362" w:type="dxa"/>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6"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1681"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829" w:type="dxa"/>
            <w:noWrap w:val="0"/>
            <w:vAlign w:val="center"/>
          </w:tcPr>
          <w:p>
            <w:pPr>
              <w:spacing w:line="240" w:lineRule="auto"/>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非每次使用</w:t>
            </w:r>
          </w:p>
        </w:tc>
        <w:tc>
          <w:tcPr>
            <w:tcW w:w="872" w:type="dxa"/>
            <w:noWrap w:val="0"/>
            <w:vAlign w:val="center"/>
          </w:tcPr>
          <w:p>
            <w:pPr>
              <w:spacing w:line="240" w:lineRule="auto"/>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082" w:type="dxa"/>
            <w:vMerge w:val="continue"/>
            <w:noWrap w:val="0"/>
            <w:vAlign w:val="center"/>
          </w:tcPr>
          <w:p>
            <w:pPr>
              <w:spacing w:line="240" w:lineRule="auto"/>
              <w:jc w:val="center"/>
              <w:rPr>
                <w:rFonts w:hint="eastAsia" w:ascii="宋体" w:hAnsi="宋体" w:eastAsia="宋体" w:cs="宋体"/>
                <w:kern w:val="2"/>
                <w:sz w:val="18"/>
                <w:szCs w:val="18"/>
                <w:vertAlign w:val="baseline"/>
                <w:lang w:val="en-US" w:eastAsia="zh-CN" w:bidi="ar-SA"/>
              </w:rPr>
            </w:pPr>
          </w:p>
        </w:tc>
        <w:tc>
          <w:tcPr>
            <w:tcW w:w="2362" w:type="dxa"/>
            <w:noWrap w:val="0"/>
            <w:vAlign w:val="center"/>
          </w:tcPr>
          <w:p>
            <w:pPr>
              <w:spacing w:line="240" w:lineRule="auto"/>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6" w:type="dxa"/>
            <w:vMerge w:val="restart"/>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7</w:t>
            </w:r>
          </w:p>
        </w:tc>
        <w:tc>
          <w:tcPr>
            <w:tcW w:w="1681" w:type="dxa"/>
            <w:vMerge w:val="restart"/>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sz w:val="18"/>
                <w:szCs w:val="18"/>
              </w:rPr>
              <w:t>促肾上腺皮质激素</w:t>
            </w:r>
          </w:p>
        </w:tc>
        <w:tc>
          <w:tcPr>
            <w:tcW w:w="829" w:type="dxa"/>
            <w:noWrap w:val="0"/>
            <w:vAlign w:val="center"/>
          </w:tcPr>
          <w:p>
            <w:pPr>
              <w:spacing w:line="240" w:lineRule="auto"/>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highlight w:val="none"/>
                <w:vertAlign w:val="baseline"/>
                <w:lang w:val="en-US" w:eastAsia="zh-CN"/>
              </w:rPr>
              <w:t>每次使用</w:t>
            </w:r>
          </w:p>
        </w:tc>
        <w:tc>
          <w:tcPr>
            <w:tcW w:w="872" w:type="dxa"/>
            <w:noWrap w:val="0"/>
            <w:vAlign w:val="center"/>
          </w:tcPr>
          <w:p>
            <w:pPr>
              <w:spacing w:line="240" w:lineRule="auto"/>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highlight w:val="none"/>
                <w:vertAlign w:val="baseline"/>
                <w:lang w:val="en-US" w:eastAsia="zh-CN"/>
              </w:rPr>
              <w:t>***元/测试</w:t>
            </w:r>
          </w:p>
        </w:tc>
        <w:tc>
          <w:tcPr>
            <w:tcW w:w="1082" w:type="dxa"/>
            <w:vMerge w:val="restart"/>
            <w:noWrap w:val="0"/>
            <w:vAlign w:val="center"/>
          </w:tcPr>
          <w:p>
            <w:pPr>
              <w:spacing w:line="240" w:lineRule="auto"/>
              <w:jc w:val="center"/>
              <w:rPr>
                <w:rFonts w:hint="eastAsia" w:ascii="宋体" w:hAnsi="宋体" w:eastAsia="宋体" w:cs="宋体"/>
                <w:kern w:val="2"/>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2000</w:t>
            </w:r>
          </w:p>
        </w:tc>
        <w:tc>
          <w:tcPr>
            <w:tcW w:w="2362" w:type="dxa"/>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6" w:type="dxa"/>
            <w:vMerge w:val="continue"/>
            <w:noWrap w:val="0"/>
            <w:vAlign w:val="center"/>
          </w:tcPr>
          <w:p>
            <w:pPr>
              <w:spacing w:line="240" w:lineRule="auto"/>
              <w:jc w:val="both"/>
              <w:rPr>
                <w:rFonts w:hint="eastAsia" w:ascii="宋体" w:hAnsi="宋体" w:eastAsia="宋体" w:cs="宋体"/>
                <w:sz w:val="18"/>
                <w:szCs w:val="18"/>
                <w:vertAlign w:val="baseline"/>
                <w:lang w:val="en-US" w:eastAsia="zh-CN"/>
              </w:rPr>
            </w:pPr>
          </w:p>
        </w:tc>
        <w:tc>
          <w:tcPr>
            <w:tcW w:w="1681"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829" w:type="dxa"/>
            <w:noWrap w:val="0"/>
            <w:vAlign w:val="center"/>
          </w:tcPr>
          <w:p>
            <w:pPr>
              <w:spacing w:line="240" w:lineRule="auto"/>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非每次使用</w:t>
            </w:r>
          </w:p>
        </w:tc>
        <w:tc>
          <w:tcPr>
            <w:tcW w:w="872" w:type="dxa"/>
            <w:noWrap w:val="0"/>
            <w:vAlign w:val="center"/>
          </w:tcPr>
          <w:p>
            <w:pPr>
              <w:spacing w:line="240" w:lineRule="auto"/>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082" w:type="dxa"/>
            <w:vMerge w:val="continue"/>
            <w:noWrap w:val="0"/>
            <w:vAlign w:val="center"/>
          </w:tcPr>
          <w:p>
            <w:pPr>
              <w:spacing w:line="240" w:lineRule="auto"/>
              <w:jc w:val="center"/>
              <w:rPr>
                <w:rFonts w:hint="eastAsia" w:ascii="宋体" w:hAnsi="宋体" w:eastAsia="宋体" w:cs="宋体"/>
                <w:kern w:val="2"/>
                <w:sz w:val="18"/>
                <w:szCs w:val="18"/>
                <w:vertAlign w:val="baseline"/>
                <w:lang w:val="en-US" w:eastAsia="zh-CN" w:bidi="ar-SA"/>
              </w:rPr>
            </w:pPr>
          </w:p>
        </w:tc>
        <w:tc>
          <w:tcPr>
            <w:tcW w:w="2362" w:type="dxa"/>
            <w:noWrap w:val="0"/>
            <w:vAlign w:val="center"/>
          </w:tcPr>
          <w:p>
            <w:pPr>
              <w:spacing w:line="240" w:lineRule="auto"/>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6" w:type="dxa"/>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w:t>
            </w:r>
          </w:p>
        </w:tc>
        <w:tc>
          <w:tcPr>
            <w:tcW w:w="1681" w:type="dxa"/>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其他试剂或耗材</w:t>
            </w:r>
          </w:p>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（注：不纳入后期保障评分）</w:t>
            </w:r>
          </w:p>
        </w:tc>
        <w:tc>
          <w:tcPr>
            <w:tcW w:w="829" w:type="dxa"/>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自行补充</w:t>
            </w:r>
          </w:p>
        </w:tc>
        <w:tc>
          <w:tcPr>
            <w:tcW w:w="872" w:type="dxa"/>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1082" w:type="dxa"/>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2362" w:type="dxa"/>
            <w:noWrap w:val="0"/>
            <w:vAlign w:val="center"/>
          </w:tcPr>
          <w:p>
            <w:pPr>
              <w:spacing w:line="240" w:lineRule="auto"/>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78" w:type="dxa"/>
            <w:gridSpan w:val="4"/>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合计</w:t>
            </w:r>
          </w:p>
        </w:tc>
        <w:tc>
          <w:tcPr>
            <w:tcW w:w="3444" w:type="dxa"/>
            <w:gridSpan w:val="2"/>
            <w:noWrap w:val="0"/>
            <w:vAlign w:val="center"/>
          </w:tcPr>
          <w:p>
            <w:pPr>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小写：***元</w:t>
            </w:r>
          </w:p>
          <w:p>
            <w:pPr>
              <w:pStyle w:val="2"/>
              <w:spacing w:line="240" w:lineRule="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gridSpan w:val="6"/>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价格组成测算（格式自拟）</w:t>
            </w:r>
          </w:p>
          <w:p>
            <w:pPr>
              <w:rPr>
                <w:rFonts w:hint="eastAsia" w:ascii="宋体" w:hAnsi="宋体" w:eastAsia="宋体" w:cs="宋体"/>
                <w:szCs w:val="21"/>
                <w:lang w:val="en-US" w:eastAsia="zh-CN"/>
              </w:rPr>
            </w:pPr>
            <w:r>
              <w:rPr>
                <w:rFonts w:hint="eastAsia" w:ascii="宋体" w:hAnsi="宋体" w:eastAsia="宋体" w:cs="宋体"/>
                <w:szCs w:val="21"/>
                <w:lang w:val="en-US" w:eastAsia="zh-CN"/>
              </w:rPr>
              <w:t>1.每次使用的配套试剂耗材测算价格组成（内容至少包含试剂耗材名称、规格、单价、每测试用量、年度用量、四川省药械集中采购及医药价格监管平台耗材商品代码/流水号(如有)等）：***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2.非每次使用的配套试剂耗材测算价格组成（内容至少包含耗材名称、规格、单价、每次用量、年度用量、四川省药械集中采购及医药价格监管平台耗材商品代码/流水号(如有)等）：***</w:t>
            </w:r>
          </w:p>
          <w:p>
            <w:pPr>
              <w:rPr>
                <w:rFonts w:hint="eastAsia" w:ascii="宋体" w:hAnsi="宋体" w:eastAsia="宋体" w:cs="宋体"/>
              </w:rPr>
            </w:pPr>
            <w:r>
              <w:rPr>
                <w:rFonts w:hint="eastAsia" w:ascii="宋体" w:hAnsi="宋体" w:eastAsia="宋体" w:cs="宋体"/>
                <w:lang w:val="en-US" w:eastAsia="zh-CN"/>
              </w:rPr>
              <w:t>3.人份价格报价说明：对于单个试剂可做多个病原体的试剂，不得将其按病原体检测数进行拆分报价，需以完整的单个试剂进行报价。</w:t>
            </w:r>
          </w:p>
          <w:p>
            <w:pPr>
              <w:rPr>
                <w:rFonts w:hint="default" w:ascii="宋体" w:hAnsi="宋体" w:eastAsia="宋体" w:cs="宋体"/>
                <w:szCs w:val="21"/>
                <w:lang w:val="en-US" w:eastAsia="zh-CN"/>
              </w:rPr>
            </w:pPr>
            <w:r>
              <w:rPr>
                <w:rFonts w:hint="eastAsia" w:ascii="宋体" w:hAnsi="宋体" w:eastAsia="宋体" w:cs="宋体"/>
                <w:b/>
                <w:bCs/>
                <w:szCs w:val="21"/>
                <w:lang w:val="en-US" w:eastAsia="zh-CN"/>
              </w:rPr>
              <w:t>4.设备配套检验项目不再开展二轮报价，无需单独密封。请务必将其装订在采购文件书中，建议装订在品目及报价表章节。</w:t>
            </w:r>
          </w:p>
        </w:tc>
      </w:tr>
    </w:tbl>
    <w:p>
      <w:pPr>
        <w:spacing w:line="360" w:lineRule="exact"/>
        <w:rPr>
          <w:rFonts w:hint="eastAsia" w:ascii="宋体" w:hAnsi="宋体" w:cs="宋体"/>
          <w:b/>
          <w:color w:val="000000"/>
          <w:kern w:val="0"/>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pPr>
        <w:pStyle w:val="2"/>
        <w:numPr>
          <w:ilvl w:val="0"/>
          <w:numId w:val="3"/>
        </w:numPr>
        <w:rPr>
          <w:rFonts w:hint="eastAsia" w:ascii="宋体" w:hAnsi="宋体" w:cs="宋体"/>
          <w:b/>
          <w:color w:val="000000"/>
          <w:kern w:val="0"/>
          <w:lang w:val="en-US" w:eastAsia="zh-CN"/>
        </w:rPr>
      </w:pPr>
      <w:r>
        <w:rPr>
          <w:rFonts w:hint="eastAsia" w:ascii="宋体" w:hAnsi="宋体" w:cs="宋体"/>
          <w:b/>
          <w:color w:val="000000"/>
          <w:kern w:val="0"/>
          <w:lang w:val="en-US" w:eastAsia="zh-CN"/>
        </w:rPr>
        <w:t>履约担保：</w:t>
      </w:r>
    </w:p>
    <w:p>
      <w:pPr>
        <w:adjustRightInd w:val="0"/>
        <w:snapToGrid w:val="0"/>
        <w:spacing w:line="360" w:lineRule="auto"/>
        <w:rPr>
          <w:rFonts w:hint="eastAsia" w:ascii="宋体" w:hAnsi="宋体" w:cs="宋体"/>
        </w:rPr>
      </w:pPr>
      <w:r>
        <w:rPr>
          <w:rFonts w:hint="eastAsia" w:ascii="宋体" w:hAnsi="宋体" w:cs="宋体"/>
          <w:bCs/>
        </w:rPr>
        <w:t>履约担保：</w:t>
      </w:r>
      <w:r>
        <w:rPr>
          <w:rFonts w:hint="eastAsia" w:ascii="宋体" w:hAnsi="宋体" w:cs="宋体"/>
        </w:rPr>
        <w:t>是否收取履约保证金：</w:t>
      </w:r>
      <w:r>
        <w:rPr>
          <w:rFonts w:hint="eastAsia" w:ascii="宋体" w:hAnsi="宋体" w:cs="宋体"/>
          <w:iCs/>
        </w:rPr>
        <w:sym w:font="Wingdings" w:char="00FE"/>
      </w:r>
      <w:r>
        <w:rPr>
          <w:rFonts w:hint="eastAsia" w:ascii="宋体" w:hAnsi="宋体" w:cs="宋体"/>
        </w:rPr>
        <w:t xml:space="preserve">是    </w:t>
      </w:r>
      <w:r>
        <w:rPr>
          <w:rFonts w:hint="eastAsia" w:ascii="宋体" w:hAnsi="宋体" w:cs="宋体"/>
        </w:rPr>
        <w:sym w:font="Wingdings" w:char="00A8"/>
      </w:r>
      <w:r>
        <w:rPr>
          <w:rFonts w:hint="eastAsia" w:ascii="宋体" w:hAnsi="宋体" w:cs="宋体"/>
        </w:rPr>
        <w:t>否</w:t>
      </w:r>
    </w:p>
    <w:p>
      <w:pPr>
        <w:numPr>
          <w:ilvl w:val="0"/>
          <w:numId w:val="0"/>
        </w:numPr>
        <w:rPr>
          <w:rFonts w:hint="default"/>
          <w:lang w:val="en-US" w:eastAsia="zh-CN"/>
        </w:rPr>
      </w:pPr>
      <w:r>
        <w:rPr>
          <w:rFonts w:hint="default"/>
          <w:lang w:val="en-US" w:eastAsia="zh-CN"/>
        </w:rPr>
        <w:t>履约保证金缴纳说明</w:t>
      </w:r>
      <w:r>
        <w:rPr>
          <w:rFonts w:hint="eastAsia"/>
          <w:lang w:val="en-US" w:eastAsia="zh-CN"/>
        </w:rPr>
        <w:t>：</w:t>
      </w:r>
    </w:p>
    <w:p>
      <w:pPr>
        <w:numPr>
          <w:ilvl w:val="0"/>
          <w:numId w:val="0"/>
        </w:numPr>
        <w:rPr>
          <w:rFonts w:hint="default"/>
          <w:lang w:val="en-US" w:eastAsia="zh-CN"/>
        </w:rPr>
      </w:pPr>
      <w:r>
        <w:rPr>
          <w:rFonts w:hint="default"/>
          <w:lang w:val="en-US" w:eastAsia="zh-CN"/>
        </w:rPr>
        <w:t>（1）交款方式：</w:t>
      </w:r>
      <w:r>
        <w:rPr>
          <w:rFonts w:hint="eastAsia" w:ascii="宋体" w:hAnsi="宋体" w:cs="宋体"/>
          <w:color w:val="000000"/>
          <w:kern w:val="0"/>
        </w:rPr>
        <w:t>按合同总价10%支付履约保证金</w:t>
      </w:r>
      <w:r>
        <w:rPr>
          <w:rFonts w:hint="eastAsia" w:ascii="宋体" w:hAnsi="宋体" w:cs="宋体"/>
          <w:color w:val="000000"/>
          <w:kern w:val="0"/>
          <w:lang w:eastAsia="zh-CN"/>
        </w:rPr>
        <w:t>。</w:t>
      </w:r>
      <w:r>
        <w:rPr>
          <w:rFonts w:hint="default"/>
          <w:lang w:val="en-US" w:eastAsia="zh-CN"/>
        </w:rPr>
        <w:t>以支票、汇票、本票或者金融机构、担保机构出具的保函等非现金形式向采购人交纳</w:t>
      </w:r>
      <w:r>
        <w:rPr>
          <w:rFonts w:hint="eastAsia" w:ascii="宋体" w:hAnsi="宋体" w:cs="宋体"/>
          <w:color w:val="000000"/>
          <w:kern w:val="0"/>
        </w:rPr>
        <w:t>；</w:t>
      </w:r>
    </w:p>
    <w:p>
      <w:pPr>
        <w:numPr>
          <w:ilvl w:val="0"/>
          <w:numId w:val="0"/>
        </w:numPr>
        <w:rPr>
          <w:rFonts w:hint="default"/>
          <w:lang w:val="en-US" w:eastAsia="zh-CN"/>
        </w:rPr>
      </w:pPr>
      <w:r>
        <w:rPr>
          <w:rFonts w:hint="default"/>
          <w:lang w:val="en-US" w:eastAsia="zh-CN"/>
        </w:rPr>
        <w:t>（2）交款时间：投标人在收到采购人通知后7日内、设备安装前；</w:t>
      </w:r>
    </w:p>
    <w:p>
      <w:pPr>
        <w:numPr>
          <w:ilvl w:val="0"/>
          <w:numId w:val="0"/>
        </w:numPr>
        <w:rPr>
          <w:rFonts w:hint="default"/>
          <w:lang w:val="en-US" w:eastAsia="zh-CN"/>
        </w:rPr>
      </w:pPr>
      <w:r>
        <w:rPr>
          <w:rFonts w:hint="default"/>
          <w:lang w:val="en-US" w:eastAsia="zh-CN"/>
        </w:rPr>
        <w:t>（3）收款单位：采购人指定；</w:t>
      </w:r>
    </w:p>
    <w:p>
      <w:pPr>
        <w:numPr>
          <w:ilvl w:val="0"/>
          <w:numId w:val="0"/>
        </w:numPr>
        <w:rPr>
          <w:rFonts w:hint="default"/>
          <w:lang w:val="en-US" w:eastAsia="zh-CN"/>
        </w:rPr>
      </w:pPr>
      <w:r>
        <w:rPr>
          <w:rFonts w:hint="default"/>
          <w:lang w:val="en-US" w:eastAsia="zh-CN"/>
        </w:rPr>
        <w:t>（4）开户银行：采购人指定；</w:t>
      </w:r>
    </w:p>
    <w:p>
      <w:pPr>
        <w:numPr>
          <w:ilvl w:val="0"/>
          <w:numId w:val="0"/>
        </w:numPr>
        <w:rPr>
          <w:rFonts w:hint="default"/>
          <w:lang w:val="en-US" w:eastAsia="zh-CN"/>
        </w:rPr>
      </w:pPr>
      <w:r>
        <w:rPr>
          <w:rFonts w:hint="default"/>
          <w:lang w:val="en-US" w:eastAsia="zh-CN"/>
        </w:rPr>
        <w:t>（5）账号：采购人指定；</w:t>
      </w:r>
    </w:p>
    <w:p>
      <w:pPr>
        <w:numPr>
          <w:ilvl w:val="0"/>
          <w:numId w:val="0"/>
        </w:numPr>
        <w:rPr>
          <w:rFonts w:hint="default"/>
          <w:lang w:val="en-US" w:eastAsia="zh-CN"/>
        </w:rPr>
      </w:pPr>
      <w:r>
        <w:rPr>
          <w:rFonts w:hint="default"/>
          <w:lang w:val="en-US" w:eastAsia="zh-CN"/>
        </w:rPr>
        <w:t>（6）退还时间：设备自最终验收合格之日满2年，采购人接到投标人付款申请后30个工作日内，采购人一次性无息退还投标人的履约保证金，若履约保证金缴纳方式为保函，则按照保函相关流程退回。</w:t>
      </w:r>
    </w:p>
    <w:p>
      <w:pPr>
        <w:numPr>
          <w:ilvl w:val="0"/>
          <w:numId w:val="0"/>
        </w:numPr>
        <w:rPr>
          <w:rFonts w:hint="default"/>
          <w:lang w:val="en-US" w:eastAsia="zh-CN"/>
        </w:rPr>
      </w:pPr>
      <w:r>
        <w:rPr>
          <w:rFonts w:hint="default"/>
          <w:lang w:val="en-US" w:eastAsia="zh-CN"/>
        </w:rPr>
        <w:t>（7）履约保证金不予退还情形：</w:t>
      </w:r>
    </w:p>
    <w:p>
      <w:pPr>
        <w:numPr>
          <w:ilvl w:val="0"/>
          <w:numId w:val="0"/>
        </w:numPr>
        <w:ind w:firstLine="210" w:firstLineChars="100"/>
        <w:rPr>
          <w:rFonts w:hint="default"/>
          <w:lang w:val="en-US" w:eastAsia="zh-CN"/>
        </w:rPr>
      </w:pPr>
      <w:r>
        <w:rPr>
          <w:rFonts w:hint="default"/>
          <w:lang w:val="en-US" w:eastAsia="zh-CN"/>
        </w:rPr>
        <w:t>1）中标供应商不履行与采购人订立的合同的，给采购人造成的损失超过履约保证金数额的，还应当对超过部分予以赔偿；</w:t>
      </w:r>
    </w:p>
    <w:p>
      <w:pPr>
        <w:numPr>
          <w:ilvl w:val="0"/>
          <w:numId w:val="0"/>
        </w:numPr>
        <w:ind w:firstLine="210" w:firstLineChars="100"/>
        <w:rPr>
          <w:rFonts w:hint="default"/>
          <w:lang w:val="en-US" w:eastAsia="zh-CN"/>
        </w:rPr>
      </w:pPr>
      <w:r>
        <w:rPr>
          <w:rFonts w:hint="default"/>
          <w:lang w:val="en-US" w:eastAsia="zh-CN"/>
        </w:rPr>
        <w:t>2）项目验收结果不合格的；</w:t>
      </w:r>
    </w:p>
    <w:p>
      <w:pPr>
        <w:numPr>
          <w:ilvl w:val="0"/>
          <w:numId w:val="0"/>
        </w:numPr>
        <w:ind w:firstLine="210" w:firstLineChars="100"/>
        <w:rPr>
          <w:rFonts w:hint="default"/>
          <w:lang w:val="en-US" w:eastAsia="zh-CN"/>
        </w:rPr>
      </w:pPr>
      <w:r>
        <w:rPr>
          <w:rFonts w:hint="default"/>
          <w:lang w:val="en-US" w:eastAsia="zh-CN"/>
        </w:rPr>
        <w:t>3）其他违反国家相关法律法规的情形；</w:t>
      </w:r>
    </w:p>
    <w:p>
      <w:pPr>
        <w:numPr>
          <w:ilvl w:val="0"/>
          <w:numId w:val="0"/>
        </w:numPr>
        <w:rPr>
          <w:rFonts w:hint="default"/>
          <w:lang w:val="en-US" w:eastAsia="zh-CN"/>
        </w:rPr>
      </w:pPr>
      <w:r>
        <w:rPr>
          <w:rFonts w:hint="default"/>
          <w:lang w:val="en-US" w:eastAsia="zh-CN"/>
        </w:rPr>
        <w:t>（8）若投标人接到支付履约保证金通知未在7个工作日内缴纳履约保证金，采购人有权解除合同。</w:t>
      </w:r>
    </w:p>
    <w:p>
      <w:pPr>
        <w:numPr>
          <w:ilvl w:val="0"/>
          <w:numId w:val="0"/>
        </w:numPr>
        <w:rPr>
          <w:rFonts w:hint="default"/>
          <w:lang w:val="en-US" w:eastAsia="zh-CN"/>
        </w:rPr>
      </w:pPr>
      <w:r>
        <w:rPr>
          <w:rFonts w:hint="default"/>
          <w:lang w:val="en-US" w:eastAsia="zh-CN"/>
        </w:rPr>
        <w:t>注：以保函形式交纳履约保证金的，保函受益人为采购人。由中标供应商基本账户所在银行或其他经相应主管部门批准可以开展保函业务的金融或担保机构出具的保函</w:t>
      </w:r>
      <w:r>
        <w:rPr>
          <w:rFonts w:hint="eastAsia"/>
          <w:lang w:val="en-US" w:eastAsia="zh-CN"/>
        </w:rPr>
        <w:t>。</w:t>
      </w:r>
    </w:p>
    <w:p>
      <w:pPr>
        <w:widowControl/>
        <w:jc w:val="left"/>
        <w:rPr>
          <w:rFonts w:ascii="宋体" w:hAnsi="宋体" w:eastAsia="宋体" w:cs="Segoe UI"/>
          <w:b/>
          <w:bCs/>
          <w:color w:val="auto"/>
          <w:kern w:val="0"/>
          <w:sz w:val="28"/>
          <w:szCs w:val="28"/>
        </w:rPr>
      </w:pPr>
      <w:r>
        <w:rPr>
          <w:rFonts w:hint="eastAsia" w:ascii="宋体" w:hAnsi="宋体" w:eastAsia="宋体" w:cs="Segoe UI"/>
          <w:b/>
          <w:bCs/>
          <w:color w:val="auto"/>
          <w:kern w:val="0"/>
          <w:sz w:val="28"/>
          <w:szCs w:val="28"/>
        </w:rPr>
        <w:t>附件</w:t>
      </w:r>
      <w:r>
        <w:rPr>
          <w:rFonts w:hint="eastAsia" w:ascii="Segoe UI" w:hAnsi="Segoe UI" w:eastAsia="宋体" w:cs="Segoe UI"/>
          <w:b/>
          <w:bCs/>
          <w:color w:val="auto"/>
          <w:kern w:val="0"/>
          <w:sz w:val="28"/>
          <w:szCs w:val="28"/>
          <w:lang w:val="en-US" w:eastAsia="zh-CN"/>
        </w:rPr>
        <w:t>2</w:t>
      </w:r>
      <w:r>
        <w:rPr>
          <w:rFonts w:hint="eastAsia" w:ascii="宋体" w:hAnsi="宋体" w:eastAsia="宋体" w:cs="Segoe UI"/>
          <w:b/>
          <w:bCs/>
          <w:color w:val="auto"/>
          <w:kern w:val="0"/>
          <w:sz w:val="28"/>
          <w:szCs w:val="28"/>
        </w:rPr>
        <w:t>：评审办法（评分细则表）</w:t>
      </w:r>
    </w:p>
    <w:tbl>
      <w:tblPr>
        <w:tblStyle w:val="12"/>
        <w:tblW w:w="6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427"/>
        <w:gridCol w:w="843"/>
        <w:gridCol w:w="703"/>
        <w:gridCol w:w="7108"/>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31" w:type="pct"/>
            <w:vMerge w:val="restart"/>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201"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397"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331" w:type="pct"/>
            <w:noWrap w:val="0"/>
            <w:vAlign w:val="center"/>
          </w:tcPr>
          <w:p>
            <w:pPr>
              <w:widowControl/>
              <w:spacing w:line="360" w:lineRule="exact"/>
              <w:jc w:val="center"/>
              <w:rPr>
                <w:rFonts w:hint="eastAsia" w:ascii="宋体" w:hAnsi="宋体" w:eastAsia="宋体" w:cs="Segoe UI"/>
                <w:b/>
                <w:color w:val="333333"/>
                <w:kern w:val="0"/>
                <w:lang w:eastAsia="zh-CN"/>
              </w:rPr>
            </w:pPr>
            <w:r>
              <w:rPr>
                <w:rFonts w:hint="eastAsia" w:ascii="宋体" w:hAnsi="宋体" w:cs="Segoe UI"/>
                <w:b/>
                <w:color w:val="auto"/>
                <w:kern w:val="0"/>
              </w:rPr>
              <w:t>分值</w:t>
            </w:r>
          </w:p>
        </w:tc>
        <w:tc>
          <w:tcPr>
            <w:tcW w:w="3349"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评分标准</w:t>
            </w:r>
          </w:p>
        </w:tc>
        <w:tc>
          <w:tcPr>
            <w:tcW w:w="489"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231" w:type="pct"/>
            <w:vMerge w:val="continue"/>
            <w:noWrap w:val="0"/>
            <w:vAlign w:val="center"/>
          </w:tcPr>
          <w:p>
            <w:pPr>
              <w:spacing w:line="360" w:lineRule="exact"/>
              <w:jc w:val="center"/>
              <w:rPr>
                <w:rFonts w:hint="eastAsia" w:cs="宋体"/>
                <w:color w:val="000000"/>
                <w:kern w:val="0"/>
              </w:rPr>
            </w:pPr>
          </w:p>
        </w:tc>
        <w:tc>
          <w:tcPr>
            <w:tcW w:w="201"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397" w:type="pct"/>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331"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3349" w:type="pct"/>
            <w:noWrap w:val="0"/>
            <w:vAlign w:val="center"/>
          </w:tcPr>
          <w:p>
            <w:pPr>
              <w:widowControl/>
              <w:spacing w:line="360" w:lineRule="exact"/>
              <w:rPr>
                <w:rFonts w:hint="eastAsia" w:ascii="宋体" w:hAnsi="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p>
            <w:pPr>
              <w:widowControl/>
              <w:spacing w:line="360" w:lineRule="exact"/>
              <w:rPr>
                <w:rFonts w:hint="eastAsia" w:ascii="宋体" w:hAnsi="宋体" w:cs="宋体"/>
              </w:rPr>
            </w:pPr>
            <w:r>
              <w:rPr>
                <w:rFonts w:hint="eastAsia" w:ascii="宋体" w:hAnsi="宋体" w:cs="宋体"/>
              </w:rPr>
              <w:t>注：</w:t>
            </w:r>
            <w:r>
              <w:rPr>
                <w:rFonts w:hint="eastAsia" w:ascii="宋体" w:hAnsi="宋体" w:cs="宋体"/>
                <w:lang w:val="en-US" w:eastAsia="zh-CN"/>
              </w:rPr>
              <w:t>设备</w:t>
            </w:r>
            <w:r>
              <w:rPr>
                <w:rFonts w:hint="eastAsia" w:ascii="宋体" w:hAnsi="宋体" w:cs="宋体"/>
              </w:rPr>
              <w:t>报价最低的为基准价。</w:t>
            </w:r>
          </w:p>
        </w:tc>
        <w:tc>
          <w:tcPr>
            <w:tcW w:w="489" w:type="pct"/>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31" w:type="pct"/>
            <w:vMerge w:val="continue"/>
            <w:noWrap w:val="0"/>
            <w:vAlign w:val="center"/>
          </w:tcPr>
          <w:p>
            <w:pPr>
              <w:spacing w:line="360" w:lineRule="exact"/>
              <w:jc w:val="center"/>
              <w:rPr>
                <w:rFonts w:hint="eastAsia" w:cs="宋体"/>
                <w:color w:val="000000"/>
                <w:kern w:val="0"/>
              </w:rPr>
            </w:pPr>
          </w:p>
        </w:tc>
        <w:tc>
          <w:tcPr>
            <w:tcW w:w="201" w:type="pct"/>
            <w:noWrap w:val="0"/>
            <w:vAlign w:val="center"/>
          </w:tcPr>
          <w:p>
            <w:pPr>
              <w:widowControl/>
              <w:spacing w:line="360" w:lineRule="exact"/>
              <w:jc w:val="center"/>
              <w:rPr>
                <w:rFonts w:hint="eastAsia" w:ascii="宋体" w:hAnsi="宋体" w:cs="Segoe UI"/>
                <w:color w:val="333333"/>
                <w:kern w:val="0"/>
              </w:rPr>
            </w:pPr>
            <w:r>
              <w:rPr>
                <w:rFonts w:hint="eastAsia" w:ascii="宋体" w:hAnsi="宋体" w:cs="Segoe UI"/>
                <w:color w:val="333333"/>
                <w:kern w:val="0"/>
              </w:rPr>
              <w:t>2</w:t>
            </w:r>
          </w:p>
        </w:tc>
        <w:tc>
          <w:tcPr>
            <w:tcW w:w="397" w:type="pct"/>
            <w:noWrap w:val="0"/>
            <w:vAlign w:val="center"/>
          </w:tcPr>
          <w:p>
            <w:pPr>
              <w:widowControl/>
              <w:spacing w:line="360" w:lineRule="exact"/>
              <w:jc w:val="center"/>
              <w:rPr>
                <w:rFonts w:ascii="宋体" w:hAnsi="宋体" w:cs="Segoe UI"/>
                <w:color w:val="auto"/>
                <w:kern w:val="0"/>
              </w:rPr>
            </w:pPr>
            <w:r>
              <w:rPr>
                <w:rFonts w:hint="eastAsia" w:ascii="宋体" w:hAnsi="宋体" w:cs="Segoe UI"/>
                <w:color w:val="auto"/>
                <w:kern w:val="0"/>
              </w:rPr>
              <w:t>技术指标</w:t>
            </w:r>
          </w:p>
          <w:p>
            <w:pPr>
              <w:widowControl/>
              <w:spacing w:line="360" w:lineRule="exact"/>
              <w:jc w:val="center"/>
              <w:rPr>
                <w:rFonts w:ascii="宋体" w:hAnsi="宋体" w:cs="Segoe UI"/>
                <w:color w:val="auto"/>
                <w:kern w:val="0"/>
              </w:rPr>
            </w:pPr>
            <w:r>
              <w:rPr>
                <w:rFonts w:hint="eastAsia" w:ascii="宋体" w:hAnsi="宋体" w:cs="Segoe UI"/>
                <w:color w:val="auto"/>
                <w:kern w:val="0"/>
                <w:lang w:val="en-US" w:eastAsia="zh-CN"/>
              </w:rPr>
              <w:t>27</w:t>
            </w:r>
            <w:r>
              <w:rPr>
                <w:rFonts w:hint="eastAsia" w:ascii="宋体" w:hAnsi="宋体" w:cs="Segoe UI"/>
                <w:color w:val="auto"/>
                <w:kern w:val="0"/>
              </w:rPr>
              <w:t>%</w:t>
            </w:r>
          </w:p>
        </w:tc>
        <w:tc>
          <w:tcPr>
            <w:tcW w:w="331" w:type="pct"/>
            <w:noWrap w:val="0"/>
            <w:vAlign w:val="center"/>
          </w:tcPr>
          <w:p>
            <w:pPr>
              <w:widowControl/>
              <w:spacing w:line="360" w:lineRule="exact"/>
              <w:jc w:val="center"/>
              <w:rPr>
                <w:rFonts w:hint="default" w:ascii="宋体" w:hAnsi="宋体" w:eastAsia="宋体" w:cs="Segoe UI"/>
                <w:color w:val="auto"/>
                <w:kern w:val="0"/>
                <w:lang w:val="en-US" w:eastAsia="zh-CN"/>
              </w:rPr>
            </w:pPr>
            <w:r>
              <w:rPr>
                <w:rFonts w:hint="eastAsia" w:ascii="宋体" w:hAnsi="宋体" w:cs="Segoe UI"/>
                <w:color w:val="auto"/>
                <w:kern w:val="0"/>
                <w:lang w:val="en-US" w:eastAsia="zh-CN"/>
              </w:rPr>
              <w:t>27</w:t>
            </w:r>
          </w:p>
        </w:tc>
        <w:tc>
          <w:tcPr>
            <w:tcW w:w="3349" w:type="pct"/>
            <w:noWrap w:val="0"/>
            <w:vAlign w:val="center"/>
          </w:tcPr>
          <w:p>
            <w:pPr>
              <w:widowControl/>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完全符合招标文件技术参数要求得27分。</w:t>
            </w:r>
          </w:p>
          <w:p>
            <w:pPr>
              <w:widowControl/>
              <w:spacing w:line="360" w:lineRule="exact"/>
              <w:rPr>
                <w:rFonts w:hint="eastAsia" w:ascii="宋体" w:hAnsi="宋体" w:cs="宋体"/>
                <w:lang w:eastAsia="zh-CN"/>
              </w:rPr>
            </w:pPr>
            <w:r>
              <w:rPr>
                <w:rFonts w:hint="eastAsia" w:ascii="宋体" w:hAnsi="宋体" w:cs="宋体"/>
              </w:rPr>
              <w:t>▲号条款共</w:t>
            </w:r>
            <w:r>
              <w:rPr>
                <w:rFonts w:hint="eastAsia" w:ascii="宋体" w:hAnsi="宋体" w:cs="宋体"/>
                <w:lang w:val="en-US" w:eastAsia="zh-CN"/>
              </w:rPr>
              <w:t>2</w:t>
            </w:r>
            <w:r>
              <w:rPr>
                <w:rFonts w:hint="eastAsia" w:ascii="宋体" w:hAnsi="宋体" w:cs="宋体"/>
              </w:rPr>
              <w:t>项</w:t>
            </w:r>
            <w:r>
              <w:rPr>
                <w:rFonts w:hint="eastAsia" w:ascii="宋体" w:hAnsi="宋体" w:cs="宋体"/>
                <w:lang w:eastAsia="zh-CN"/>
              </w:rPr>
              <w:t>，</w:t>
            </w:r>
            <w:bookmarkStart w:id="1" w:name="OLE_LINK2"/>
            <w:r>
              <w:rPr>
                <w:rFonts w:hint="eastAsia" w:ascii="宋体" w:hAnsi="宋体" w:cs="宋体"/>
              </w:rPr>
              <w:t>负偏离</w:t>
            </w:r>
            <w:bookmarkEnd w:id="1"/>
            <w:r>
              <w:rPr>
                <w:rFonts w:hint="eastAsia" w:ascii="宋体" w:hAnsi="宋体" w:cs="宋体"/>
                <w:lang w:val="en-US" w:eastAsia="zh-CN"/>
              </w:rPr>
              <w:t>1</w:t>
            </w:r>
            <w:r>
              <w:rPr>
                <w:rFonts w:hint="eastAsia" w:ascii="宋体" w:hAnsi="宋体" w:cs="宋体"/>
              </w:rPr>
              <w:t>项扣</w:t>
            </w:r>
            <w:r>
              <w:rPr>
                <w:rFonts w:hint="eastAsia" w:ascii="宋体" w:hAnsi="宋体" w:cs="宋体"/>
                <w:lang w:val="en-US" w:eastAsia="zh-CN"/>
              </w:rPr>
              <w:t>4.8</w:t>
            </w:r>
            <w:r>
              <w:rPr>
                <w:rFonts w:hint="eastAsia" w:ascii="宋体" w:hAnsi="宋体" w:cs="宋体"/>
              </w:rPr>
              <w:t>分</w:t>
            </w:r>
            <w:r>
              <w:rPr>
                <w:rFonts w:hint="eastAsia" w:ascii="宋体" w:hAnsi="宋体" w:cs="宋体"/>
                <w:lang w:eastAsia="zh-CN"/>
              </w:rPr>
              <w:t>。</w:t>
            </w:r>
          </w:p>
          <w:p>
            <w:pPr>
              <w:widowControl/>
              <w:spacing w:line="360" w:lineRule="exact"/>
              <w:jc w:val="left"/>
              <w:rPr>
                <w:rFonts w:hint="eastAsia" w:ascii="宋体" w:hAnsi="宋体" w:eastAsia="宋体" w:cs="宋体"/>
              </w:rPr>
            </w:pPr>
            <w:r>
              <w:rPr>
                <w:rFonts w:hint="eastAsia" w:ascii="宋体" w:hAnsi="宋体" w:cs="宋体"/>
              </w:rPr>
              <w:t>非▲号条款共</w:t>
            </w:r>
            <w:r>
              <w:rPr>
                <w:rFonts w:hint="eastAsia" w:ascii="宋体" w:hAnsi="宋体" w:cs="宋体"/>
                <w:lang w:val="en-US" w:eastAsia="zh-CN"/>
              </w:rPr>
              <w:t>23</w:t>
            </w:r>
            <w:r>
              <w:rPr>
                <w:rFonts w:hint="eastAsia" w:ascii="宋体" w:hAnsi="宋体" w:cs="宋体"/>
              </w:rPr>
              <w:t>项</w:t>
            </w:r>
            <w:r>
              <w:rPr>
                <w:rFonts w:hint="eastAsia" w:ascii="宋体" w:hAnsi="宋体" w:cs="宋体"/>
                <w:lang w:eastAsia="zh-CN"/>
              </w:rPr>
              <w:t>，</w:t>
            </w:r>
            <w:r>
              <w:rPr>
                <w:rFonts w:hint="eastAsia" w:ascii="宋体" w:hAnsi="宋体" w:cs="宋体"/>
                <w:lang w:val="en-US" w:eastAsia="zh-CN"/>
              </w:rPr>
              <w:t>其中第19条加分值为2分，其余22项</w:t>
            </w:r>
            <w:r>
              <w:rPr>
                <w:rFonts w:hint="eastAsia" w:ascii="宋体" w:hAnsi="宋体" w:cs="宋体"/>
              </w:rPr>
              <w:t>非▲号条款负偏离</w:t>
            </w:r>
            <w:r>
              <w:rPr>
                <w:rFonts w:hint="eastAsia" w:ascii="宋体" w:hAnsi="宋体" w:cs="宋体"/>
                <w:lang w:val="en-US" w:eastAsia="zh-CN"/>
              </w:rPr>
              <w:t>1</w:t>
            </w:r>
            <w:r>
              <w:rPr>
                <w:rFonts w:hint="eastAsia" w:ascii="宋体" w:hAnsi="宋体" w:cs="宋体"/>
              </w:rPr>
              <w:t>项扣</w:t>
            </w:r>
            <w:r>
              <w:rPr>
                <w:rFonts w:hint="eastAsia" w:ascii="宋体" w:hAnsi="宋体" w:cs="宋体"/>
                <w:lang w:val="en-US" w:eastAsia="zh-CN"/>
              </w:rPr>
              <w:t>0.7</w:t>
            </w:r>
            <w:r>
              <w:rPr>
                <w:rFonts w:hint="eastAsia" w:ascii="宋体" w:hAnsi="宋体" w:cs="宋体"/>
              </w:rPr>
              <w:t>分。</w:t>
            </w:r>
          </w:p>
          <w:p>
            <w:pPr>
              <w:adjustRightInd w:val="0"/>
              <w:snapToGrid w:val="0"/>
              <w:spacing w:before="156" w:beforeLines="50" w:after="0" w:line="240" w:lineRule="atLeas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注：（1）▲号条款需提供证明文件（按招标文件要求提供资料, ▲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489" w:type="pct"/>
            <w:noWrap w:val="0"/>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231" w:type="pct"/>
            <w:vMerge w:val="continue"/>
            <w:noWrap w:val="0"/>
            <w:vAlign w:val="center"/>
          </w:tcPr>
          <w:p>
            <w:pPr>
              <w:spacing w:line="360" w:lineRule="exact"/>
              <w:jc w:val="center"/>
              <w:rPr>
                <w:rFonts w:hint="eastAsia" w:cs="宋体"/>
                <w:color w:val="000000"/>
                <w:kern w:val="0"/>
              </w:rPr>
            </w:pPr>
          </w:p>
        </w:tc>
        <w:tc>
          <w:tcPr>
            <w:tcW w:w="201" w:type="pct"/>
            <w:noWrap w:val="0"/>
            <w:vAlign w:val="center"/>
          </w:tcPr>
          <w:p>
            <w:pPr>
              <w:widowControl/>
              <w:spacing w:line="360" w:lineRule="exact"/>
              <w:jc w:val="center"/>
              <w:rPr>
                <w:rFonts w:hint="default" w:ascii="宋体" w:hAnsi="宋体" w:eastAsia="宋体" w:cs="Segoe UI"/>
                <w:color w:val="333333"/>
                <w:kern w:val="0"/>
                <w:lang w:val="en-US" w:eastAsia="zh-CN"/>
              </w:rPr>
            </w:pPr>
            <w:r>
              <w:rPr>
                <w:rFonts w:hint="eastAsia" w:ascii="宋体" w:hAnsi="宋体" w:eastAsia="宋体" w:cs="Segoe UI"/>
                <w:color w:val="333333"/>
                <w:kern w:val="0"/>
                <w:lang w:val="en-US" w:eastAsia="zh-CN"/>
              </w:rPr>
              <w:t>3</w:t>
            </w:r>
          </w:p>
        </w:tc>
        <w:tc>
          <w:tcPr>
            <w:tcW w:w="397" w:type="pct"/>
            <w:noWrap w:val="0"/>
            <w:vAlign w:val="center"/>
          </w:tcPr>
          <w:p>
            <w:pPr>
              <w:widowControl/>
              <w:spacing w:line="360" w:lineRule="exact"/>
              <w:jc w:val="center"/>
              <w:rPr>
                <w:rFonts w:hint="eastAsia" w:ascii="宋体" w:hAnsi="宋体" w:cs="Segoe UI"/>
                <w:color w:val="auto"/>
                <w:kern w:val="0"/>
              </w:rPr>
            </w:pPr>
            <w:r>
              <w:rPr>
                <w:rFonts w:hint="eastAsia" w:ascii="宋体" w:hAnsi="宋体" w:cs="Segoe UI"/>
                <w:color w:val="auto"/>
                <w:kern w:val="0"/>
                <w:sz w:val="21"/>
                <w:szCs w:val="21"/>
              </w:rPr>
              <w:t>后期保障</w:t>
            </w:r>
            <w:r>
              <w:rPr>
                <w:rFonts w:hint="eastAsia" w:ascii="宋体" w:hAnsi="宋体" w:cs="Segoe UI"/>
                <w:color w:val="auto"/>
                <w:kern w:val="0"/>
                <w:sz w:val="21"/>
                <w:szCs w:val="21"/>
                <w:lang w:val="en-US" w:eastAsia="zh-CN"/>
              </w:rPr>
              <w:t>30</w:t>
            </w:r>
            <w:r>
              <w:rPr>
                <w:rFonts w:hint="eastAsia" w:ascii="宋体" w:hAnsi="宋体" w:cs="Segoe UI"/>
                <w:color w:val="auto"/>
                <w:kern w:val="0"/>
                <w:sz w:val="21"/>
                <w:szCs w:val="21"/>
              </w:rPr>
              <w:t>%</w:t>
            </w:r>
          </w:p>
        </w:tc>
        <w:tc>
          <w:tcPr>
            <w:tcW w:w="331" w:type="pct"/>
            <w:noWrap w:val="0"/>
            <w:vAlign w:val="center"/>
          </w:tcPr>
          <w:p>
            <w:pPr>
              <w:widowControl/>
              <w:spacing w:line="360" w:lineRule="exact"/>
              <w:jc w:val="center"/>
              <w:rPr>
                <w:rFonts w:hint="default" w:ascii="宋体" w:hAnsi="宋体" w:cs="Segoe UI"/>
                <w:color w:val="auto"/>
                <w:kern w:val="0"/>
                <w:lang w:val="en-US"/>
              </w:rPr>
            </w:pPr>
            <w:r>
              <w:rPr>
                <w:rFonts w:hint="eastAsia" w:ascii="宋体" w:hAnsi="宋体" w:cs="Segoe UI"/>
                <w:color w:val="auto"/>
                <w:kern w:val="0"/>
                <w:sz w:val="21"/>
                <w:szCs w:val="21"/>
                <w:highlight w:val="none"/>
                <w:lang w:val="en-US" w:eastAsia="zh-CN"/>
              </w:rPr>
              <w:t>30</w:t>
            </w:r>
          </w:p>
        </w:tc>
        <w:tc>
          <w:tcPr>
            <w:tcW w:w="3349" w:type="pct"/>
            <w:noWrap w:val="0"/>
            <w:vAlign w:val="center"/>
          </w:tcPr>
          <w:p>
            <w:pPr>
              <w:widowControl/>
              <w:spacing w:line="360" w:lineRule="exact"/>
              <w:rPr>
                <w:rFonts w:hint="eastAsia"/>
                <w:lang w:val="en-US" w:eastAsia="zh-CN"/>
              </w:rPr>
            </w:pPr>
            <w:r>
              <w:rPr>
                <w:rFonts w:hint="eastAsia"/>
                <w:lang w:val="en-US" w:eastAsia="zh-CN"/>
              </w:rPr>
              <w:t>在保障设备正常运行的基础上，提供配套试剂耗材报价金额和设备质保期后5年维保的报价金额，两者相加报价</w:t>
            </w:r>
            <w:r>
              <w:rPr>
                <w:rFonts w:hint="eastAsia"/>
                <w:color w:val="000000" w:themeColor="text1"/>
                <w:lang w:val="en-US" w:eastAsia="zh-CN"/>
                <w14:textFill>
                  <w14:solidFill>
                    <w14:schemeClr w14:val="tx1"/>
                  </w14:solidFill>
                </w14:textFill>
              </w:rPr>
              <w:t>，未提供的不得分。</w:t>
            </w:r>
          </w:p>
          <w:p>
            <w:pPr>
              <w:widowControl/>
              <w:spacing w:line="360" w:lineRule="exact"/>
              <w:rPr>
                <w:rFonts w:hint="eastAsia"/>
                <w:lang w:val="en-US" w:eastAsia="zh-CN"/>
              </w:rPr>
            </w:pPr>
            <w:r>
              <w:rPr>
                <w:rFonts w:hint="eastAsia"/>
                <w:lang w:val="en-US" w:eastAsia="zh-CN"/>
              </w:rPr>
              <w:t>后期保障得分=(基准价／供应商报价)×30（保留两位小数）。</w:t>
            </w:r>
          </w:p>
          <w:p>
            <w:pPr>
              <w:widowControl/>
              <w:spacing w:line="360" w:lineRule="exact"/>
              <w:rPr>
                <w:rFonts w:hint="default"/>
                <w:lang w:val="en-US" w:eastAsia="zh-CN"/>
              </w:rPr>
            </w:pPr>
            <w:r>
              <w:rPr>
                <w:rFonts w:hint="eastAsia"/>
                <w:color w:val="000000" w:themeColor="text1"/>
                <w:lang w:val="en-US" w:eastAsia="zh-CN"/>
                <w14:textFill>
                  <w14:solidFill>
                    <w14:schemeClr w14:val="tx1"/>
                  </w14:solidFill>
                </w14:textFill>
              </w:rPr>
              <w:t>注：仅针对胰岛素样生长因子-1、胰岛素样生长因子结合蛋白-3、抗缪勒管激素、总I型胶原氨基端前肽、血清骨钙素、</w:t>
            </w:r>
            <w:bookmarkStart w:id="3" w:name="_GoBack"/>
            <w:bookmarkEnd w:id="3"/>
            <w:r>
              <w:rPr>
                <w:rFonts w:hint="eastAsia"/>
                <w:color w:val="000000" w:themeColor="text1"/>
                <w:lang w:val="en-US" w:eastAsia="zh-CN"/>
                <w14:textFill>
                  <w14:solidFill>
                    <w14:schemeClr w14:val="tx1"/>
                  </w14:solidFill>
                </w14:textFill>
              </w:rPr>
              <w:t>β-胶原降解产物、促肾上腺皮质激素检验项目进行评分，以上检验项目人份价格与5年维保费用合计报价最低为基准价，其中设备维保报价表格式自拟。</w:t>
            </w:r>
          </w:p>
        </w:tc>
        <w:tc>
          <w:tcPr>
            <w:tcW w:w="489" w:type="pct"/>
            <w:noWrap w:val="0"/>
            <w:vAlign w:val="center"/>
          </w:tcPr>
          <w:p>
            <w:pPr>
              <w:spacing w:line="360" w:lineRule="exact"/>
              <w:jc w:val="center"/>
              <w:rPr>
                <w:rFonts w:hint="eastAsia" w:ascii="宋体" w:hAnsi="宋体" w:cs="宋体"/>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231" w:type="pct"/>
            <w:vMerge w:val="continue"/>
            <w:noWrap w:val="0"/>
            <w:vAlign w:val="center"/>
          </w:tcPr>
          <w:p>
            <w:pPr>
              <w:spacing w:line="360" w:lineRule="exact"/>
              <w:jc w:val="center"/>
              <w:rPr>
                <w:rFonts w:hint="eastAsia" w:cs="宋体"/>
                <w:color w:val="000000"/>
                <w:kern w:val="0"/>
              </w:rPr>
            </w:pPr>
          </w:p>
        </w:tc>
        <w:tc>
          <w:tcPr>
            <w:tcW w:w="201" w:type="pct"/>
            <w:noWrap w:val="0"/>
            <w:vAlign w:val="center"/>
          </w:tcPr>
          <w:p>
            <w:pPr>
              <w:widowControl/>
              <w:spacing w:line="360" w:lineRule="exact"/>
              <w:jc w:val="center"/>
              <w:rPr>
                <w:rFonts w:hint="default" w:ascii="宋体" w:hAnsi="宋体" w:eastAsia="宋体" w:cs="Segoe UI"/>
                <w:color w:val="333333"/>
                <w:kern w:val="0"/>
                <w:lang w:val="en-US" w:eastAsia="zh-CN"/>
              </w:rPr>
            </w:pPr>
            <w:r>
              <w:rPr>
                <w:rFonts w:hint="eastAsia" w:ascii="宋体" w:hAnsi="宋体" w:eastAsia="宋体" w:cs="Segoe UI"/>
                <w:color w:val="333333"/>
                <w:kern w:val="0"/>
                <w:lang w:val="en-US" w:eastAsia="zh-CN"/>
              </w:rPr>
              <w:t>4</w:t>
            </w:r>
          </w:p>
        </w:tc>
        <w:tc>
          <w:tcPr>
            <w:tcW w:w="397" w:type="pct"/>
            <w:noWrap w:val="0"/>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ascii="宋体" w:hAnsi="宋体" w:cs="Segoe UI"/>
                <w:color w:val="000000"/>
                <w:kern w:val="0"/>
              </w:rPr>
            </w:pPr>
            <w:r>
              <w:rPr>
                <w:rFonts w:hint="eastAsia" w:ascii="宋体" w:hAnsi="宋体" w:cs="宋体"/>
                <w:lang w:val="en-US" w:eastAsia="zh-CN"/>
              </w:rPr>
              <w:t>5</w:t>
            </w:r>
            <w:r>
              <w:rPr>
                <w:rFonts w:hint="eastAsia" w:ascii="宋体" w:hAnsi="宋体" w:cs="宋体"/>
              </w:rPr>
              <w:t>%</w:t>
            </w:r>
          </w:p>
        </w:tc>
        <w:tc>
          <w:tcPr>
            <w:tcW w:w="331" w:type="pct"/>
            <w:noWrap w:val="0"/>
            <w:vAlign w:val="center"/>
          </w:tcPr>
          <w:p>
            <w:pPr>
              <w:widowControl/>
              <w:spacing w:line="360" w:lineRule="exact"/>
              <w:jc w:val="center"/>
              <w:rPr>
                <w:rFonts w:hint="default" w:ascii="宋体" w:hAnsi="宋体" w:cs="宋体"/>
                <w:lang w:val="en-US"/>
              </w:rPr>
            </w:pPr>
            <w:r>
              <w:rPr>
                <w:rFonts w:hint="eastAsia" w:ascii="宋体" w:hAnsi="宋体" w:eastAsia="宋体" w:cs="宋体"/>
                <w:lang w:val="en-US" w:eastAsia="zh-CN"/>
              </w:rPr>
              <w:t>5</w:t>
            </w:r>
          </w:p>
        </w:tc>
        <w:tc>
          <w:tcPr>
            <w:tcW w:w="3349" w:type="pct"/>
            <w:noWrap w:val="0"/>
            <w:vAlign w:val="center"/>
          </w:tcPr>
          <w:p>
            <w:pPr>
              <w:widowControl/>
              <w:spacing w:line="360" w:lineRule="exact"/>
              <w:rPr>
                <w:rFonts w:hint="eastAsia" w:ascii="宋体" w:hAnsi="宋体" w:eastAsia="宋体" w:cs="宋体"/>
                <w:lang w:eastAsia="zh-CN"/>
              </w:rPr>
            </w:pPr>
            <w:r>
              <w:rPr>
                <w:rFonts w:hint="eastAsia" w:ascii="宋体" w:hAnsi="宋体" w:cs="宋体"/>
              </w:rPr>
              <w:t>自202</w:t>
            </w:r>
            <w:r>
              <w:rPr>
                <w:rFonts w:hint="eastAsia" w:ascii="宋体" w:hAnsi="宋体" w:cs="宋体"/>
                <w:lang w:val="en-US" w:eastAsia="zh-CN"/>
              </w:rPr>
              <w:t>2</w:t>
            </w:r>
            <w:r>
              <w:rPr>
                <w:rFonts w:hint="eastAsia" w:ascii="宋体" w:hAnsi="宋体" w:cs="宋体"/>
              </w:rPr>
              <w:t>年1月1日（含）至今，以合同签订时间为准，</w:t>
            </w:r>
            <w:r>
              <w:rPr>
                <w:rFonts w:hint="eastAsia" w:ascii="宋体" w:hAnsi="宋体" w:cs="宋体"/>
                <w:lang w:eastAsia="zh-CN"/>
              </w:rPr>
              <w:t>在四川省三甲医疗的用户中，</w:t>
            </w:r>
            <w:r>
              <w:rPr>
                <w:rFonts w:hint="eastAsia" w:ascii="宋体" w:hAnsi="宋体" w:cs="宋体"/>
              </w:rPr>
              <w:t>投标人每具有一个</w:t>
            </w:r>
            <w:r>
              <w:rPr>
                <w:rFonts w:hint="eastAsia" w:ascii="宋体" w:hAnsi="宋体" w:cs="宋体"/>
                <w:lang w:val="en-US" w:eastAsia="zh-CN"/>
              </w:rPr>
              <w:t>投标产品</w:t>
            </w:r>
            <w:r>
              <w:rPr>
                <w:rFonts w:hint="eastAsia" w:ascii="宋体" w:hAnsi="宋体" w:cs="宋体"/>
              </w:rPr>
              <w:t>业绩的得1分，最高得</w:t>
            </w:r>
            <w:r>
              <w:rPr>
                <w:rFonts w:hint="eastAsia" w:ascii="宋体" w:hAnsi="宋体" w:cs="宋体"/>
                <w:lang w:val="en-US" w:eastAsia="zh-CN"/>
              </w:rPr>
              <w:t>5</w:t>
            </w:r>
            <w:r>
              <w:rPr>
                <w:rFonts w:hint="eastAsia" w:ascii="宋体" w:hAnsi="宋体" w:cs="宋体"/>
              </w:rPr>
              <w:t>分。</w:t>
            </w:r>
          </w:p>
          <w:p>
            <w:pPr>
              <w:widowControl/>
              <w:spacing w:line="360" w:lineRule="exact"/>
              <w:rPr>
                <w:rFonts w:ascii="宋体" w:hAnsi="宋体" w:cs="宋体"/>
              </w:rPr>
            </w:pPr>
            <w:r>
              <w:rPr>
                <w:rFonts w:hint="eastAsia" w:ascii="宋体" w:hAnsi="宋体" w:cs="宋体"/>
              </w:rPr>
              <w:t>注：提供项目合同复印件或中标（成交）通知书复印件并加盖投标人公章（鲜章）。</w:t>
            </w:r>
          </w:p>
        </w:tc>
        <w:tc>
          <w:tcPr>
            <w:tcW w:w="489" w:type="pct"/>
            <w:noWrap w:val="0"/>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31" w:type="pct"/>
            <w:vMerge w:val="continue"/>
            <w:noWrap w:val="0"/>
            <w:vAlign w:val="center"/>
          </w:tcPr>
          <w:p>
            <w:pPr>
              <w:spacing w:line="360" w:lineRule="exact"/>
              <w:jc w:val="center"/>
              <w:rPr>
                <w:rFonts w:hint="eastAsia" w:cs="宋体"/>
                <w:color w:val="000000"/>
                <w:kern w:val="0"/>
              </w:rPr>
            </w:pPr>
          </w:p>
        </w:tc>
        <w:tc>
          <w:tcPr>
            <w:tcW w:w="201" w:type="pct"/>
            <w:noWrap w:val="0"/>
            <w:vAlign w:val="center"/>
          </w:tcPr>
          <w:p>
            <w:pPr>
              <w:widowControl/>
              <w:spacing w:line="360" w:lineRule="exact"/>
              <w:jc w:val="center"/>
              <w:rPr>
                <w:rFonts w:hint="default" w:ascii="宋体" w:hAnsi="宋体" w:eastAsia="宋体" w:cs="Segoe UI"/>
                <w:color w:val="333333"/>
                <w:kern w:val="0"/>
                <w:lang w:val="en-US" w:eastAsia="zh-CN"/>
              </w:rPr>
            </w:pPr>
            <w:r>
              <w:rPr>
                <w:rFonts w:hint="eastAsia" w:ascii="宋体" w:hAnsi="宋体" w:eastAsia="宋体" w:cs="Segoe UI"/>
                <w:color w:val="333333"/>
                <w:kern w:val="0"/>
                <w:lang w:val="en-US" w:eastAsia="zh-CN"/>
              </w:rPr>
              <w:t>5</w:t>
            </w:r>
          </w:p>
        </w:tc>
        <w:tc>
          <w:tcPr>
            <w:tcW w:w="397" w:type="pct"/>
            <w:noWrap w:val="0"/>
            <w:vAlign w:val="center"/>
          </w:tcPr>
          <w:p>
            <w:pPr>
              <w:widowControl/>
              <w:spacing w:line="360" w:lineRule="exact"/>
              <w:jc w:val="center"/>
              <w:rPr>
                <w:rFonts w:hint="eastAsia" w:ascii="宋体" w:hAnsi="宋体" w:cs="宋体"/>
              </w:rPr>
            </w:pPr>
            <w:r>
              <w:rPr>
                <w:rFonts w:hint="eastAsia" w:ascii="宋体" w:hAnsi="宋体" w:cs="宋体"/>
              </w:rPr>
              <w:t>售后服务方案</w:t>
            </w:r>
          </w:p>
          <w:p>
            <w:pPr>
              <w:widowControl/>
              <w:spacing w:line="360" w:lineRule="exact"/>
              <w:jc w:val="center"/>
              <w:rPr>
                <w:rFonts w:ascii="宋体" w:hAnsi="宋体" w:cs="Segoe UI"/>
                <w:color w:val="000000"/>
                <w:kern w:val="0"/>
              </w:rPr>
            </w:pPr>
            <w:r>
              <w:rPr>
                <w:rFonts w:hint="eastAsia" w:ascii="宋体" w:hAnsi="宋体" w:cs="宋体"/>
              </w:rPr>
              <w:t>8%</w:t>
            </w:r>
          </w:p>
        </w:tc>
        <w:tc>
          <w:tcPr>
            <w:tcW w:w="331" w:type="pct"/>
            <w:noWrap w:val="0"/>
            <w:vAlign w:val="center"/>
          </w:tcPr>
          <w:p>
            <w:pPr>
              <w:widowControl/>
              <w:spacing w:line="360" w:lineRule="exact"/>
              <w:jc w:val="center"/>
              <w:rPr>
                <w:rFonts w:ascii="宋体" w:hAnsi="宋体" w:cs="Segoe UI"/>
                <w:color w:val="333333"/>
                <w:kern w:val="0"/>
              </w:rPr>
            </w:pPr>
            <w:r>
              <w:rPr>
                <w:rFonts w:hint="eastAsia" w:ascii="宋体" w:hAnsi="宋体" w:cs="宋体"/>
              </w:rPr>
              <w:t>8</w:t>
            </w:r>
          </w:p>
        </w:tc>
        <w:tc>
          <w:tcPr>
            <w:tcW w:w="3349" w:type="pct"/>
            <w:noWrap w:val="0"/>
            <w:vAlign w:val="center"/>
          </w:tcPr>
          <w:p>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（1）根据投标人提供的售后服务方案，包含：①质量保障方案；②技术支持方案；③应急方案；④服务响应方案。方案包含以上4个方面的得4分，每缺少一项的扣1分，每有一项存在内容缺陷扣0.5分，扣完为止。</w:t>
            </w:r>
          </w:p>
          <w:p>
            <w:pPr>
              <w:widowControl/>
              <w:spacing w:line="360" w:lineRule="exac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rPr>
            </w:pPr>
            <w:r>
              <w:rPr>
                <w:rFonts w:hint="eastAsia" w:ascii="宋体" w:hAnsi="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489" w:type="pct"/>
            <w:noWrap w:val="0"/>
            <w:vAlign w:val="center"/>
          </w:tcPr>
          <w:p>
            <w:pPr>
              <w:widowControl/>
              <w:spacing w:line="360" w:lineRule="exact"/>
              <w:jc w:val="center"/>
              <w:rPr>
                <w:rFonts w:ascii="宋体" w:hAnsi="宋体" w:cs="Segoe UI"/>
                <w:color w:val="000000"/>
                <w:kern w:val="0"/>
              </w:rPr>
            </w:pPr>
            <w:r>
              <w:rPr>
                <w:rFonts w:hint="eastAsia" w:ascii="宋体" w:hAnsi="宋体" w:cs="宋体"/>
              </w:rPr>
              <w:t>技术评审因素</w:t>
            </w:r>
          </w:p>
        </w:tc>
      </w:tr>
    </w:tbl>
    <w:p>
      <w:pPr>
        <w:pStyle w:val="3"/>
      </w:pPr>
    </w:p>
    <w:p/>
    <w:bookmarkEnd w:id="0"/>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采购文件书装订顺序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2、目录</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3、品目及报价表（格式见附件</w:t>
      </w:r>
      <w:r>
        <w:rPr>
          <w:rFonts w:hint="eastAsia" w:ascii="仿宋_GB2312" w:hAnsi="Segoe UI" w:eastAsia="仿宋_GB2312" w:cs="Segoe UI"/>
          <w:color w:val="auto"/>
          <w:spacing w:val="8"/>
          <w:kern w:val="0"/>
          <w:sz w:val="24"/>
          <w:szCs w:val="24"/>
          <w:lang w:val="en-US" w:eastAsia="zh-CN"/>
        </w:rPr>
        <w:t>4</w:t>
      </w:r>
      <w:r>
        <w:rPr>
          <w:rFonts w:hint="eastAsia" w:ascii="仿宋_GB2312" w:hAnsi="Segoe UI" w:eastAsia="仿宋_GB2312" w:cs="Segoe UI"/>
          <w:color w:val="auto"/>
          <w:spacing w:val="8"/>
          <w:kern w:val="0"/>
          <w:sz w:val="24"/>
          <w:szCs w:val="24"/>
        </w:rPr>
        <w:t>）</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4、规格型号、配置及偏离表（格式见附件</w:t>
      </w:r>
      <w:r>
        <w:rPr>
          <w:rFonts w:hint="eastAsia" w:ascii="仿宋_GB2312" w:hAnsi="Segoe UI" w:eastAsia="仿宋_GB2312" w:cs="Segoe UI"/>
          <w:color w:val="auto"/>
          <w:spacing w:val="8"/>
          <w:kern w:val="0"/>
          <w:sz w:val="24"/>
          <w:szCs w:val="24"/>
          <w:lang w:val="en-US" w:eastAsia="zh-CN"/>
        </w:rPr>
        <w:t>4</w:t>
      </w:r>
      <w:r>
        <w:rPr>
          <w:rFonts w:hint="eastAsia" w:ascii="仿宋_GB2312" w:hAnsi="Segoe UI" w:eastAsia="仿宋_GB2312" w:cs="Segoe UI"/>
          <w:color w:val="auto"/>
          <w:spacing w:val="8"/>
          <w:kern w:val="0"/>
          <w:sz w:val="24"/>
          <w:szCs w:val="24"/>
        </w:rPr>
        <w:t>）</w:t>
      </w:r>
    </w:p>
    <w:p>
      <w:pPr>
        <w:widowControl/>
        <w:shd w:val="clear" w:color="auto" w:fill="FFFFFF"/>
        <w:wordWrap w:val="0"/>
        <w:jc w:val="left"/>
        <w:rPr>
          <w:rFonts w:hint="default" w:eastAsia="仿宋_GB2312"/>
          <w:lang w:val="en-US" w:eastAsia="zh-CN"/>
        </w:rPr>
      </w:pPr>
      <w:r>
        <w:rPr>
          <w:rFonts w:hint="eastAsia" w:ascii="仿宋_GB2312" w:hAnsi="Segoe UI" w:eastAsia="仿宋_GB2312" w:cs="Segoe UI"/>
          <w:color w:val="auto"/>
          <w:kern w:val="0"/>
          <w:sz w:val="24"/>
          <w:szCs w:val="24"/>
          <w:lang w:val="en-US" w:eastAsia="zh-CN"/>
        </w:rPr>
        <w:t xml:space="preserve">    5、投标人的资格证明文件（复印件，详见采购公告）</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6</w:t>
      </w:r>
      <w:r>
        <w:rPr>
          <w:rFonts w:hint="eastAsia" w:ascii="仿宋_GB2312" w:hAnsi="Segoe UI" w:eastAsia="仿宋_GB2312" w:cs="Segoe UI"/>
          <w:color w:val="auto"/>
          <w:kern w:val="0"/>
          <w:sz w:val="24"/>
          <w:szCs w:val="24"/>
        </w:rPr>
        <w:t>、如有产品质量和企业管理体系认证（考核），请提供的有效证明文件的复印或扫描件，质量管理体系认证包括FDA、CE、ISO等认证（提供中文翻译复印件）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7</w:t>
      </w:r>
      <w:r>
        <w:rPr>
          <w:rFonts w:hint="eastAsia" w:ascii="仿宋_GB2312" w:hAnsi="Segoe UI" w:eastAsia="仿宋_GB2312" w:cs="Segoe UI"/>
          <w:color w:val="auto"/>
          <w:kern w:val="0"/>
          <w:sz w:val="24"/>
          <w:szCs w:val="24"/>
        </w:rPr>
        <w:t>、质量检测中心或法定机构出具的产品检测报告，性能自测报告，出厂检验报告的复印或扫描件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8</w:t>
      </w:r>
      <w:r>
        <w:rPr>
          <w:rFonts w:hint="eastAsia" w:ascii="仿宋_GB2312" w:hAnsi="Segoe UI" w:eastAsia="仿宋_GB2312" w:cs="Segoe UI"/>
          <w:color w:val="auto"/>
          <w:kern w:val="0"/>
          <w:sz w:val="24"/>
          <w:szCs w:val="24"/>
        </w:rPr>
        <w:t>、如有其他证书：产品在技术、节能、安全、环保和自主创新方面获得的认证证书或制造厂家和产品所获国家级荣誉称号等复印或扫描件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9</w:t>
      </w:r>
      <w:r>
        <w:rPr>
          <w:rFonts w:hint="eastAsia" w:ascii="仿宋_GB2312" w:hAnsi="Segoe UI" w:eastAsia="仿宋_GB2312" w:cs="Segoe UI"/>
          <w:color w:val="auto"/>
          <w:kern w:val="0"/>
          <w:sz w:val="24"/>
          <w:szCs w:val="24"/>
        </w:rPr>
        <w:t>、产品如有执行标准请提供相应资料（提供产品注册标准：YZB等资料供评审）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10</w:t>
      </w:r>
      <w:r>
        <w:rPr>
          <w:rFonts w:hint="eastAsia" w:ascii="仿宋_GB2312" w:hAnsi="Segoe UI" w:eastAsia="仿宋_GB2312" w:cs="Segoe UI"/>
          <w:color w:val="auto"/>
          <w:kern w:val="0"/>
          <w:sz w:val="24"/>
          <w:szCs w:val="24"/>
        </w:rPr>
        <w:t>、产品质量及货源保证书</w:t>
      </w:r>
    </w:p>
    <w:p>
      <w:pPr>
        <w:widowControl/>
        <w:shd w:val="clear" w:color="auto" w:fill="FFFFFF"/>
        <w:wordWrap w:val="0"/>
        <w:ind w:firstLine="512" w:firstLineChars="200"/>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lang w:val="en-US" w:eastAsia="zh-CN"/>
        </w:rPr>
        <w:t>11</w:t>
      </w:r>
      <w:r>
        <w:rPr>
          <w:rFonts w:hint="eastAsia" w:ascii="仿宋_GB2312" w:hAnsi="Segoe UI" w:eastAsia="仿宋_GB2312" w:cs="Segoe UI"/>
          <w:color w:val="auto"/>
          <w:spacing w:val="8"/>
          <w:kern w:val="0"/>
          <w:sz w:val="24"/>
          <w:szCs w:val="24"/>
        </w:rPr>
        <w:t>、售后</w:t>
      </w:r>
      <w:r>
        <w:rPr>
          <w:rFonts w:hint="eastAsia" w:ascii="仿宋_GB2312" w:hAnsi="Segoe UI" w:eastAsia="仿宋_GB2312" w:cs="Segoe UI"/>
          <w:color w:val="auto"/>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lang w:val="en-US" w:eastAsia="zh-CN"/>
        </w:rPr>
        <w:t>12</w:t>
      </w:r>
      <w:r>
        <w:rPr>
          <w:rFonts w:hint="eastAsia" w:ascii="仿宋_GB2312" w:hAnsi="Segoe UI" w:eastAsia="仿宋_GB2312" w:cs="Segoe UI"/>
          <w:color w:val="auto"/>
          <w:spacing w:val="8"/>
          <w:kern w:val="0"/>
          <w:sz w:val="24"/>
          <w:szCs w:val="24"/>
        </w:rPr>
        <w:t>、如有，提供进口原材料证明书或产品报关资料等</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lang w:val="en-US" w:eastAsia="zh-CN"/>
        </w:rPr>
        <w:t>13</w:t>
      </w:r>
      <w:r>
        <w:rPr>
          <w:rFonts w:hint="eastAsia" w:ascii="仿宋_GB2312" w:hAnsi="Segoe UI" w:eastAsia="仿宋_GB2312" w:cs="Segoe UI"/>
          <w:color w:val="auto"/>
          <w:spacing w:val="8"/>
          <w:kern w:val="0"/>
          <w:sz w:val="24"/>
          <w:szCs w:val="24"/>
        </w:rPr>
        <w:t>、产品说明书或</w:t>
      </w:r>
      <w:r>
        <w:rPr>
          <w:rFonts w:hint="eastAsia" w:ascii="仿宋_GB2312" w:hAnsi="Segoe UI" w:eastAsia="仿宋_GB2312" w:cs="Segoe UI"/>
          <w:color w:val="auto"/>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14</w:t>
      </w:r>
      <w:r>
        <w:rPr>
          <w:rFonts w:hint="eastAsia" w:ascii="仿宋_GB2312" w:hAnsi="Segoe UI" w:eastAsia="仿宋_GB2312" w:cs="Segoe UI"/>
          <w:color w:val="auto"/>
          <w:kern w:val="0"/>
          <w:sz w:val="24"/>
          <w:szCs w:val="24"/>
        </w:rPr>
        <w:t>、业绩证明文件（用户名单及联系人与联系方式，格式见附件</w:t>
      </w:r>
      <w:r>
        <w:rPr>
          <w:rFonts w:hint="eastAsia" w:ascii="仿宋_GB2312" w:hAnsi="Segoe UI" w:eastAsia="仿宋_GB2312" w:cs="Segoe UI"/>
          <w:color w:val="auto"/>
          <w:kern w:val="0"/>
          <w:sz w:val="24"/>
          <w:szCs w:val="24"/>
          <w:lang w:val="en-US" w:eastAsia="zh-CN"/>
        </w:rPr>
        <w:t>4</w:t>
      </w:r>
      <w:r>
        <w:rPr>
          <w:rFonts w:hint="eastAsia" w:ascii="仿宋_GB2312" w:hAnsi="Segoe UI" w:eastAsia="仿宋_GB2312" w:cs="Segoe UI"/>
          <w:color w:val="auto"/>
          <w:kern w:val="0"/>
          <w:sz w:val="24"/>
          <w:szCs w:val="24"/>
        </w:rPr>
        <w:t>），并提供相应证明文件，要求见评分办法“业绩”说明</w:t>
      </w:r>
    </w:p>
    <w:p>
      <w:pPr>
        <w:widowControl/>
        <w:shd w:val="clear" w:color="auto" w:fill="FFFFFF"/>
        <w:wordWrap w:val="0"/>
        <w:ind w:firstLine="48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lang w:val="en-US" w:eastAsia="zh-CN"/>
        </w:rPr>
        <w:t>15</w:t>
      </w:r>
      <w:r>
        <w:rPr>
          <w:rFonts w:hint="eastAsia" w:ascii="仿宋_GB2312" w:hAnsi="Segoe UI" w:eastAsia="仿宋_GB2312" w:cs="Segoe UI"/>
          <w:color w:val="auto"/>
          <w:kern w:val="0"/>
          <w:sz w:val="24"/>
          <w:szCs w:val="24"/>
        </w:rPr>
        <w:t>、如有，国家规定的其它相关资质证明文件或其它涉及特许经营许可的须提供相关证书。如：卫生许可证、药品经营许可证、生产批件或新药证书等</w:t>
      </w:r>
    </w:p>
    <w:p>
      <w:pPr>
        <w:pStyle w:val="2"/>
        <w:ind w:firstLine="480" w:firstLineChars="200"/>
        <w:rPr>
          <w:rFonts w:hint="default" w:eastAsiaTheme="minorEastAsia"/>
          <w:lang w:val="en-US" w:eastAsia="zh-CN"/>
        </w:rPr>
      </w:pPr>
      <w:r>
        <w:rPr>
          <w:rFonts w:hint="eastAsia" w:ascii="仿宋_GB2312" w:hAnsi="仿宋_GB2312" w:eastAsia="仿宋_GB2312" w:cs="仿宋_GB2312"/>
          <w:sz w:val="24"/>
          <w:lang w:val="en-US" w:eastAsia="zh-CN"/>
        </w:rPr>
        <w:t>16、如有其它补充文件，请自行补充</w:t>
      </w:r>
    </w:p>
    <w:p>
      <w:pPr>
        <w:widowControl/>
        <w:shd w:val="clear" w:color="auto" w:fill="FFFFFF"/>
        <w:wordWrap w:val="0"/>
        <w:ind w:firstLine="480"/>
        <w:jc w:val="left"/>
        <w:rPr>
          <w:rFonts w:hint="eastAsia" w:ascii="仿宋_GB2312" w:hAnsi="Segoe UI" w:eastAsia="仿宋_GB2312" w:cs="Segoe UI"/>
          <w:color w:val="auto"/>
          <w:spacing w:val="8"/>
          <w:kern w:val="0"/>
          <w:sz w:val="24"/>
          <w:szCs w:val="24"/>
        </w:rPr>
      </w:pPr>
      <w:r>
        <w:rPr>
          <w:rFonts w:hint="eastAsia" w:ascii="仿宋_GB2312" w:hAnsi="Segoe UI" w:eastAsia="仿宋_GB2312" w:cs="Segoe UI"/>
          <w:color w:val="auto"/>
          <w:kern w:val="0"/>
          <w:sz w:val="24"/>
          <w:szCs w:val="24"/>
          <w:lang w:val="en-US" w:eastAsia="zh-CN"/>
        </w:rPr>
        <w:t>17</w:t>
      </w:r>
      <w:r>
        <w:rPr>
          <w:rFonts w:hint="eastAsia" w:ascii="仿宋_GB2312" w:hAnsi="Segoe UI" w:eastAsia="仿宋_GB2312" w:cs="Segoe UI"/>
          <w:color w:val="auto"/>
          <w:kern w:val="0"/>
          <w:sz w:val="24"/>
          <w:szCs w:val="24"/>
        </w:rPr>
        <w:t>、</w:t>
      </w:r>
      <w:r>
        <w:rPr>
          <w:rFonts w:hint="eastAsia" w:ascii="仿宋_GB2312" w:hAnsi="Segoe UI" w:eastAsia="仿宋_GB2312" w:cs="Segoe UI"/>
          <w:color w:val="auto"/>
          <w:spacing w:val="8"/>
          <w:kern w:val="0"/>
          <w:sz w:val="24"/>
          <w:szCs w:val="24"/>
        </w:rPr>
        <w:t>封底</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注：请</w:t>
      </w:r>
      <w:r>
        <w:rPr>
          <w:rFonts w:hint="eastAsia" w:ascii="仿宋_GB2312" w:hAnsi="Segoe UI" w:eastAsia="仿宋_GB2312" w:cs="Segoe UI"/>
          <w:b/>
          <w:bCs/>
          <w:color w:val="auto"/>
          <w:kern w:val="0"/>
          <w:sz w:val="24"/>
          <w:szCs w:val="24"/>
          <w:lang w:val="en-US" w:eastAsia="zh-CN"/>
        </w:rPr>
        <w:t>参照</w:t>
      </w:r>
      <w:r>
        <w:rPr>
          <w:rFonts w:hint="eastAsia" w:ascii="仿宋_GB2312" w:hAnsi="Segoe UI" w:eastAsia="仿宋_GB2312" w:cs="Segoe UI"/>
          <w:b/>
          <w:bCs/>
          <w:color w:val="auto"/>
          <w:kern w:val="0"/>
          <w:sz w:val="24"/>
          <w:szCs w:val="24"/>
        </w:rPr>
        <w:t>以上顺序装订资料，如有非中文资料，请同时提供中文翻译件。</w:t>
      </w:r>
    </w:p>
    <w:p>
      <w:pPr>
        <w:widowControl/>
        <w:jc w:val="left"/>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br w:type="page"/>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附件4：主要表格格式</w:t>
      </w:r>
    </w:p>
    <w:p>
      <w:pPr>
        <w:widowControl/>
        <w:shd w:val="clear" w:color="auto" w:fill="FFFFFF"/>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附件4-1：</w:t>
      </w:r>
    </w:p>
    <w:p>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偏离表</w:t>
      </w:r>
    </w:p>
    <w:tbl>
      <w:tblPr>
        <w:tblStyle w:val="12"/>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1、偏离表</w:t>
      </w:r>
      <w:r>
        <w:rPr>
          <w:rFonts w:hint="eastAsia" w:ascii="仿宋_GB2312" w:hAnsi="Segoe UI" w:eastAsia="仿宋_GB2312" w:cs="Segoe UI"/>
          <w:color w:val="auto"/>
          <w:kern w:val="0"/>
          <w:sz w:val="22"/>
          <w:lang w:val="en-US" w:eastAsia="zh-CN"/>
        </w:rPr>
        <w:t>内容包含技术要求、商务要求，</w:t>
      </w:r>
      <w:r>
        <w:rPr>
          <w:rFonts w:hint="eastAsia" w:ascii="仿宋_GB2312" w:hAnsi="Segoe UI" w:eastAsia="仿宋_GB2312" w:cs="Segoe UI"/>
          <w:color w:val="auto"/>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2．投标文件中与招标文件要求有负偏离的内容必须在此表中列出，否则视为无效投标。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auto"/>
          <w:kern w:val="0"/>
          <w:sz w:val="24"/>
          <w:szCs w:val="24"/>
        </w:rPr>
      </w:pP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附件4-2：</w:t>
      </w:r>
    </w:p>
    <w:p>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pPr>
        <w:widowControl/>
        <w:shd w:val="clear" w:color="auto" w:fill="FFFFFF"/>
        <w:wordWrap w:val="0"/>
        <w:spacing w:line="270" w:lineRule="atLeast"/>
        <w:jc w:val="left"/>
        <w:rPr>
          <w:rFonts w:ascii="Segoe UI" w:hAnsi="Segoe UI" w:eastAsia="宋体" w:cs="Segoe UI"/>
          <w:color w:val="auto"/>
          <w:kern w:val="0"/>
          <w:sz w:val="18"/>
          <w:szCs w:val="18"/>
        </w:rPr>
      </w:pPr>
      <w:bookmarkStart w:id="2" w:name="_Toc95295163"/>
      <w:bookmarkEnd w:id="2"/>
      <w:r>
        <w:rPr>
          <w:rFonts w:hint="eastAsia" w:ascii="仿宋_GB2312" w:hAnsi="Segoe UI" w:eastAsia="仿宋_GB2312" w:cs="Segoe UI"/>
          <w:b/>
          <w:bCs/>
          <w:color w:val="auto"/>
          <w:kern w:val="0"/>
          <w:sz w:val="24"/>
          <w:szCs w:val="24"/>
        </w:rPr>
        <w:t>附件4-3：</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品目及报价表</w:t>
      </w:r>
    </w:p>
    <w:tbl>
      <w:tblPr>
        <w:tblStyle w:val="12"/>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产品</w:t>
            </w:r>
          </w:p>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单价</w:t>
            </w:r>
          </w:p>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bl>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4.“品目及报价表”需单独密封。</w:t>
      </w:r>
    </w:p>
    <w:p>
      <w:pPr>
        <w:widowControl/>
        <w:shd w:val="clear" w:color="auto" w:fill="FFFFFF"/>
        <w:wordWrap w:val="0"/>
        <w:jc w:val="left"/>
        <w:rPr>
          <w:rFonts w:hint="eastAsia" w:ascii="仿宋_GB2312" w:hAnsi="Segoe UI" w:eastAsia="仿宋_GB2312" w:cs="Segoe UI"/>
          <w:color w:val="auto"/>
          <w:kern w:val="0"/>
          <w:sz w:val="24"/>
          <w:szCs w:val="24"/>
          <w:lang w:eastAsia="zh-CN"/>
        </w:rPr>
      </w:pPr>
      <w:r>
        <w:rPr>
          <w:rFonts w:hint="eastAsia" w:ascii="仿宋_GB2312" w:hAnsi="Segoe UI" w:eastAsia="仿宋_GB2312" w:cs="Segoe UI"/>
          <w:color w:val="auto"/>
          <w:kern w:val="0"/>
          <w:sz w:val="24"/>
          <w:szCs w:val="24"/>
        </w:rPr>
        <w:t>5</w:t>
      </w:r>
      <w:r>
        <w:rPr>
          <w:rFonts w:hint="eastAsia" w:ascii="仿宋_GB2312" w:hAnsi="Segoe UI" w:eastAsia="仿宋_GB2312" w:cs="Segoe UI"/>
          <w:color w:val="auto"/>
          <w:kern w:val="0"/>
          <w:sz w:val="24"/>
          <w:szCs w:val="24"/>
          <w:lang w:eastAsia="zh-CN"/>
        </w:rPr>
        <w:t>.</w:t>
      </w:r>
      <w:r>
        <w:rPr>
          <w:rFonts w:hint="eastAsia" w:ascii="仿宋_GB2312" w:hAnsi="Segoe UI" w:eastAsia="仿宋_GB2312" w:cs="Segoe UI"/>
          <w:color w:val="auto"/>
          <w:kern w:val="0"/>
          <w:sz w:val="24"/>
          <w:szCs w:val="24"/>
        </w:rPr>
        <w:t>如有配套耗材，请参照此表报价</w:t>
      </w:r>
      <w:r>
        <w:rPr>
          <w:rFonts w:hint="eastAsia" w:ascii="仿宋_GB2312" w:hAnsi="Segoe UI" w:eastAsia="仿宋_GB2312" w:cs="Segoe UI"/>
          <w:color w:val="auto"/>
          <w:kern w:val="0"/>
          <w:sz w:val="24"/>
          <w:szCs w:val="24"/>
          <w:lang w:eastAsia="zh-CN"/>
        </w:rPr>
        <w:t>。</w:t>
      </w:r>
      <w:r>
        <w:rPr>
          <w:rFonts w:hint="eastAsia" w:ascii="仿宋_GB2312" w:hAnsi="Segoe UI" w:eastAsia="仿宋_GB2312" w:cs="Segoe UI"/>
          <w:color w:val="auto"/>
          <w:kern w:val="0"/>
          <w:sz w:val="24"/>
          <w:szCs w:val="24"/>
          <w:lang w:val="en-US" w:eastAsia="zh-CN"/>
        </w:rPr>
        <w:t>请以</w:t>
      </w:r>
      <w:r>
        <w:rPr>
          <w:rFonts w:hint="eastAsia" w:ascii="仿宋_GB2312" w:hAnsi="Segoe UI" w:eastAsia="仿宋_GB2312" w:cs="Segoe UI"/>
          <w:color w:val="auto"/>
          <w:kern w:val="0"/>
          <w:sz w:val="24"/>
          <w:szCs w:val="24"/>
          <w:lang w:eastAsia="zh-CN"/>
        </w:rPr>
        <w:t>最小完整包装单位进行报价（如：盒/瓶/套），不得拆分包装内的子项目单独报价。若试剂原厂包装包含多个检测项目（例如：1盒试剂含多个项目），需按完整包装总价报价，并注明包装内所含项目明细及数量。拆分报价视为无效投标。</w:t>
      </w:r>
    </w:p>
    <w:p>
      <w:pPr>
        <w:widowControl/>
        <w:shd w:val="clear" w:color="auto" w:fill="FFFFFF"/>
        <w:wordWrap w:val="0"/>
        <w:jc w:val="left"/>
        <w:rPr>
          <w:rFonts w:hint="eastAsia" w:ascii="仿宋_GB2312" w:hAnsi="Segoe UI" w:eastAsia="仿宋_GB2312" w:cs="Segoe UI"/>
          <w:b w:val="0"/>
          <w:bCs/>
          <w:color w:val="auto"/>
          <w:kern w:val="0"/>
          <w:sz w:val="24"/>
          <w:szCs w:val="24"/>
        </w:rPr>
      </w:pPr>
      <w:r>
        <w:rPr>
          <w:rFonts w:hint="eastAsia" w:ascii="仿宋_GB2312" w:hAnsi="Segoe UI" w:eastAsia="仿宋_GB2312" w:cs="Segoe UI"/>
          <w:b w:val="0"/>
          <w:bCs/>
          <w:color w:val="auto"/>
          <w:kern w:val="0"/>
          <w:sz w:val="24"/>
          <w:szCs w:val="24"/>
        </w:rPr>
        <w:t>6</w:t>
      </w:r>
      <w:r>
        <w:rPr>
          <w:rFonts w:hint="eastAsia" w:ascii="仿宋_GB2312" w:hAnsi="Segoe UI" w:eastAsia="仿宋_GB2312" w:cs="Segoe UI"/>
          <w:b w:val="0"/>
          <w:bCs/>
          <w:color w:val="auto"/>
          <w:kern w:val="0"/>
          <w:sz w:val="24"/>
          <w:szCs w:val="24"/>
          <w:lang w:eastAsia="zh-CN"/>
        </w:rPr>
        <w:t>.</w:t>
      </w:r>
      <w:r>
        <w:rPr>
          <w:rFonts w:hint="eastAsia" w:ascii="仿宋_GB2312" w:hAnsi="Segoe UI" w:eastAsia="仿宋_GB2312" w:cs="Segoe UI"/>
          <w:b w:val="0"/>
          <w:bCs/>
          <w:color w:val="auto"/>
          <w:kern w:val="0"/>
          <w:sz w:val="24"/>
          <w:szCs w:val="24"/>
        </w:rPr>
        <w:t>如有多种规格，请按每种规格分别报价，产品的最终计算单价以不同规格报价的均价为准。</w:t>
      </w:r>
    </w:p>
    <w:p>
      <w:pPr>
        <w:pStyle w:val="2"/>
        <w:rPr>
          <w:rFonts w:hint="default" w:eastAsia="仿宋_GB2312"/>
          <w:b w:val="0"/>
          <w:bCs/>
          <w:lang w:val="en-US" w:eastAsia="zh-CN"/>
        </w:rPr>
      </w:pPr>
      <w:r>
        <w:rPr>
          <w:rFonts w:hint="eastAsia" w:ascii="仿宋_GB2312" w:hAnsi="Segoe UI" w:eastAsia="仿宋_GB2312" w:cs="Segoe UI"/>
          <w:b w:val="0"/>
          <w:bCs/>
          <w:color w:val="auto"/>
          <w:kern w:val="0"/>
          <w:sz w:val="24"/>
          <w:szCs w:val="24"/>
          <w:lang w:val="en-US" w:eastAsia="zh-CN"/>
        </w:rPr>
        <w:t>7.试剂不进行二轮报价。</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法定代表人或授权代表（签字）：日期：</w:t>
      </w:r>
    </w:p>
    <w:p>
      <w:pPr>
        <w:pStyle w:val="2"/>
        <w:rPr>
          <w:rFonts w:hint="eastAsia" w:ascii="仿宋_GB2312" w:hAnsi="Segoe UI" w:eastAsia="仿宋_GB2312" w:cs="Segoe UI"/>
          <w:color w:val="auto"/>
          <w:kern w:val="0"/>
          <w:sz w:val="24"/>
          <w:szCs w:val="24"/>
        </w:rPr>
      </w:pPr>
    </w:p>
    <w:p>
      <w:pPr>
        <w:jc w:val="left"/>
        <w:rPr>
          <w:rFonts w:asciiTheme="minorHAnsi" w:hAnsiTheme="minorHAnsi" w:eastAsiaTheme="minorEastAsia" w:cstheme="minorBidi"/>
          <w:kern w:val="2"/>
          <w:sz w:val="21"/>
          <w:szCs w:val="22"/>
          <w:lang w:val="en-US" w:eastAsia="zh-CN" w:bidi="ar-SA"/>
        </w:rPr>
      </w:pPr>
    </w:p>
    <w:p>
      <w:pPr>
        <w:widowControl/>
        <w:shd w:val="clear" w:color="auto" w:fill="FFFFFF"/>
        <w:wordWrap w:val="0"/>
        <w:ind w:left="720" w:hanging="72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附件4-4：</w:t>
      </w:r>
      <w:r>
        <w:rPr>
          <w:rFonts w:hint="eastAsia" w:ascii="黑体" w:hAnsi="黑体" w:eastAsia="黑体" w:cs="Segoe UI"/>
          <w:b/>
          <w:bCs/>
          <w:color w:val="auto"/>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（法定代表人姓名、职务）授权（被授权人姓名、职务）为我方</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附件6：</w:t>
      </w:r>
    </w:p>
    <w:p>
      <w:pPr>
        <w:pStyle w:val="2"/>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附件7：</w:t>
      </w:r>
    </w:p>
    <w:p>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pPr>
        <w:jc w:val="center"/>
        <w:rPr>
          <w:rFonts w:ascii="Times New Roman" w:hAnsi="Times New Roman" w:cs="Times New Roman"/>
          <w:color w:val="auto"/>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4A7754"/>
    <w:multiLevelType w:val="singleLevel"/>
    <w:tmpl w:val="D54A7754"/>
    <w:lvl w:ilvl="0" w:tentative="0">
      <w:start w:val="4"/>
      <w:numFmt w:val="chineseCounting"/>
      <w:suff w:val="nothing"/>
      <w:lvlText w:val="%1、"/>
      <w:lvlJc w:val="left"/>
      <w:rPr>
        <w:rFonts w:hint="eastAsia"/>
      </w:rPr>
    </w:lvl>
  </w:abstractNum>
  <w:abstractNum w:abstractNumId="1">
    <w:nsid w:val="227CD8DE"/>
    <w:multiLevelType w:val="singleLevel"/>
    <w:tmpl w:val="227CD8DE"/>
    <w:lvl w:ilvl="0" w:tentative="0">
      <w:start w:val="5"/>
      <w:numFmt w:val="decimal"/>
      <w:lvlText w:val="%1."/>
      <w:lvlJc w:val="left"/>
      <w:pPr>
        <w:tabs>
          <w:tab w:val="left" w:pos="312"/>
        </w:tabs>
      </w:pPr>
    </w:lvl>
  </w:abstractNum>
  <w:abstractNum w:abstractNumId="2">
    <w:nsid w:val="56C4FF43"/>
    <w:multiLevelType w:val="singleLevel"/>
    <w:tmpl w:val="56C4FF43"/>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0F2FBF"/>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1E06A99"/>
    <w:rsid w:val="01FA13EF"/>
    <w:rsid w:val="02B27DEE"/>
    <w:rsid w:val="03CC59BF"/>
    <w:rsid w:val="03E545BA"/>
    <w:rsid w:val="047F41C1"/>
    <w:rsid w:val="06181458"/>
    <w:rsid w:val="06186C78"/>
    <w:rsid w:val="06403EE4"/>
    <w:rsid w:val="0809162A"/>
    <w:rsid w:val="083A1CBA"/>
    <w:rsid w:val="08552EB3"/>
    <w:rsid w:val="08E067A9"/>
    <w:rsid w:val="09883DB3"/>
    <w:rsid w:val="0B7702C0"/>
    <w:rsid w:val="0B890D43"/>
    <w:rsid w:val="0BD63719"/>
    <w:rsid w:val="0C0A0390"/>
    <w:rsid w:val="0C69586C"/>
    <w:rsid w:val="0CA92162"/>
    <w:rsid w:val="0D6A7AF2"/>
    <w:rsid w:val="0E9B5314"/>
    <w:rsid w:val="0EB033E5"/>
    <w:rsid w:val="10AE580A"/>
    <w:rsid w:val="11CD7309"/>
    <w:rsid w:val="12906D89"/>
    <w:rsid w:val="12E17349"/>
    <w:rsid w:val="134A0345"/>
    <w:rsid w:val="15196603"/>
    <w:rsid w:val="15B626DC"/>
    <w:rsid w:val="15D20258"/>
    <w:rsid w:val="17E0197B"/>
    <w:rsid w:val="18472232"/>
    <w:rsid w:val="18B93B85"/>
    <w:rsid w:val="19206A0E"/>
    <w:rsid w:val="192A70CD"/>
    <w:rsid w:val="19761A7B"/>
    <w:rsid w:val="19E954D2"/>
    <w:rsid w:val="1A707F41"/>
    <w:rsid w:val="1C624763"/>
    <w:rsid w:val="1DE05766"/>
    <w:rsid w:val="1E997E27"/>
    <w:rsid w:val="1F19224C"/>
    <w:rsid w:val="1F5A67EC"/>
    <w:rsid w:val="1FAF5D1E"/>
    <w:rsid w:val="1FD176EC"/>
    <w:rsid w:val="20215CDC"/>
    <w:rsid w:val="211E0E79"/>
    <w:rsid w:val="212F2EA4"/>
    <w:rsid w:val="22827069"/>
    <w:rsid w:val="229A64BD"/>
    <w:rsid w:val="22F464E8"/>
    <w:rsid w:val="24A33CB9"/>
    <w:rsid w:val="25933A00"/>
    <w:rsid w:val="263133EF"/>
    <w:rsid w:val="275B43E3"/>
    <w:rsid w:val="285D2747"/>
    <w:rsid w:val="28AC38B3"/>
    <w:rsid w:val="28E254DE"/>
    <w:rsid w:val="2B742A3A"/>
    <w:rsid w:val="2ECF39F6"/>
    <w:rsid w:val="2EE87601"/>
    <w:rsid w:val="2F9049E6"/>
    <w:rsid w:val="31336B9D"/>
    <w:rsid w:val="31FB7325"/>
    <w:rsid w:val="33B0104D"/>
    <w:rsid w:val="3459137F"/>
    <w:rsid w:val="351D2E6B"/>
    <w:rsid w:val="35E40AE0"/>
    <w:rsid w:val="368F2498"/>
    <w:rsid w:val="37101C72"/>
    <w:rsid w:val="375C3E0F"/>
    <w:rsid w:val="38D806EF"/>
    <w:rsid w:val="38ED2171"/>
    <w:rsid w:val="395149AF"/>
    <w:rsid w:val="3955089B"/>
    <w:rsid w:val="3955563A"/>
    <w:rsid w:val="398C201F"/>
    <w:rsid w:val="39CE1F6A"/>
    <w:rsid w:val="3A493FE5"/>
    <w:rsid w:val="3C864743"/>
    <w:rsid w:val="3DA970F6"/>
    <w:rsid w:val="3DB632A9"/>
    <w:rsid w:val="3DE462AE"/>
    <w:rsid w:val="3E38673D"/>
    <w:rsid w:val="41016309"/>
    <w:rsid w:val="41201061"/>
    <w:rsid w:val="41337157"/>
    <w:rsid w:val="45FE0BC5"/>
    <w:rsid w:val="462A26FB"/>
    <w:rsid w:val="473577A3"/>
    <w:rsid w:val="47717868"/>
    <w:rsid w:val="47A53522"/>
    <w:rsid w:val="49141AF9"/>
    <w:rsid w:val="498B6D72"/>
    <w:rsid w:val="499556B2"/>
    <w:rsid w:val="49A664ED"/>
    <w:rsid w:val="4A7F6A22"/>
    <w:rsid w:val="4A9A19FE"/>
    <w:rsid w:val="4B2D6AF7"/>
    <w:rsid w:val="4B671727"/>
    <w:rsid w:val="4BD0709E"/>
    <w:rsid w:val="4C76008D"/>
    <w:rsid w:val="4F954CC0"/>
    <w:rsid w:val="4FEA1E5B"/>
    <w:rsid w:val="51A72EFC"/>
    <w:rsid w:val="51BA020E"/>
    <w:rsid w:val="53983A49"/>
    <w:rsid w:val="57075B3E"/>
    <w:rsid w:val="59213BB4"/>
    <w:rsid w:val="59DD504C"/>
    <w:rsid w:val="5ABB71FA"/>
    <w:rsid w:val="5B1829CF"/>
    <w:rsid w:val="5CC1509B"/>
    <w:rsid w:val="5DD20C16"/>
    <w:rsid w:val="5F381B5D"/>
    <w:rsid w:val="5F71086F"/>
    <w:rsid w:val="5FD013FE"/>
    <w:rsid w:val="60021495"/>
    <w:rsid w:val="622F0396"/>
    <w:rsid w:val="63902AC3"/>
    <w:rsid w:val="63D266D5"/>
    <w:rsid w:val="642D103F"/>
    <w:rsid w:val="66341D0E"/>
    <w:rsid w:val="6CA02C6A"/>
    <w:rsid w:val="6D8C2362"/>
    <w:rsid w:val="6E011585"/>
    <w:rsid w:val="6F0B72BF"/>
    <w:rsid w:val="70093271"/>
    <w:rsid w:val="700B2FC9"/>
    <w:rsid w:val="70ED05F8"/>
    <w:rsid w:val="71573D01"/>
    <w:rsid w:val="72571257"/>
    <w:rsid w:val="72926C09"/>
    <w:rsid w:val="734A410E"/>
    <w:rsid w:val="739E1D59"/>
    <w:rsid w:val="7481459E"/>
    <w:rsid w:val="76451E51"/>
    <w:rsid w:val="76935636"/>
    <w:rsid w:val="77CF51AC"/>
    <w:rsid w:val="7A0C7325"/>
    <w:rsid w:val="7A370C4A"/>
    <w:rsid w:val="7BEC5C87"/>
    <w:rsid w:val="7DAB1B13"/>
    <w:rsid w:val="7EE56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9"/>
    <w:unhideWhenUsed/>
    <w:qFormat/>
    <w:uiPriority w:val="99"/>
    <w:pPr>
      <w:spacing w:after="120"/>
    </w:pPr>
    <w:rPr>
      <w:szCs w:val="24"/>
    </w:rPr>
  </w:style>
  <w:style w:type="paragraph" w:styleId="4">
    <w:name w:val="toc 7"/>
    <w:basedOn w:val="1"/>
    <w:next w:val="1"/>
    <w:qFormat/>
    <w:uiPriority w:val="0"/>
    <w:pPr>
      <w:ind w:left="1200"/>
    </w:pPr>
    <w:rPr>
      <w:rFonts w:ascii="Calibri"/>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Plain Text"/>
    <w:basedOn w:val="1"/>
    <w:qFormat/>
    <w:uiPriority w:val="0"/>
    <w:rPr>
      <w:rFonts w:ascii="宋体" w:hAnsi="Courier New" w:eastAsia="宋体" w:cs="Courier New"/>
      <w:szCs w:val="21"/>
    </w:rPr>
  </w:style>
  <w:style w:type="paragraph" w:styleId="7">
    <w:name w:val="Body Text Indent 2"/>
    <w:basedOn w:val="1"/>
    <w:qFormat/>
    <w:uiPriority w:val="0"/>
    <w:pPr>
      <w:spacing w:after="120" w:afterLines="0" w:line="480" w:lineRule="auto"/>
      <w:ind w:left="420" w:leftChars="200"/>
    </w:p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qFormat/>
    <w:uiPriority w:val="98"/>
    <w:pPr>
      <w:spacing w:before="240" w:after="60"/>
      <w:jc w:val="center"/>
      <w:outlineLvl w:val="0"/>
    </w:pPr>
    <w:rPr>
      <w:rFonts w:ascii="等线 Light" w:hAnsi="等线 Light"/>
      <w:b/>
      <w:bCs/>
      <w:sz w:val="32"/>
      <w:szCs w:val="32"/>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5">
    <w:name w:val="Default"/>
    <w:basedOn w:val="11"/>
    <w:next w:val="3"/>
    <w:qFormat/>
    <w:uiPriority w:val="99"/>
    <w:pPr>
      <w:autoSpaceDE w:val="0"/>
      <w:autoSpaceDN w:val="0"/>
      <w:adjustRightInd w:val="0"/>
    </w:pPr>
    <w:rPr>
      <w:rFonts w:ascii="宋体" w:hAnsi="Times New Roman" w:cs="宋体"/>
      <w:color w:val="000000"/>
      <w:sz w:val="24"/>
      <w:szCs w:val="24"/>
    </w:rPr>
  </w:style>
  <w:style w:type="character" w:customStyle="1" w:styleId="16">
    <w:name w:val="页眉 字符"/>
    <w:basedOn w:val="14"/>
    <w:link w:val="9"/>
    <w:qFormat/>
    <w:uiPriority w:val="99"/>
    <w:rPr>
      <w:sz w:val="18"/>
      <w:szCs w:val="18"/>
    </w:rPr>
  </w:style>
  <w:style w:type="character" w:customStyle="1" w:styleId="17">
    <w:name w:val="页脚 字符"/>
    <w:basedOn w:val="14"/>
    <w:link w:val="8"/>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字符"/>
    <w:basedOn w:val="14"/>
    <w:link w:val="2"/>
    <w:qFormat/>
    <w:uiPriority w:val="99"/>
    <w:rPr>
      <w:szCs w:val="24"/>
    </w:rPr>
  </w:style>
  <w:style w:type="paragraph" w:customStyle="1" w:styleId="20">
    <w:name w:val="样式 首行缩进:  2 字符"/>
    <w:basedOn w:val="1"/>
    <w:qFormat/>
    <w:uiPriority w:val="0"/>
    <w:pPr>
      <w:spacing w:line="400" w:lineRule="exact"/>
      <w:ind w:firstLine="200" w:firstLineChars="200"/>
    </w:pPr>
    <w:rPr>
      <w:rFonts w:cs="宋体"/>
      <w:sz w:val="24"/>
    </w:rPr>
  </w:style>
  <w:style w:type="paragraph" w:customStyle="1" w:styleId="21">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3571</Words>
  <Characters>3808</Characters>
  <Lines>58</Lines>
  <Paragraphs>16</Paragraphs>
  <TotalTime>20</TotalTime>
  <ScaleCrop>false</ScaleCrop>
  <LinksUpToDate>false</LinksUpToDate>
  <CharactersWithSpaces>3869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WPS_1569841065</cp:lastModifiedBy>
  <cp:lastPrinted>2025-04-29T03:53:00Z</cp:lastPrinted>
  <dcterms:modified xsi:type="dcterms:W3CDTF">2025-06-19T03:39:20Z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06887F346064436283D2F9769A26DFB5_13</vt:lpwstr>
  </property>
  <property fmtid="{D5CDD505-2E9C-101B-9397-08002B2CF9AE}" pid="4" name="KSOTemplateDocerSaveRecord">
    <vt:lpwstr>eyJoZGlkIjoiNzZiMTRhYzQ5NzUzZjJmNGVkNzRmYmRlNjYxMjM0NzgiLCJ1c2VySWQiOiI3NjYyOTE4MjQifQ==</vt:lpwstr>
  </property>
</Properties>
</file>