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bookmarkStart w:id="1" w:name="OLE_LINK5"/>
            <w:r>
              <w:rPr>
                <w:rFonts w:hint="default" w:ascii="宋体" w:hAnsi="宋体" w:eastAsia="宋体" w:cs="宋体"/>
                <w:bCs/>
                <w:kern w:val="2"/>
                <w:sz w:val="21"/>
                <w:szCs w:val="22"/>
                <w:lang w:val="en-US" w:eastAsia="zh-CN" w:bidi="ar-SA"/>
              </w:rPr>
              <w:t>呼吸道病原体快速核酸检测</w:t>
            </w:r>
            <w:bookmarkEnd w:id="1"/>
            <w:r>
              <w:rPr>
                <w:rFonts w:hint="default" w:ascii="宋体" w:hAnsi="宋体" w:eastAsia="宋体" w:cs="宋体"/>
                <w:bCs/>
                <w:kern w:val="2"/>
                <w:sz w:val="21"/>
                <w:szCs w:val="22"/>
                <w:lang w:val="en-US" w:eastAsia="zh-CN" w:bidi="ar-SA"/>
              </w:rPr>
              <w:t>设备</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宋体" w:eastAsia="宋体" w:cs="Times New Roman"/>
                <w:color w:val="000000"/>
                <w:lang w:val="en-US" w:eastAsia="zh-CN"/>
              </w:rPr>
              <w:t>2</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0.4</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color w:val="auto"/>
        </w:rPr>
        <w:t>说明：</w:t>
      </w:r>
      <w:r>
        <w:rPr>
          <w:rFonts w:hint="eastAsia" w:ascii="宋体" w:hAnsi="宋体" w:eastAsia="宋体" w:cs="宋体"/>
          <w:color w:val="auto"/>
          <w:kern w:val="0"/>
          <w:lang w:val="en-US" w:eastAsia="zh-CN"/>
        </w:rPr>
        <w:t>★条款为本次招标项目的实质性要求，不允许负偏离。以上技术条款需要逐条提供佐证材料，佐证材料为投标产品说明书或公开发行的彩页或技术白皮书或国家认可的第三方检测机构出具的检测报告，并加盖投标人公章。</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▲全自动检测功能</w:t>
      </w:r>
      <w:r>
        <w:rPr>
          <w:rFonts w:hint="eastAsia" w:ascii="宋体" w:hAnsi="宋体" w:eastAsia="宋体" w:cs="宋体"/>
          <w:color w:val="auto"/>
          <w:sz w:val="21"/>
          <w:szCs w:val="21"/>
        </w:rPr>
        <w:t>：仪器需全自动实现加样、核酸提取（释放）、反应体系构建、基因扩增、检测、结果判断等全流程操作，全过程无需手工干预。</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★配套试剂与检测项目</w:t>
      </w:r>
      <w:r>
        <w:rPr>
          <w:rFonts w:hint="eastAsia" w:ascii="宋体" w:hAnsi="宋体" w:eastAsia="宋体" w:cs="宋体"/>
          <w:color w:val="auto"/>
          <w:sz w:val="21"/>
          <w:szCs w:val="21"/>
        </w:rPr>
        <w:t>：具有与仪器同品牌的配套试剂及耗材，可上机检测的病原体项目包括但不限于甲流、乙流、新冠、合胞等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需提供试剂说明书）。</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▲检测通量要求</w:t>
      </w:r>
      <w:r>
        <w:rPr>
          <w:rFonts w:hint="eastAsia" w:ascii="宋体" w:hAnsi="宋体" w:eastAsia="宋体" w:cs="宋体"/>
          <w:color w:val="auto"/>
          <w:sz w:val="21"/>
          <w:szCs w:val="21"/>
        </w:rPr>
        <w:t>：一次性上样量≥16 个样本，支持多模块组合扩展通量以满足不同场景需求。</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检测模块要求：</w:t>
      </w:r>
      <w:r>
        <w:rPr>
          <w:rFonts w:hint="eastAsia" w:ascii="宋体" w:hAnsi="宋体" w:eastAsia="宋体" w:cs="宋体"/>
          <w:color w:val="auto"/>
          <w:sz w:val="21"/>
          <w:szCs w:val="21"/>
        </w:rPr>
        <w:t>单机独立检测模块≥4 个，可实现单样本随到随检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各模块支持单独检测不同项目组合</w:t>
      </w:r>
      <w:r>
        <w:rPr>
          <w:rFonts w:hint="eastAsia" w:ascii="宋体" w:hAnsi="宋体" w:eastAsia="宋体" w:cs="宋体"/>
          <w:color w:val="auto"/>
          <w:sz w:val="21"/>
          <w:szCs w:val="21"/>
          <w:lang w:eastAsia="zh-CN"/>
        </w:rPr>
        <w:t>。</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▲核酸提取功能</w:t>
      </w:r>
      <w:r>
        <w:rPr>
          <w:rFonts w:hint="eastAsia" w:ascii="宋体" w:hAnsi="宋体" w:eastAsia="宋体" w:cs="宋体"/>
          <w:color w:val="auto"/>
          <w:sz w:val="21"/>
          <w:szCs w:val="21"/>
        </w:rPr>
        <w:t>：具备核酸提取纯化功能，确保样本前处理与检测流程一体化。</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▲检测时效要求</w:t>
      </w:r>
      <w:r>
        <w:rPr>
          <w:rFonts w:hint="eastAsia" w:ascii="宋体" w:hAnsi="宋体" w:eastAsia="宋体" w:cs="宋体"/>
          <w:color w:val="auto"/>
          <w:sz w:val="21"/>
          <w:szCs w:val="21"/>
        </w:rPr>
        <w:t>：单次完整检测时间≤35min，满足快速检测需求。</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升降温性能参数</w:t>
      </w:r>
      <w:r>
        <w:rPr>
          <w:rFonts w:hint="eastAsia" w:ascii="宋体" w:hAnsi="宋体" w:eastAsia="宋体" w:cs="宋体"/>
          <w:color w:val="auto"/>
          <w:sz w:val="21"/>
          <w:szCs w:val="21"/>
        </w:rPr>
        <w:t>：实现快速升降温，平均升温速率≥6℃/s，平均降温速率≥5℃/s，保障快速完成扩增反应并出具结果。温度准确性≤±0.5℃，确保温控系统满足检测技术要求。</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荧光检测配置</w:t>
      </w:r>
      <w:r>
        <w:rPr>
          <w:rFonts w:hint="eastAsia" w:ascii="宋体" w:hAnsi="宋体" w:eastAsia="宋体" w:cs="宋体"/>
          <w:color w:val="auto"/>
          <w:sz w:val="21"/>
          <w:szCs w:val="21"/>
        </w:rPr>
        <w:t>：扩增模块的检测荧光通道≥4 个，支持多指标同步检测；</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扩增模块的</w:t>
      </w:r>
      <w:r>
        <w:rPr>
          <w:rFonts w:hint="eastAsia" w:ascii="宋体" w:hAnsi="宋体" w:eastAsia="宋体" w:cs="宋体"/>
          <w:b/>
          <w:bCs/>
          <w:color w:val="auto"/>
          <w:sz w:val="21"/>
          <w:szCs w:val="21"/>
          <w:lang w:val="en-US" w:eastAsia="zh-CN"/>
        </w:rPr>
        <w:t>性能</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荧光强度检测重复性：CV 值≤3%；荧光强度检测精密度：≤5%，保障检测数据稳定性。</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数据对接能力</w:t>
      </w:r>
      <w:r>
        <w:rPr>
          <w:rFonts w:hint="eastAsia" w:ascii="宋体" w:hAnsi="宋体" w:eastAsia="宋体" w:cs="宋体"/>
          <w:color w:val="auto"/>
          <w:sz w:val="21"/>
          <w:szCs w:val="21"/>
        </w:rPr>
        <w:t>：具备条码扫描功能，可准确扫描并记录样本条码或试剂条码信息。支持与医院 LIS 系统连接，实现双向数据传输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具备离线数据处理功能，确保数据可追溯与存储。</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试剂性能要求</w:t>
      </w:r>
      <w:r>
        <w:rPr>
          <w:rFonts w:hint="eastAsia" w:ascii="宋体" w:hAnsi="宋体" w:eastAsia="宋体" w:cs="宋体"/>
          <w:color w:val="auto"/>
          <w:sz w:val="21"/>
          <w:szCs w:val="21"/>
        </w:rPr>
        <w:t>：配套试剂为即用型，无需二次配制或分装，简化操作流程</w:t>
      </w:r>
      <w:r>
        <w:rPr>
          <w:rFonts w:hint="eastAsia" w:ascii="宋体" w:hAnsi="宋体" w:eastAsia="宋体" w:cs="宋体"/>
          <w:color w:val="auto"/>
          <w:sz w:val="21"/>
          <w:szCs w:val="21"/>
          <w:lang w:eastAsia="zh-CN"/>
        </w:rPr>
        <w:t>。</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试剂性能要求</w:t>
      </w:r>
      <w:r>
        <w:rPr>
          <w:rFonts w:hint="eastAsia" w:ascii="宋体" w:hAnsi="宋体" w:eastAsia="宋体" w:cs="宋体"/>
          <w:color w:val="auto"/>
          <w:sz w:val="21"/>
          <w:szCs w:val="21"/>
        </w:rPr>
        <w:t>：配套试剂的内对照类型为内源性内对照，满足质量控制标准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需提供试剂说明书）。</w:t>
      </w:r>
    </w:p>
    <w:p>
      <w:pPr>
        <w:pStyle w:val="21"/>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已挂网</w:t>
      </w:r>
      <w:r>
        <w:rPr>
          <w:rFonts w:hint="eastAsia" w:ascii="宋体" w:hAnsi="宋体" w:eastAsia="宋体" w:cs="宋体"/>
          <w:b/>
          <w:bCs/>
          <w:color w:val="auto"/>
          <w:sz w:val="21"/>
          <w:szCs w:val="21"/>
          <w:lang w:val="en-US" w:eastAsia="zh-CN"/>
        </w:rPr>
        <w:t>试剂</w:t>
      </w:r>
      <w:r>
        <w:rPr>
          <w:rFonts w:hint="eastAsia" w:ascii="宋体" w:hAnsi="宋体" w:eastAsia="宋体" w:cs="宋体"/>
          <w:b/>
          <w:bCs/>
          <w:color w:val="auto"/>
          <w:sz w:val="21"/>
          <w:szCs w:val="21"/>
        </w:rPr>
        <w:t>项目</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仪器匹配的妇儿感染性疾病相关病原体快速检测试剂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检测时间≤35min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且在四川医保公共服务平台完成</w:t>
      </w:r>
      <w:r>
        <w:rPr>
          <w:rFonts w:hint="eastAsia" w:ascii="宋体" w:hAnsi="宋体" w:eastAsia="宋体" w:cs="宋体"/>
          <w:color w:val="auto"/>
          <w:sz w:val="21"/>
          <w:szCs w:val="21"/>
        </w:rPr>
        <w:t>挂网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每具有一个</w:t>
      </w:r>
      <w:r>
        <w:rPr>
          <w:rFonts w:hint="eastAsia" w:ascii="宋体" w:hAnsi="宋体" w:eastAsia="宋体" w:cs="宋体"/>
          <w:color w:val="auto"/>
          <w:sz w:val="21"/>
          <w:szCs w:val="21"/>
        </w:rPr>
        <w:t>病原体得 1 分，最高得 10 分（需提供试剂说明书、</w:t>
      </w:r>
      <w:r>
        <w:rPr>
          <w:rFonts w:hint="eastAsia" w:ascii="宋体" w:hAnsi="宋体" w:eastAsia="宋体" w:cs="宋体"/>
          <w:color w:val="auto"/>
          <w:sz w:val="21"/>
          <w:szCs w:val="21"/>
          <w:lang w:val="en-US" w:eastAsia="zh-CN"/>
        </w:rPr>
        <w:t>试剂医疗器械</w:t>
      </w:r>
      <w:r>
        <w:rPr>
          <w:rFonts w:hint="eastAsia" w:ascii="宋体" w:hAnsi="宋体" w:eastAsia="宋体" w:cs="宋体"/>
          <w:color w:val="auto"/>
          <w:sz w:val="21"/>
          <w:szCs w:val="21"/>
        </w:rPr>
        <w:t>注册证、</w:t>
      </w:r>
      <w:bookmarkStart w:id="2" w:name="OLE_LINK3"/>
      <w:r>
        <w:rPr>
          <w:rFonts w:hint="eastAsia" w:ascii="宋体" w:hAnsi="宋体" w:eastAsia="宋体" w:cs="宋体"/>
          <w:color w:val="auto"/>
          <w:sz w:val="21"/>
          <w:szCs w:val="21"/>
        </w:rPr>
        <w:t>挂网</w:t>
      </w:r>
      <w:bookmarkEnd w:id="2"/>
      <w:r>
        <w:rPr>
          <w:rFonts w:hint="eastAsia" w:ascii="宋体" w:hAnsi="宋体" w:eastAsia="宋体" w:cs="宋体"/>
          <w:color w:val="auto"/>
          <w:sz w:val="21"/>
          <w:szCs w:val="21"/>
        </w:rPr>
        <w:t>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w:t>
      </w:r>
      <w:r>
        <w:rPr>
          <w:rFonts w:hint="eastAsia" w:ascii="宋体" w:hAnsi="宋体" w:eastAsia="宋体" w:cs="宋体"/>
          <w:color w:val="000000"/>
          <w:sz w:val="21"/>
          <w:szCs w:val="21"/>
        </w:rPr>
        <w:t>挂网</w:t>
      </w:r>
      <w:r>
        <w:rPr>
          <w:rFonts w:hint="eastAsia" w:ascii="宋体" w:hAnsi="宋体" w:eastAsia="宋体" w:cs="宋体"/>
          <w:color w:val="000000"/>
          <w:sz w:val="21"/>
          <w:szCs w:val="21"/>
          <w:lang w:val="en-US" w:eastAsia="zh-CN"/>
        </w:rPr>
        <w:t>流水号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auto"/>
          <w:sz w:val="21"/>
          <w:szCs w:val="21"/>
        </w:rPr>
        <w:t>。</w:t>
      </w:r>
    </w:p>
    <w:p>
      <w:pPr>
        <w:pStyle w:val="21"/>
        <w:numPr>
          <w:ilvl w:val="0"/>
          <w:numId w:val="1"/>
        </w:numPr>
        <w:spacing w:line="240" w:lineRule="auto"/>
        <w:rPr>
          <w:color w:val="auto"/>
        </w:rPr>
      </w:pPr>
      <w:r>
        <w:rPr>
          <w:rFonts w:hint="eastAsia" w:ascii="宋体" w:hAnsi="宋体" w:eastAsia="宋体" w:cs="宋体"/>
          <w:b/>
          <w:bCs/>
          <w:color w:val="auto"/>
          <w:sz w:val="21"/>
          <w:szCs w:val="21"/>
        </w:rPr>
        <w:t>拟</w:t>
      </w:r>
      <w:r>
        <w:rPr>
          <w:rFonts w:hint="eastAsia" w:ascii="宋体" w:hAnsi="宋体" w:eastAsia="宋体" w:cs="宋体"/>
          <w:b/>
          <w:bCs/>
          <w:color w:val="auto"/>
          <w:sz w:val="21"/>
          <w:szCs w:val="21"/>
          <w:lang w:val="en-US" w:eastAsia="zh-CN"/>
        </w:rPr>
        <w:t>注册或拟</w:t>
      </w:r>
      <w:r>
        <w:rPr>
          <w:rFonts w:hint="eastAsia" w:ascii="宋体" w:hAnsi="宋体" w:eastAsia="宋体" w:cs="宋体"/>
          <w:b/>
          <w:bCs/>
          <w:color w:val="auto"/>
          <w:sz w:val="21"/>
          <w:szCs w:val="21"/>
        </w:rPr>
        <w:t>挂网</w:t>
      </w:r>
      <w:r>
        <w:rPr>
          <w:rFonts w:hint="eastAsia" w:ascii="宋体" w:hAnsi="宋体" w:eastAsia="宋体" w:cs="宋体"/>
          <w:b/>
          <w:bCs/>
          <w:color w:val="auto"/>
          <w:sz w:val="21"/>
          <w:szCs w:val="21"/>
          <w:lang w:val="en-US" w:eastAsia="zh-CN"/>
        </w:rPr>
        <w:t>试剂</w:t>
      </w:r>
      <w:r>
        <w:rPr>
          <w:rFonts w:hint="eastAsia" w:ascii="宋体" w:hAnsi="宋体" w:eastAsia="宋体" w:cs="宋体"/>
          <w:b/>
          <w:bCs/>
          <w:color w:val="auto"/>
          <w:sz w:val="21"/>
          <w:szCs w:val="21"/>
        </w:rPr>
        <w:t>项目</w:t>
      </w:r>
      <w:r>
        <w:rPr>
          <w:rFonts w:hint="eastAsia" w:ascii="宋体" w:hAnsi="宋体" w:eastAsia="宋体" w:cs="宋体"/>
          <w:color w:val="auto"/>
          <w:sz w:val="21"/>
          <w:szCs w:val="21"/>
        </w:rPr>
        <w:t>：仪器匹配的妇儿感染性疾病相关病原体快速检测试剂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检测时间≤35min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且处于国家药品监督管理局注册阶段或处于四川医保公共服务平台</w:t>
      </w:r>
      <w:r>
        <w:rPr>
          <w:rFonts w:hint="eastAsia" w:ascii="宋体" w:hAnsi="宋体" w:eastAsia="宋体" w:cs="宋体"/>
          <w:color w:val="auto"/>
          <w:sz w:val="21"/>
          <w:szCs w:val="21"/>
        </w:rPr>
        <w:t>挂网</w:t>
      </w:r>
      <w:r>
        <w:rPr>
          <w:rFonts w:hint="eastAsia" w:ascii="宋体" w:hAnsi="宋体" w:eastAsia="宋体" w:cs="宋体"/>
          <w:color w:val="auto"/>
          <w:sz w:val="21"/>
          <w:szCs w:val="21"/>
          <w:lang w:val="en-US" w:eastAsia="zh-CN"/>
        </w:rPr>
        <w:t>阶段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每具有一个</w:t>
      </w:r>
      <w:r>
        <w:rPr>
          <w:rFonts w:hint="eastAsia" w:ascii="宋体" w:hAnsi="宋体" w:eastAsia="宋体" w:cs="宋体"/>
          <w:color w:val="auto"/>
          <w:sz w:val="21"/>
          <w:szCs w:val="21"/>
        </w:rPr>
        <w:t xml:space="preserve">病原体得 0.5 分，最高得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分（</w:t>
      </w:r>
      <w:r>
        <w:rPr>
          <w:rFonts w:hint="eastAsia" w:ascii="宋体" w:hAnsi="宋体" w:eastAsia="宋体" w:cs="宋体"/>
          <w:color w:val="auto"/>
          <w:sz w:val="21"/>
          <w:szCs w:val="21"/>
          <w:lang w:val="en-US" w:eastAsia="zh-CN"/>
        </w:rPr>
        <w:t>拟注册</w:t>
      </w:r>
      <w:r>
        <w:rPr>
          <w:rFonts w:hint="eastAsia" w:ascii="宋体" w:hAnsi="宋体" w:eastAsia="宋体" w:cs="宋体"/>
          <w:color w:val="auto"/>
          <w:sz w:val="21"/>
          <w:szCs w:val="21"/>
        </w:rPr>
        <w:t>需提供</w:t>
      </w:r>
      <w:r>
        <w:rPr>
          <w:rFonts w:hint="eastAsia" w:ascii="宋体" w:hAnsi="宋体" w:eastAsia="宋体" w:cs="宋体"/>
          <w:color w:val="auto"/>
          <w:sz w:val="21"/>
          <w:szCs w:val="21"/>
          <w:lang w:val="en-US" w:eastAsia="zh-CN"/>
        </w:rPr>
        <w:t>试剂医疗器械</w:t>
      </w:r>
      <w:r>
        <w:rPr>
          <w:rFonts w:hint="eastAsia" w:ascii="宋体" w:hAnsi="宋体" w:eastAsia="宋体" w:cs="宋体"/>
          <w:color w:val="auto"/>
          <w:sz w:val="21"/>
          <w:szCs w:val="21"/>
        </w:rPr>
        <w:t>注册</w:t>
      </w:r>
      <w:r>
        <w:rPr>
          <w:rFonts w:hint="eastAsia" w:ascii="宋体" w:hAnsi="宋体" w:eastAsia="宋体" w:cs="宋体"/>
          <w:color w:val="auto"/>
          <w:sz w:val="21"/>
          <w:szCs w:val="21"/>
          <w:lang w:val="en-US" w:eastAsia="zh-CN"/>
        </w:rPr>
        <w:t>申请及审批证明材料；拟挂网需提供试剂医疗器械注册证、挂网</w:t>
      </w:r>
      <w:r>
        <w:rPr>
          <w:rFonts w:hint="eastAsia" w:ascii="宋体" w:hAnsi="宋体" w:eastAsia="宋体" w:cs="宋体"/>
          <w:color w:val="auto"/>
          <w:sz w:val="21"/>
          <w:szCs w:val="21"/>
        </w:rPr>
        <w:t>申请受理及审批证明材料）。</w:t>
      </w:r>
    </w:p>
    <w:p>
      <w:pPr>
        <w:numPr>
          <w:ilvl w:val="0"/>
          <w:numId w:val="0"/>
        </w:numPr>
        <w:spacing w:line="360" w:lineRule="exact"/>
        <w:ind w:leftChars="0"/>
        <w:jc w:val="left"/>
        <w:rPr>
          <w:b/>
          <w:bCs/>
          <w:color w:val="auto"/>
        </w:rPr>
      </w:pPr>
      <w:r>
        <w:rPr>
          <w:rFonts w:hint="eastAsia"/>
          <w:b/>
          <w:bCs/>
          <w:color w:val="auto"/>
        </w:rPr>
        <w:t>三、商务要求：</w:t>
      </w:r>
    </w:p>
    <w:p>
      <w:pPr>
        <w:spacing w:line="360" w:lineRule="exact"/>
        <w:rPr>
          <w:rFonts w:hint="eastAsia" w:ascii="宋体" w:hAnsi="宋体" w:cs="宋体"/>
          <w:color w:val="000000"/>
          <w:kern w:val="0"/>
        </w:rPr>
      </w:pPr>
      <w:r>
        <w:rPr>
          <w:rFonts w:hint="eastAsia" w:ascii="宋体" w:hAnsi="宋体" w:cs="宋体"/>
          <w:color w:val="000000"/>
          <w:kern w:val="0"/>
        </w:rPr>
        <w:t>1.合同履行期限及地点</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经甲乙双方法定代表人（或授权代表）签字并加盖公章（或合同专用章）之日起生效</w:t>
      </w:r>
      <w:r>
        <w:rPr>
          <w:rFonts w:hint="eastAsia" w:ascii="宋体" w:hAnsi="宋体" w:eastAsia="宋体" w:cs="宋体"/>
          <w:color w:val="000000"/>
          <w:kern w:val="0"/>
          <w:lang w:eastAsia="zh-CN"/>
        </w:rPr>
        <w:t>，完成日期：</w:t>
      </w:r>
      <w:r>
        <w:rPr>
          <w:rFonts w:hint="eastAsia" w:ascii="宋体" w:hAnsi="宋体" w:eastAsia="宋体" w:cs="宋体"/>
          <w:color w:val="000000"/>
          <w:kern w:val="0"/>
          <w:lang w:val="en-US" w:eastAsia="zh-CN"/>
        </w:rPr>
        <w:t>质保期结束之日</w:t>
      </w:r>
      <w:r>
        <w:rPr>
          <w:rFonts w:hint="eastAsia" w:ascii="宋体" w:hAnsi="宋体" w:eastAsia="宋体" w:cs="宋体"/>
          <w:color w:val="000000"/>
          <w:kern w:val="0"/>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1.3交货期限：</w:t>
      </w:r>
      <w:r>
        <w:rPr>
          <w:rFonts w:hint="eastAsia" w:ascii="宋体" w:hAnsi="宋体" w:eastAsia="宋体" w:cs="宋体"/>
          <w:color w:val="000000"/>
          <w:kern w:val="0"/>
          <w:lang w:eastAsia="zh-CN"/>
        </w:rPr>
        <w:t>合同签订生效后，收到采购人通知后30日内完成安装调试并交付采购人验收。</w:t>
      </w:r>
    </w:p>
    <w:p>
      <w:pPr>
        <w:numPr>
          <w:ilvl w:val="0"/>
          <w:numId w:val="0"/>
        </w:numPr>
        <w:spacing w:line="360" w:lineRule="exac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付款方法和条件：采购人验收合格后5日内，供应商须向采购人出具合法有效完整的完税发票及凭证资料，采购人自收到上述发票及凭证资料后60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cs="宋体"/>
          <w:color w:val="000000"/>
          <w:kern w:val="0"/>
        </w:rPr>
      </w:pPr>
      <w:r>
        <w:rPr>
          <w:rFonts w:hint="eastAsia" w:ascii="宋体" w:hAnsi="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auto"/>
          <w:kern w:val="0"/>
        </w:rPr>
        <w:t>5年</w:t>
      </w:r>
      <w:r>
        <w:rPr>
          <w:rFonts w:hint="eastAsia" w:ascii="宋体" w:hAnsi="宋体" w:cs="宋体"/>
          <w:color w:val="000000"/>
          <w:kern w:val="0"/>
        </w:rPr>
        <w:t>原厂质保（含整机所有部件；如质保期内部件损坏，中标人免费更换全新原厂配件，并对更换部件延长一年质保）。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w:t>
      </w:r>
      <w:r>
        <w:rPr>
          <w:rFonts w:hint="eastAsia" w:ascii="宋体" w:hAnsi="宋体" w:cs="宋体"/>
          <w:color w:val="000000"/>
          <w:kern w:val="0"/>
          <w:lang w:val="en-US" w:eastAsia="zh-CN"/>
        </w:rPr>
        <w:t>24</w:t>
      </w:r>
      <w:r>
        <w:rPr>
          <w:rFonts w:hint="eastAsia" w:ascii="宋体" w:hAnsi="宋体" w:cs="宋体"/>
          <w:color w:val="000000"/>
          <w:kern w:val="0"/>
        </w:rPr>
        <w:t>小时内到达现场维修，如维修不涉及零配件更换，应在</w:t>
      </w:r>
      <w:r>
        <w:rPr>
          <w:rFonts w:hint="eastAsia" w:ascii="宋体" w:hAnsi="宋体" w:cs="宋体"/>
          <w:color w:val="000000"/>
          <w:kern w:val="0"/>
          <w:lang w:val="en-US" w:eastAsia="zh-CN"/>
        </w:rPr>
        <w:t>48</w:t>
      </w:r>
      <w:r>
        <w:rPr>
          <w:rFonts w:hint="eastAsia" w:ascii="宋体" w:hAnsi="宋体" w:cs="宋体"/>
          <w:color w:val="000000"/>
          <w:kern w:val="0"/>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cs="宋体"/>
          <w:color w:val="000000"/>
          <w:kern w:val="0"/>
        </w:rPr>
      </w:pPr>
      <w:r>
        <w:rPr>
          <w:rFonts w:hint="eastAsia" w:ascii="宋体" w:hAnsi="宋体" w:cs="宋体"/>
          <w:color w:val="000000"/>
          <w:kern w:val="0"/>
        </w:rPr>
        <w:t>4.5中标人应承诺保证设备停产后至少5年的零配件供应。</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4.6设备</w:t>
      </w:r>
      <w:r>
        <w:rPr>
          <w:rFonts w:hint="eastAsia" w:ascii="宋体" w:hAnsi="宋体" w:eastAsia="宋体" w:cs="宋体"/>
          <w:color w:val="000000"/>
          <w:kern w:val="0"/>
        </w:rPr>
        <w:t>质保期内提供</w:t>
      </w:r>
      <w:r>
        <w:rPr>
          <w:rFonts w:hint="eastAsia" w:ascii="宋体" w:hAnsi="宋体" w:eastAsia="宋体" w:cs="宋体"/>
          <w:color w:val="000000"/>
          <w:kern w:val="0"/>
          <w:lang w:val="en-US" w:eastAsia="zh-CN"/>
        </w:rPr>
        <w:t>年度</w:t>
      </w:r>
      <w:r>
        <w:rPr>
          <w:rFonts w:hint="eastAsia" w:ascii="宋体" w:hAnsi="宋体" w:eastAsia="宋体" w:cs="宋体"/>
          <w:color w:val="000000"/>
          <w:kern w:val="0"/>
        </w:rPr>
        <w:t>保养</w:t>
      </w:r>
      <w:r>
        <w:rPr>
          <w:rFonts w:hint="eastAsia" w:ascii="宋体" w:hAnsi="宋体" w:eastAsia="宋体" w:cs="宋体"/>
          <w:color w:val="000000"/>
          <w:kern w:val="0"/>
          <w:lang w:val="en-US" w:eastAsia="zh-CN"/>
        </w:rPr>
        <w:t>+仪器校准服务（</w:t>
      </w:r>
      <w:r>
        <w:rPr>
          <w:rFonts w:hint="eastAsia" w:ascii="宋体" w:hAnsi="宋体" w:eastAsia="宋体" w:cs="宋体"/>
          <w:color w:val="000000"/>
          <w:kern w:val="0"/>
        </w:rPr>
        <w:t>每年≥</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次</w:t>
      </w:r>
      <w:r>
        <w:rPr>
          <w:rFonts w:hint="eastAsia" w:ascii="宋体" w:hAnsi="宋体" w:eastAsia="宋体" w:cs="宋体"/>
          <w:color w:val="000000"/>
          <w:kern w:val="0"/>
          <w:lang w:val="en-US" w:eastAsia="zh-CN"/>
        </w:rPr>
        <w:t>），定期巡检、维护保养，协助开展性能验证等服务，并提供以上工作的相关记录。配套耗材投标报价型号应保障供货，断货周期≥1个月，甲方有权解除合同。</w:t>
      </w:r>
    </w:p>
    <w:p>
      <w:pPr>
        <w:spacing w:line="360" w:lineRule="exac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pStyle w:val="2"/>
        <w:numPr>
          <w:ilvl w:val="0"/>
          <w:numId w:val="2"/>
        </w:numPr>
        <w:rPr>
          <w:rFonts w:hint="eastAsia" w:ascii="宋体" w:hAnsi="宋体" w:cs="宋体"/>
          <w:b/>
          <w:color w:val="000000"/>
          <w:kern w:val="0"/>
          <w:lang w:val="en-US" w:eastAsia="zh-CN"/>
        </w:rPr>
      </w:pPr>
      <w:r>
        <w:rPr>
          <w:rFonts w:hint="eastAsia" w:ascii="宋体" w:hAnsi="宋体" w:cs="宋体"/>
          <w:b/>
          <w:color w:val="000000"/>
          <w:kern w:val="0"/>
          <w:lang w:val="en-US" w:eastAsia="zh-CN"/>
        </w:rPr>
        <w:t>履约担保：</w:t>
      </w:r>
    </w:p>
    <w:p>
      <w:pPr>
        <w:adjustRightInd w:val="0"/>
        <w:snapToGrid w:val="0"/>
        <w:spacing w:line="360" w:lineRule="auto"/>
        <w:rPr>
          <w:rFonts w:hint="eastAsia" w:ascii="宋体" w:hAnsi="宋体" w:cs="宋体"/>
        </w:rPr>
      </w:pPr>
      <w:r>
        <w:rPr>
          <w:rFonts w:hint="eastAsia" w:ascii="宋体" w:hAnsi="宋体" w:cs="宋体"/>
          <w:bCs/>
        </w:rPr>
        <w:t>履约担保：</w:t>
      </w:r>
      <w:r>
        <w:rPr>
          <w:rFonts w:hint="eastAsia" w:ascii="宋体" w:hAnsi="宋体" w:cs="宋体"/>
        </w:rPr>
        <w:t>是否收取履约保证金：</w:t>
      </w:r>
      <w:r>
        <w:rPr>
          <w:rFonts w:hint="eastAsia" w:ascii="宋体" w:hAnsi="宋体" w:cs="宋体"/>
          <w:iCs/>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pPr>
        <w:numPr>
          <w:numId w:val="0"/>
        </w:numPr>
        <w:rPr>
          <w:rFonts w:hint="default"/>
          <w:lang w:val="en-US" w:eastAsia="zh-CN"/>
        </w:rPr>
      </w:pPr>
      <w:r>
        <w:rPr>
          <w:rFonts w:hint="default"/>
          <w:lang w:val="en-US" w:eastAsia="zh-CN"/>
        </w:rPr>
        <w:t>履约保证金缴纳说明</w:t>
      </w:r>
      <w:r>
        <w:rPr>
          <w:rFonts w:hint="eastAsia"/>
          <w:lang w:val="en-US" w:eastAsia="zh-CN"/>
        </w:rPr>
        <w:t>：</w:t>
      </w:r>
    </w:p>
    <w:p>
      <w:pPr>
        <w:numPr>
          <w:numId w:val="0"/>
        </w:numPr>
        <w:rPr>
          <w:rFonts w:hint="default"/>
          <w:lang w:val="en-US" w:eastAsia="zh-CN"/>
        </w:rPr>
      </w:pPr>
      <w:r>
        <w:rPr>
          <w:rFonts w:hint="default"/>
          <w:lang w:val="en-US" w:eastAsia="zh-CN"/>
        </w:rPr>
        <w:t>（1）交款方式：</w:t>
      </w:r>
      <w:r>
        <w:rPr>
          <w:rFonts w:hint="eastAsia" w:ascii="宋体" w:hAnsi="宋体" w:cs="宋体"/>
          <w:color w:val="000000"/>
          <w:kern w:val="0"/>
        </w:rPr>
        <w:t>按合同总价10%支付履约保证金</w:t>
      </w:r>
      <w:r>
        <w:rPr>
          <w:rFonts w:hint="eastAsia" w:ascii="宋体" w:hAnsi="宋体" w:cs="宋体"/>
          <w:color w:val="000000"/>
          <w:kern w:val="0"/>
          <w:lang w:eastAsia="zh-CN"/>
        </w:rPr>
        <w:t>。</w:t>
      </w:r>
      <w:r>
        <w:rPr>
          <w:rFonts w:hint="default"/>
          <w:lang w:val="en-US" w:eastAsia="zh-CN"/>
        </w:rPr>
        <w:t>以支票、汇票、本票或者金融机构、担保机构出具的保函等非现金形式向采购人交纳</w:t>
      </w:r>
      <w:r>
        <w:rPr>
          <w:rFonts w:hint="eastAsia" w:ascii="宋体" w:hAnsi="宋体" w:cs="宋体"/>
          <w:color w:val="000000"/>
          <w:kern w:val="0"/>
        </w:rPr>
        <w:t>；</w:t>
      </w:r>
    </w:p>
    <w:p>
      <w:pPr>
        <w:numPr>
          <w:numId w:val="0"/>
        </w:numPr>
        <w:rPr>
          <w:rFonts w:hint="default"/>
          <w:lang w:val="en-US" w:eastAsia="zh-CN"/>
        </w:rPr>
      </w:pPr>
      <w:r>
        <w:rPr>
          <w:rFonts w:hint="default"/>
          <w:lang w:val="en-US" w:eastAsia="zh-CN"/>
        </w:rPr>
        <w:t>（2）交款时间：投标人在收到采购人通知后7日内、设备安装前；</w:t>
      </w:r>
    </w:p>
    <w:p>
      <w:pPr>
        <w:numPr>
          <w:numId w:val="0"/>
        </w:numPr>
        <w:rPr>
          <w:rFonts w:hint="default"/>
          <w:lang w:val="en-US" w:eastAsia="zh-CN"/>
        </w:rPr>
      </w:pPr>
      <w:r>
        <w:rPr>
          <w:rFonts w:hint="default"/>
          <w:lang w:val="en-US" w:eastAsia="zh-CN"/>
        </w:rPr>
        <w:t>（3）收款单位：采购人指定；</w:t>
      </w:r>
    </w:p>
    <w:p>
      <w:pPr>
        <w:numPr>
          <w:numId w:val="0"/>
        </w:numPr>
        <w:rPr>
          <w:rFonts w:hint="default"/>
          <w:lang w:val="en-US" w:eastAsia="zh-CN"/>
        </w:rPr>
      </w:pPr>
      <w:r>
        <w:rPr>
          <w:rFonts w:hint="default"/>
          <w:lang w:val="en-US" w:eastAsia="zh-CN"/>
        </w:rPr>
        <w:t>（4）开户银行：采购人指定；</w:t>
      </w:r>
    </w:p>
    <w:p>
      <w:pPr>
        <w:numPr>
          <w:numId w:val="0"/>
        </w:numPr>
        <w:rPr>
          <w:rFonts w:hint="default"/>
          <w:lang w:val="en-US" w:eastAsia="zh-CN"/>
        </w:rPr>
      </w:pPr>
      <w:r>
        <w:rPr>
          <w:rFonts w:hint="default"/>
          <w:lang w:val="en-US" w:eastAsia="zh-CN"/>
        </w:rPr>
        <w:t>（5）账号：采购人指定；</w:t>
      </w:r>
    </w:p>
    <w:p>
      <w:pPr>
        <w:numPr>
          <w:numId w:val="0"/>
        </w:numPr>
        <w:rPr>
          <w:rFonts w:hint="default"/>
          <w:lang w:val="en-US" w:eastAsia="zh-CN"/>
        </w:rPr>
      </w:pPr>
      <w:r>
        <w:rPr>
          <w:rFonts w:hint="default"/>
          <w:lang w:val="en-US" w:eastAsia="zh-CN"/>
        </w:rPr>
        <w:t>（6）退还时间：设备自最终验收合格之日满2</w:t>
      </w:r>
      <w:bookmarkStart w:id="4" w:name="_GoBack"/>
      <w:bookmarkEnd w:id="4"/>
      <w:r>
        <w:rPr>
          <w:rFonts w:hint="default"/>
          <w:lang w:val="en-US" w:eastAsia="zh-CN"/>
        </w:rPr>
        <w:t>年，采购人接到投标人付款申请后30个工作日内，采购人一次性无息退还投标人的履约保证金，若履约保证金缴纳方式为保函，则按照保函相关流程退回。</w:t>
      </w:r>
    </w:p>
    <w:p>
      <w:pPr>
        <w:numPr>
          <w:numId w:val="0"/>
        </w:numPr>
        <w:rPr>
          <w:rFonts w:hint="default"/>
          <w:lang w:val="en-US" w:eastAsia="zh-CN"/>
        </w:rPr>
      </w:pPr>
      <w:r>
        <w:rPr>
          <w:rFonts w:hint="default"/>
          <w:lang w:val="en-US" w:eastAsia="zh-CN"/>
        </w:rPr>
        <w:t>（7）履约保证金不予退还情形：</w:t>
      </w:r>
    </w:p>
    <w:p>
      <w:pPr>
        <w:numPr>
          <w:numId w:val="0"/>
        </w:numPr>
        <w:ind w:firstLine="210" w:firstLineChars="100"/>
        <w:rPr>
          <w:rFonts w:hint="default"/>
          <w:lang w:val="en-US" w:eastAsia="zh-CN"/>
        </w:rPr>
      </w:pPr>
      <w:r>
        <w:rPr>
          <w:rFonts w:hint="default"/>
          <w:lang w:val="en-US" w:eastAsia="zh-CN"/>
        </w:rPr>
        <w:t>1）中标供应商不履行与采购人订立的合同的，给采购人造成的损失超过履约保证金数额的，还应当对超过部分予以赔偿；</w:t>
      </w:r>
    </w:p>
    <w:p>
      <w:pPr>
        <w:numPr>
          <w:numId w:val="0"/>
        </w:numPr>
        <w:ind w:firstLine="210" w:firstLineChars="100"/>
        <w:rPr>
          <w:rFonts w:hint="default"/>
          <w:lang w:val="en-US" w:eastAsia="zh-CN"/>
        </w:rPr>
      </w:pPr>
      <w:r>
        <w:rPr>
          <w:rFonts w:hint="default"/>
          <w:lang w:val="en-US" w:eastAsia="zh-CN"/>
        </w:rPr>
        <w:t>2）项目验收结果不合格的；</w:t>
      </w:r>
    </w:p>
    <w:p>
      <w:pPr>
        <w:numPr>
          <w:numId w:val="0"/>
        </w:numPr>
        <w:ind w:firstLine="210" w:firstLineChars="100"/>
        <w:rPr>
          <w:rFonts w:hint="default"/>
          <w:lang w:val="en-US" w:eastAsia="zh-CN"/>
        </w:rPr>
      </w:pPr>
      <w:r>
        <w:rPr>
          <w:rFonts w:hint="default"/>
          <w:lang w:val="en-US" w:eastAsia="zh-CN"/>
        </w:rPr>
        <w:t>3）其他违反国家相关法律法规的情形；</w:t>
      </w:r>
    </w:p>
    <w:p>
      <w:pPr>
        <w:numPr>
          <w:numId w:val="0"/>
        </w:numPr>
        <w:rPr>
          <w:rFonts w:hint="default"/>
          <w:lang w:val="en-US" w:eastAsia="zh-CN"/>
        </w:rPr>
      </w:pPr>
      <w:r>
        <w:rPr>
          <w:rFonts w:hint="default"/>
          <w:lang w:val="en-US" w:eastAsia="zh-CN"/>
        </w:rPr>
        <w:t>（8）若投标人接到支付履约保证金通知未在7个工作日内缴纳履约保证金，采购人有权解除合同。</w:t>
      </w:r>
    </w:p>
    <w:p>
      <w:pPr>
        <w:numPr>
          <w:numId w:val="0"/>
        </w:numPr>
        <w:rPr>
          <w:rFonts w:hint="default"/>
          <w:lang w:val="en-US" w:eastAsia="zh-CN"/>
        </w:rPr>
      </w:pPr>
      <w:r>
        <w:rPr>
          <w:rFonts w:hint="default"/>
          <w:lang w:val="en-US" w:eastAsia="zh-CN"/>
        </w:rPr>
        <w:t>注：以保函形式交纳履约保证金的，保函受益人为采购人。由中标供应商基本账户所在银行或其他经相应主管部门批准可以开展保函业务的金融或担保机构出具的保函</w:t>
      </w:r>
      <w:r>
        <w:rPr>
          <w:rFonts w:hint="eastAsia"/>
          <w:lang w:val="en-US" w:eastAsia="zh-CN"/>
        </w:rPr>
        <w:t>。</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hint="eastAsia" w:ascii="Segoe UI" w:hAnsi="Segoe UI" w:eastAsia="宋体" w:cs="Segoe UI"/>
          <w:b/>
          <w:bCs/>
          <w:color w:val="auto"/>
          <w:kern w:val="0"/>
          <w:sz w:val="28"/>
          <w:szCs w:val="28"/>
          <w:lang w:val="en-US" w:eastAsia="zh-CN"/>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cs="宋体"/>
                <w:color w:val="auto"/>
                <w:kern w:val="0"/>
              </w:rPr>
            </w:pPr>
            <w:r>
              <w:rPr>
                <w:rFonts w:hint="eastAsia" w:cs="宋体"/>
                <w:color w:val="000000"/>
                <w:kern w:val="0"/>
              </w:rPr>
              <w:t>细则</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序号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评分因素</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eastAsia="宋体" w:cs="宋体"/>
                <w:color w:val="000000"/>
                <w:kern w:val="0"/>
              </w:rPr>
              <w:t>分值</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总分100分</w:t>
            </w:r>
            <w:r>
              <w:rPr>
                <w:rFonts w:hint="eastAsia" w:ascii="宋体" w:hAnsi="宋体" w:eastAsia="宋体" w:cs="宋体"/>
                <w:color w:val="000000"/>
                <w:kern w:val="0"/>
                <w:lang w:eastAsia="zh-CN"/>
              </w:rPr>
              <w:t>）</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评分标准</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333333"/>
                <w:kern w:val="0"/>
                <w:lang w:val="en-US" w:eastAsia="zh-CN"/>
              </w:rPr>
              <w:t>30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注：报价最低的为基准价。</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37</w:t>
            </w:r>
            <w:r>
              <w:rPr>
                <w:rFonts w:hint="eastAsia" w:ascii="宋体" w:hAnsi="宋体" w:cs="Segoe UI"/>
                <w:color w:val="000000"/>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37</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37</w:t>
            </w:r>
            <w:r>
              <w:rPr>
                <w:rFonts w:hint="eastAsia" w:ascii="宋体" w:hAnsi="宋体" w:cs="宋体"/>
              </w:rPr>
              <w:t>分。</w:t>
            </w:r>
          </w:p>
          <w:p>
            <w:pPr>
              <w:widowControl/>
              <w:spacing w:line="360" w:lineRule="exact"/>
              <w:rPr>
                <w:rFonts w:hint="eastAsia" w:ascii="宋体" w:hAnsi="宋体" w:cs="宋体"/>
                <w:lang w:eastAsia="zh-CN"/>
              </w:rPr>
            </w:pPr>
            <w:r>
              <w:rPr>
                <w:rFonts w:hint="eastAsia" w:ascii="宋体" w:hAnsi="宋体" w:cs="宋体"/>
              </w:rPr>
              <w:t>▲号条款共</w:t>
            </w:r>
            <w:r>
              <w:rPr>
                <w:rFonts w:hint="eastAsia" w:ascii="宋体" w:hAnsi="宋体" w:cs="宋体"/>
                <w:lang w:val="en-US" w:eastAsia="zh-CN"/>
              </w:rPr>
              <w:t>5</w:t>
            </w:r>
            <w:r>
              <w:rPr>
                <w:rFonts w:hint="eastAsia" w:ascii="宋体" w:hAnsi="宋体" w:cs="宋体"/>
              </w:rPr>
              <w:t>项</w:t>
            </w:r>
            <w:r>
              <w:rPr>
                <w:rFonts w:hint="eastAsia" w:ascii="宋体" w:hAnsi="宋体" w:cs="宋体"/>
                <w:lang w:eastAsia="zh-CN"/>
              </w:rPr>
              <w:t>，</w:t>
            </w:r>
            <w:r>
              <w:rPr>
                <w:rFonts w:hint="eastAsia" w:ascii="宋体" w:hAnsi="宋体" w:cs="宋体"/>
              </w:rPr>
              <w:t>负偏离</w:t>
            </w:r>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4</w:t>
            </w:r>
            <w:r>
              <w:rPr>
                <w:rFonts w:hint="eastAsia" w:ascii="宋体" w:hAnsi="宋体" w:cs="宋体"/>
              </w:rPr>
              <w:t>分</w:t>
            </w:r>
            <w:r>
              <w:rPr>
                <w:rFonts w:hint="eastAsia" w:ascii="宋体" w:hAnsi="宋体" w:cs="宋体"/>
                <w:lang w:eastAsia="zh-CN"/>
              </w:rPr>
              <w:t>。</w:t>
            </w:r>
          </w:p>
          <w:p>
            <w:pPr>
              <w:widowControl/>
              <w:spacing w:line="360" w:lineRule="exact"/>
              <w:rPr>
                <w:rFonts w:ascii="宋体" w:hAnsi="宋体" w:cs="宋体"/>
              </w:rPr>
            </w:pPr>
            <w:r>
              <w:rPr>
                <w:rFonts w:hint="eastAsia" w:ascii="宋体" w:hAnsi="宋体" w:cs="宋体"/>
              </w:rPr>
              <w:t>非▲号条款共</w:t>
            </w:r>
            <w:r>
              <w:rPr>
                <w:rFonts w:hint="eastAsia" w:ascii="宋体" w:hAnsi="宋体" w:cs="宋体"/>
                <w:lang w:val="en-US" w:eastAsia="zh-CN"/>
              </w:rPr>
              <w:t>8</w:t>
            </w:r>
            <w:r>
              <w:rPr>
                <w:rFonts w:hint="eastAsia" w:ascii="宋体" w:hAnsi="宋体" w:cs="宋体"/>
              </w:rPr>
              <w:t>项</w:t>
            </w:r>
            <w:r>
              <w:rPr>
                <w:rFonts w:hint="eastAsia" w:ascii="宋体" w:hAnsi="宋体" w:cs="宋体"/>
                <w:lang w:eastAsia="zh-CN"/>
              </w:rPr>
              <w:t>，</w:t>
            </w:r>
            <w:r>
              <w:rPr>
                <w:rFonts w:hint="eastAsia" w:ascii="宋体" w:hAnsi="宋体" w:cs="宋体"/>
                <w:lang w:val="en-US" w:eastAsia="zh-CN"/>
              </w:rPr>
              <w:t>其中第13条加分值为10分，第14条加分值为1分；其余6项</w:t>
            </w:r>
            <w:r>
              <w:rPr>
                <w:rFonts w:hint="eastAsia" w:ascii="宋体" w:hAnsi="宋体" w:cs="宋体"/>
              </w:rPr>
              <w:t>非▲号条款负偏离</w:t>
            </w:r>
            <w:r>
              <w:rPr>
                <w:rFonts w:hint="eastAsia" w:ascii="宋体" w:hAnsi="宋体" w:cs="宋体"/>
                <w:lang w:val="en-US" w:eastAsia="zh-CN"/>
              </w:rPr>
              <w:t>1</w:t>
            </w:r>
            <w:r>
              <w:rPr>
                <w:rFonts w:hint="eastAsia" w:ascii="宋体" w:hAnsi="宋体" w:cs="宋体"/>
              </w:rPr>
              <w:t>项扣</w:t>
            </w:r>
            <w:r>
              <w:rPr>
                <w:rFonts w:hint="eastAsia" w:ascii="宋体" w:hAnsi="宋体" w:cs="宋体"/>
                <w:lang w:val="en-US" w:eastAsia="zh-CN"/>
              </w:rPr>
              <w:t>1</w:t>
            </w:r>
            <w:r>
              <w:rPr>
                <w:rFonts w:hint="eastAsia" w:ascii="宋体" w:hAnsi="宋体" w:cs="宋体"/>
              </w:rPr>
              <w:t>分。）</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注：（1）▲号条款需提供证明文件（按招标文件</w:t>
            </w:r>
            <w:r>
              <w:rPr>
                <w:rFonts w:hint="eastAsia" w:ascii="宋体" w:hAnsi="宋体" w:cs="宋体"/>
                <w:lang w:val="en-US" w:eastAsia="zh-CN"/>
              </w:rPr>
              <w:t>要求</w:t>
            </w:r>
            <w:r>
              <w:rPr>
                <w:rFonts w:hint="eastAsia" w:ascii="宋体" w:hAnsi="宋体" w:cs="宋体"/>
              </w:rPr>
              <w:t>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000000"/>
                <w:kern w:val="0"/>
                <w:lang w:val="en-US" w:eastAsia="zh-CN"/>
              </w:rPr>
            </w:pPr>
            <w:r>
              <w:rPr>
                <w:rFonts w:hint="eastAsia" w:ascii="宋体" w:hAnsi="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kern w:val="0"/>
                <w:sz w:val="21"/>
                <w:szCs w:val="21"/>
              </w:rPr>
              <w:t>后期保障</w:t>
            </w:r>
            <w:r>
              <w:rPr>
                <w:rFonts w:hint="eastAsia" w:ascii="宋体" w:hAnsi="宋体" w:cs="Segoe UI"/>
                <w:kern w:val="0"/>
                <w:sz w:val="21"/>
                <w:szCs w:val="21"/>
                <w:lang w:val="en-US" w:eastAsia="zh-CN"/>
              </w:rPr>
              <w:t>20</w:t>
            </w:r>
            <w:r>
              <w:rPr>
                <w:rFonts w:hint="eastAsia" w:ascii="宋体" w:hAnsi="宋体" w:cs="Segoe UI"/>
                <w:kern w:val="0"/>
                <w:sz w:val="21"/>
                <w:szCs w:val="21"/>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kern w:val="0"/>
                <w:sz w:val="21"/>
                <w:szCs w:val="21"/>
                <w:lang w:val="en-US" w:eastAsia="zh-CN"/>
              </w:rPr>
              <w:t>20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宋体" w:hAnsi="宋体" w:eastAsia="宋体" w:cs="宋体"/>
                <w:sz w:val="21"/>
                <w:szCs w:val="21"/>
                <w:lang w:eastAsia="zh-CN"/>
              </w:rPr>
            </w:pPr>
            <w:r>
              <w:rPr>
                <w:rFonts w:hint="eastAsia" w:ascii="宋体" w:hAnsi="宋体" w:cs="宋体"/>
                <w:sz w:val="21"/>
                <w:szCs w:val="21"/>
              </w:rPr>
              <w:t>在保障设备正常运行的基础上</w:t>
            </w:r>
            <w:r>
              <w:rPr>
                <w:rFonts w:hint="eastAsia" w:ascii="宋体" w:hAnsi="宋体" w:eastAsia="宋体" w:cs="宋体"/>
                <w:sz w:val="21"/>
                <w:szCs w:val="21"/>
              </w:rPr>
              <w:t>，提供配套</w:t>
            </w:r>
            <w:r>
              <w:rPr>
                <w:rFonts w:hint="eastAsia" w:ascii="宋体" w:hAnsi="宋体" w:eastAsia="宋体" w:cs="宋体"/>
                <w:sz w:val="21"/>
                <w:szCs w:val="21"/>
                <w:lang w:val="en-US" w:eastAsia="zh-CN"/>
              </w:rPr>
              <w:t>试剂和耗材</w:t>
            </w:r>
            <w:r>
              <w:rPr>
                <w:rFonts w:hint="eastAsia" w:ascii="宋体" w:hAnsi="宋体" w:eastAsia="宋体" w:cs="宋体"/>
                <w:sz w:val="21"/>
                <w:szCs w:val="21"/>
              </w:rPr>
              <w:t>报价金额</w:t>
            </w:r>
            <w:r>
              <w:rPr>
                <w:rFonts w:hint="eastAsia" w:ascii="宋体" w:hAnsi="宋体" w:eastAsia="宋体" w:cs="宋体"/>
                <w:sz w:val="21"/>
                <w:szCs w:val="21"/>
                <w:lang w:eastAsia="zh-CN"/>
              </w:rPr>
              <w:t>。</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人份得分 =(基准价/供应商报价)×20(保留两位小数)</w:t>
            </w:r>
          </w:p>
          <w:p>
            <w:pPr>
              <w:pStyle w:val="2"/>
              <w:rPr>
                <w:rFonts w:hint="eastAsia" w:ascii="宋体" w:hAnsi="宋体" w:eastAsia="宋体" w:cs="Times New Roman"/>
                <w:szCs w:val="21"/>
                <w:lang w:val="en-US" w:eastAsia="zh-CN"/>
              </w:rPr>
            </w:pPr>
            <w:r>
              <w:rPr>
                <w:rFonts w:hint="eastAsia" w:ascii="宋体" w:hAnsi="宋体" w:cs="宋体"/>
                <w:sz w:val="21"/>
                <w:szCs w:val="21"/>
                <w:lang w:val="en-US" w:eastAsia="zh-CN"/>
              </w:rPr>
              <w:t>注:请提供设备配套检验项目报价表，未提供者不得分。后期保障仅针对甲流、乙流、新冠以及呼吸道合胞病毒这四项检验项目进行评分，四个项目人份价格合计报价最低为基准价。</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5</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5</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3</w:t>
            </w:r>
            <w:r>
              <w:rPr>
                <w:rFonts w:hint="eastAsia" w:ascii="宋体" w:hAnsi="宋体" w:cs="宋体"/>
              </w:rPr>
              <w:t>年1月1日（含）至今，以合同签订时间为准，投标人</w:t>
            </w:r>
            <w:r>
              <w:rPr>
                <w:rFonts w:hint="eastAsia" w:ascii="宋体" w:hAnsi="宋体" w:cs="宋体"/>
                <w:lang w:val="en-US" w:eastAsia="zh-CN"/>
              </w:rPr>
              <w:t>在四川省内三甲医疗机构</w:t>
            </w:r>
            <w:r>
              <w:rPr>
                <w:rFonts w:hint="eastAsia" w:ascii="宋体" w:hAnsi="宋体" w:cs="宋体"/>
              </w:rPr>
              <w:t>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5</w:t>
            </w:r>
            <w:r>
              <w:rPr>
                <w:rFonts w:hint="eastAsia" w:ascii="宋体" w:hAnsi="宋体" w:cs="宋体"/>
              </w:rPr>
              <w:t>分。</w:t>
            </w:r>
          </w:p>
          <w:p>
            <w:pPr>
              <w:widowControl/>
              <w:spacing w:line="360" w:lineRule="exact"/>
              <w:rPr>
                <w:rFonts w:hint="default" w:ascii="宋体" w:hAnsi="宋体" w:cs="宋体"/>
                <w:lang w:val="en-US" w:eastAsia="zh-CN"/>
              </w:rPr>
            </w:pPr>
            <w:r>
              <w:rPr>
                <w:rFonts w:hint="eastAsia" w:ascii="宋体" w:hAnsi="宋体" w:cs="宋体"/>
              </w:rPr>
              <w:t>注：</w:t>
            </w:r>
            <w:r>
              <w:rPr>
                <w:rFonts w:hint="eastAsia" w:ascii="宋体" w:hAnsi="宋体" w:cs="宋体"/>
                <w:lang w:eastAsia="zh-CN"/>
              </w:rPr>
              <w:t>（</w:t>
            </w:r>
            <w:r>
              <w:rPr>
                <w:rFonts w:hint="eastAsia" w:ascii="宋体" w:hAnsi="宋体" w:cs="宋体"/>
                <w:lang w:val="en-US" w:eastAsia="zh-CN"/>
              </w:rPr>
              <w:t>1）若投标产品为组合设备，组合中的每台设备均需单独出具业绩证明，所有设备业绩证明齐全方可计1分，提供不全的不计分。</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lang w:val="en-US" w:eastAsia="zh-CN"/>
              </w:rPr>
              <w:t>（2）</w:t>
            </w:r>
            <w:r>
              <w:rPr>
                <w:rFonts w:hint="eastAsia" w:ascii="宋体" w:hAnsi="宋体" w:cs="宋体"/>
              </w:rPr>
              <w:t>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3" w:type="dxa"/>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5</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8</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333333"/>
                <w:kern w:val="0"/>
                <w:lang w:val="en-US" w:eastAsia="zh-CN"/>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spacing w:line="360" w:lineRule="exact"/>
        <w:jc w:val="center"/>
        <w:rPr>
          <w:rFonts w:hint="eastAsia" w:ascii="Times New Roman" w:hAnsi="Times New Roman" w:eastAsia="宋体" w:cs="Times New Roman"/>
          <w:b/>
          <w:bCs/>
          <w:sz w:val="28"/>
          <w:szCs w:val="28"/>
          <w:lang w:val="en-US" w:eastAsia="zh-CN"/>
        </w:rPr>
      </w:pPr>
    </w:p>
    <w:p>
      <w:pPr>
        <w:spacing w:line="360" w:lineRule="exact"/>
        <w:jc w:val="center"/>
        <w:rPr>
          <w:rFonts w:hint="eastAsia" w:ascii="Times New Roman" w:hAnsi="Times New Roman" w:eastAsia="宋体" w:cs="Times New Roman"/>
          <w:b/>
          <w:bCs/>
          <w:sz w:val="28"/>
          <w:szCs w:val="28"/>
          <w:lang w:val="en-US" w:eastAsia="zh-CN"/>
        </w:rPr>
      </w:pPr>
    </w:p>
    <w:p>
      <w:pPr>
        <w:spacing w:line="360" w:lineRule="exact"/>
        <w:jc w:val="center"/>
        <w:rPr>
          <w:rFonts w:hint="eastAsia" w:ascii="Times New Roman" w:hAnsi="Times New Roman" w:eastAsia="宋体" w:cs="Times New Roman"/>
          <w:b/>
          <w:bCs/>
          <w:sz w:val="28"/>
          <w:szCs w:val="28"/>
          <w:lang w:val="en-US" w:eastAsia="zh-CN"/>
        </w:rPr>
      </w:pPr>
    </w:p>
    <w:p>
      <w:pPr>
        <w:spacing w:line="360" w:lineRule="exact"/>
        <w:jc w:val="center"/>
        <w:rPr>
          <w:rFonts w:hint="eastAsia" w:ascii="仿宋_GB2312" w:hAnsi="Segoe UI" w:eastAsia="仿宋_GB2312" w:cs="Segoe UI"/>
          <w:b/>
          <w:bCs/>
          <w:color w:val="auto"/>
          <w:kern w:val="0"/>
          <w:sz w:val="28"/>
          <w:szCs w:val="28"/>
          <w:lang w:val="en-US" w:eastAsia="zh-CN"/>
        </w:rPr>
      </w:pPr>
      <w:r>
        <w:rPr>
          <w:rFonts w:hint="eastAsia" w:ascii="Times New Roman" w:hAnsi="Times New Roman" w:eastAsia="宋体" w:cs="Times New Roman"/>
          <w:b/>
          <w:bCs/>
          <w:sz w:val="28"/>
          <w:szCs w:val="28"/>
          <w:lang w:val="en-US" w:eastAsia="zh-CN"/>
        </w:rPr>
        <w:t>设备配套检验项目报价表</w:t>
      </w:r>
    </w:p>
    <w:tbl>
      <w:tblPr>
        <w:tblStyle w:val="13"/>
        <w:tblpPr w:leftFromText="180" w:rightFromText="180" w:vertAnchor="text" w:horzAnchor="page" w:tblpXSpec="center" w:tblpY="3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423"/>
        <w:gridCol w:w="1115"/>
        <w:gridCol w:w="116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0" w:type="auto"/>
            <w:noWrap w:val="0"/>
            <w:vAlign w:val="center"/>
          </w:tcPr>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配套试剂名称</w:t>
            </w:r>
          </w:p>
        </w:tc>
        <w:tc>
          <w:tcPr>
            <w:tcW w:w="0" w:type="auto"/>
            <w:noWrap w:val="0"/>
            <w:vAlign w:val="center"/>
          </w:tcPr>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耗材种类</w:t>
            </w:r>
          </w:p>
        </w:tc>
        <w:tc>
          <w:tcPr>
            <w:tcW w:w="0" w:type="auto"/>
            <w:noWrap w:val="0"/>
            <w:vAlign w:val="center"/>
          </w:tcPr>
          <w:p>
            <w:pPr>
              <w:spacing w:line="240" w:lineRule="auto"/>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人份单价</w:t>
            </w:r>
          </w:p>
        </w:tc>
        <w:tc>
          <w:tcPr>
            <w:tcW w:w="0" w:type="auto"/>
            <w:noWrap w:val="0"/>
            <w:vAlign w:val="center"/>
          </w:tcPr>
          <w:p>
            <w:pPr>
              <w:spacing w:line="240" w:lineRule="auto"/>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预测5000个测试总价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0" w:type="auto"/>
            <w:vMerge w:val="restart"/>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甲流</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每次使用</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***元/测试</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非每次使用</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0" w:type="auto"/>
            <w:vMerge w:val="restart"/>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乙流</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每次使用</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***元/测试</w:t>
            </w:r>
          </w:p>
        </w:tc>
        <w:tc>
          <w:tcPr>
            <w:tcW w:w="0" w:type="auto"/>
            <w:noWrap w:val="0"/>
            <w:vAlign w:val="center"/>
          </w:tcPr>
          <w:p>
            <w:pPr>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非每次使用</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0" w:type="auto"/>
            <w:vMerge w:val="restart"/>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新冠</w:t>
            </w:r>
          </w:p>
        </w:tc>
        <w:tc>
          <w:tcPr>
            <w:tcW w:w="0" w:type="auto"/>
            <w:noWrap w:val="0"/>
            <w:vAlign w:val="center"/>
          </w:tcPr>
          <w:p>
            <w:pPr>
              <w:spacing w:line="240"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每次使用</w:t>
            </w:r>
          </w:p>
        </w:tc>
        <w:tc>
          <w:tcPr>
            <w:tcW w:w="0" w:type="auto"/>
            <w:noWrap w:val="0"/>
            <w:vAlign w:val="center"/>
          </w:tcPr>
          <w:p>
            <w:pPr>
              <w:spacing w:line="240"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***元/测试</w:t>
            </w:r>
          </w:p>
        </w:tc>
        <w:tc>
          <w:tcPr>
            <w:tcW w:w="0" w:type="auto"/>
            <w:noWrap w:val="0"/>
            <w:vAlign w:val="center"/>
          </w:tcPr>
          <w:p>
            <w:pPr>
              <w:spacing w:line="240"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noWrap w:val="0"/>
            <w:vAlign w:val="center"/>
          </w:tcPr>
          <w:p>
            <w:pPr>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非每次使用</w:t>
            </w:r>
          </w:p>
        </w:tc>
        <w:tc>
          <w:tcPr>
            <w:tcW w:w="0" w:type="auto"/>
            <w:noWrap w:val="0"/>
            <w:vAlign w:val="center"/>
          </w:tcPr>
          <w:p>
            <w:pPr>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p>
        </w:tc>
        <w:tc>
          <w:tcPr>
            <w:tcW w:w="0" w:type="auto"/>
            <w:noWrap w:val="0"/>
            <w:vAlign w:val="center"/>
          </w:tcPr>
          <w:p>
            <w:pPr>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0" w:type="auto"/>
            <w:vMerge w:val="restar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呼吸道合胞</w:t>
            </w:r>
          </w:p>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病毒</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每次使用</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***元/测试</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vMerge w:val="continue"/>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非每次使用</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其他试剂或耗材（注：不纳入后期保障评分）</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自行补充</w:t>
            </w: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p>
        </w:tc>
        <w:tc>
          <w:tcPr>
            <w:tcW w:w="0" w:type="auto"/>
            <w:noWrap w:val="0"/>
            <w:vAlign w:val="center"/>
          </w:tcPr>
          <w:p>
            <w:pPr>
              <w:spacing w:line="24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gridSpan w:val="2"/>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合计</w:t>
            </w:r>
          </w:p>
        </w:tc>
        <w:tc>
          <w:tcPr>
            <w:tcW w:w="0" w:type="auto"/>
            <w:gridSpan w:val="3"/>
            <w:noWrap w:val="0"/>
            <w:vAlign w:val="center"/>
          </w:tcPr>
          <w:p>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小写：***元</w:t>
            </w:r>
          </w:p>
          <w:p>
            <w:pPr>
              <w:pStyle w:val="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5"/>
            <w:noWrap w:val="0"/>
            <w:vAlign w:val="center"/>
          </w:tcPr>
          <w:p>
            <w:pPr>
              <w:pStyle w:val="2"/>
              <w:spacing w:line="240" w:lineRule="auto"/>
              <w:jc w:val="center"/>
              <w:rPr>
                <w:rFonts w:hint="default"/>
                <w:lang w:val="en-US" w:eastAsia="zh-CN"/>
              </w:rPr>
            </w:pPr>
            <w:r>
              <w:rPr>
                <w:rFonts w:hint="eastAsia"/>
                <w:lang w:val="en-US" w:eastAsia="zh-CN"/>
              </w:rPr>
              <w:t>价格组成测算（格式自拟）</w:t>
            </w:r>
          </w:p>
          <w:p>
            <w:pPr>
              <w:pStyle w:val="2"/>
              <w:spacing w:line="240" w:lineRule="auto"/>
              <w:jc w:val="both"/>
              <w:rPr>
                <w:rFonts w:hint="default"/>
                <w:lang w:val="en-US" w:eastAsia="zh-CN"/>
              </w:rPr>
            </w:pPr>
            <w:r>
              <w:rPr>
                <w:rFonts w:hint="eastAsia"/>
                <w:lang w:val="en-US" w:eastAsia="zh-CN"/>
              </w:rPr>
              <w:t>1.每次使用的配套试剂耗材测算价格组成（内容至少包含试剂耗材名称、规格、单价、每测试用量、年度用量、四川省药械集中采购及医药价格监管平台耗材商品代码/流水号(如有)等）：***</w:t>
            </w:r>
          </w:p>
          <w:p>
            <w:pPr>
              <w:rPr>
                <w:rFonts w:hint="eastAsia"/>
                <w:lang w:val="en-US" w:eastAsia="zh-CN"/>
              </w:rPr>
            </w:pPr>
            <w:r>
              <w:rPr>
                <w:rFonts w:hint="eastAsia"/>
                <w:lang w:val="en-US" w:eastAsia="zh-CN"/>
              </w:rPr>
              <w:t>2.非每次使用的配套试剂耗材测算价格组成（内容至少包含耗材名称、规格、单价、每次用量、年度用量、四川省药械集中采购及医药价格监管平台耗材商品代码/流水号(如有)等）：***</w:t>
            </w:r>
          </w:p>
          <w:p>
            <w:pPr>
              <w:pStyle w:val="2"/>
              <w:rPr>
                <w:rFonts w:hint="default"/>
                <w:lang w:val="en-US" w:eastAsia="zh-CN"/>
              </w:rPr>
            </w:pPr>
            <w:r>
              <w:rPr>
                <w:rFonts w:hint="eastAsia" w:ascii="宋体" w:hAnsi="宋体" w:eastAsia="宋体" w:cs="宋体"/>
                <w:lang w:val="en-US" w:eastAsia="zh-CN"/>
              </w:rPr>
              <w:t>3.人份价格报价说明：对于单个试剂可做多个病原体的试剂，不得将其按病原体检测数进行拆分报价，需以完整的单个试剂进行报价。</w:t>
            </w:r>
          </w:p>
        </w:tc>
      </w:tr>
    </w:tbl>
    <w:p>
      <w:pPr>
        <w:pStyle w:val="2"/>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注：</w:t>
      </w:r>
      <w:r>
        <w:rPr>
          <w:rFonts w:hint="eastAsia" w:ascii="仿宋_GB2312" w:hAnsi="Segoe UI" w:eastAsia="仿宋_GB2312" w:cs="Segoe UI"/>
          <w:color w:val="auto"/>
          <w:kern w:val="0"/>
          <w:sz w:val="24"/>
          <w:szCs w:val="24"/>
          <w:lang w:val="en-US" w:eastAsia="zh-CN"/>
        </w:rPr>
        <w:t>1.</w:t>
      </w:r>
      <w:r>
        <w:rPr>
          <w:rFonts w:hint="eastAsia" w:ascii="仿宋_GB2312" w:hAnsi="Segoe UI" w:eastAsia="仿宋_GB2312" w:cs="Segoe UI"/>
          <w:color w:val="auto"/>
          <w:kern w:val="0"/>
          <w:sz w:val="24"/>
          <w:szCs w:val="24"/>
        </w:rPr>
        <w:t>报价应是最终用户验收合格后的总价，包括设备运输、保险、代理、安装调试、培训、税费、系统集成费用和采购文件规定的其它费用</w:t>
      </w:r>
      <w:r>
        <w:rPr>
          <w:rFonts w:hint="eastAsia" w:ascii="仿宋_GB2312" w:hAnsi="Segoe UI" w:eastAsia="仿宋_GB2312" w:cs="Segoe UI"/>
          <w:color w:val="auto"/>
          <w:kern w:val="0"/>
          <w:sz w:val="24"/>
          <w:szCs w:val="24"/>
          <w:lang w:eastAsia="zh-CN"/>
        </w:rPr>
        <w:t>。</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w:t>
      </w:r>
      <w:r>
        <w:rPr>
          <w:rFonts w:hint="eastAsia" w:ascii="仿宋_GB2312" w:hAnsi="Segoe UI" w:eastAsia="仿宋_GB2312" w:cs="Segoe UI"/>
          <w:color w:val="auto"/>
          <w:kern w:val="0"/>
          <w:sz w:val="24"/>
          <w:szCs w:val="24"/>
          <w:lang w:val="en-US" w:eastAsia="zh-CN"/>
        </w:rPr>
        <w:t>设备配套检验项目报价表</w:t>
      </w:r>
      <w:r>
        <w:rPr>
          <w:rFonts w:hint="eastAsia" w:ascii="仿宋_GB2312" w:hAnsi="Segoe UI" w:eastAsia="仿宋_GB2312" w:cs="Segoe UI"/>
          <w:color w:val="auto"/>
          <w:kern w:val="0"/>
          <w:sz w:val="24"/>
          <w:szCs w:val="24"/>
        </w:rPr>
        <w:t>”为多页的，每页均需由法定代表人或授权代表签字并盖投标人印章。</w:t>
      </w:r>
    </w:p>
    <w:p>
      <w:pPr>
        <w:rPr>
          <w:rFonts w:hint="eastAsia"/>
          <w:b/>
          <w:bCs/>
          <w:lang w:eastAsia="zh-CN"/>
        </w:rPr>
      </w:pPr>
      <w:r>
        <w:rPr>
          <w:rFonts w:hint="eastAsia" w:ascii="仿宋_GB2312" w:hAnsi="Segoe UI" w:eastAsia="仿宋_GB2312" w:cs="Segoe UI"/>
          <w:b/>
          <w:bCs/>
          <w:color w:val="auto"/>
          <w:kern w:val="0"/>
          <w:sz w:val="24"/>
          <w:szCs w:val="24"/>
        </w:rPr>
        <w:t>4.</w:t>
      </w:r>
      <w:r>
        <w:rPr>
          <w:rFonts w:hint="eastAsia" w:ascii="仿宋_GB2312" w:hAnsi="Segoe UI" w:eastAsia="仿宋_GB2312" w:cs="Segoe UI"/>
          <w:b/>
          <w:bCs/>
          <w:color w:val="auto"/>
          <w:kern w:val="0"/>
          <w:sz w:val="24"/>
          <w:szCs w:val="24"/>
          <w:lang w:val="en-US" w:eastAsia="zh-CN"/>
        </w:rPr>
        <w:t>设备配套检验项目不再开展二轮报价，无需单独密封。请务必将其装订在采购文件书中，建议装订在品目及报价表章节</w:t>
      </w:r>
      <w:r>
        <w:rPr>
          <w:rFonts w:hint="eastAsia" w:ascii="仿宋_GB2312" w:hAnsi="Segoe UI" w:eastAsia="仿宋_GB2312" w:cs="Segoe UI"/>
          <w:b/>
          <w:bCs/>
          <w:color w:val="auto"/>
          <w:kern w:val="0"/>
          <w:sz w:val="24"/>
          <w:szCs w:val="24"/>
        </w:rPr>
        <w:t>。</w:t>
      </w:r>
    </w:p>
    <w:p>
      <w:pPr>
        <w:pStyle w:val="2"/>
        <w:rPr>
          <w:rFonts w:hint="eastAsia"/>
          <w:lang w:eastAsia="zh-CN"/>
        </w:rPr>
      </w:pP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pStyle w:val="15"/>
        <w:jc w:val="both"/>
        <w:rPr>
          <w:color w:val="auto"/>
        </w:rPr>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2"/>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w:t>
      </w:r>
      <w:r>
        <w:rPr>
          <w:rFonts w:hint="eastAsia" w:ascii="仿宋_GB2312" w:hAnsi="Segoe UI" w:eastAsia="仿宋_GB2312" w:cs="Segoe UI"/>
          <w:b/>
          <w:color w:val="auto"/>
          <w:kern w:val="0"/>
          <w:sz w:val="24"/>
          <w:szCs w:val="24"/>
          <w:lang w:eastAsia="zh-CN"/>
        </w:rPr>
        <w:t>.</w:t>
      </w:r>
      <w:r>
        <w:rPr>
          <w:rFonts w:hint="eastAsia" w:ascii="仿宋_GB2312" w:hAnsi="Segoe UI" w:eastAsia="仿宋_GB2312" w:cs="Segoe UI"/>
          <w:b/>
          <w:color w:val="auto"/>
          <w:kern w:val="0"/>
          <w:sz w:val="24"/>
          <w:szCs w:val="24"/>
        </w:rPr>
        <w:t>如有多种规格，请按每种规格分别报价，产品的最终计算单价以不同规格报价的均价为准。</w:t>
      </w:r>
    </w:p>
    <w:p>
      <w:pPr>
        <w:pStyle w:val="2"/>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2"/>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A7754"/>
    <w:multiLevelType w:val="singleLevel"/>
    <w:tmpl w:val="D54A7754"/>
    <w:lvl w:ilvl="0" w:tentative="0">
      <w:start w:val="4"/>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288" w:hanging="288"/>
      </w:pPr>
      <w:rPr>
        <w:rFonts w:hint="default"/>
        <w:b w:val="0"/>
        <w:bCs w:val="0"/>
        <w:color w:val="auto"/>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E06A99"/>
    <w:rsid w:val="01FA13EF"/>
    <w:rsid w:val="02B27DEE"/>
    <w:rsid w:val="03CC59BF"/>
    <w:rsid w:val="03E545BA"/>
    <w:rsid w:val="047F41C1"/>
    <w:rsid w:val="06181458"/>
    <w:rsid w:val="06186C78"/>
    <w:rsid w:val="06403EE4"/>
    <w:rsid w:val="0809162A"/>
    <w:rsid w:val="083A1CBA"/>
    <w:rsid w:val="08552EB3"/>
    <w:rsid w:val="08E067A9"/>
    <w:rsid w:val="09883DB3"/>
    <w:rsid w:val="0B7702C0"/>
    <w:rsid w:val="0B890D43"/>
    <w:rsid w:val="0BD63719"/>
    <w:rsid w:val="0C0A0390"/>
    <w:rsid w:val="0C69586C"/>
    <w:rsid w:val="0CA92162"/>
    <w:rsid w:val="0E9B5314"/>
    <w:rsid w:val="0EB033E5"/>
    <w:rsid w:val="10AE580A"/>
    <w:rsid w:val="11CD7309"/>
    <w:rsid w:val="12906D89"/>
    <w:rsid w:val="12E17349"/>
    <w:rsid w:val="134A0345"/>
    <w:rsid w:val="15B626DC"/>
    <w:rsid w:val="15D20258"/>
    <w:rsid w:val="17E0197B"/>
    <w:rsid w:val="18472232"/>
    <w:rsid w:val="18B93B85"/>
    <w:rsid w:val="19206A0E"/>
    <w:rsid w:val="192A70CD"/>
    <w:rsid w:val="19761A7B"/>
    <w:rsid w:val="19E954D2"/>
    <w:rsid w:val="1A707F41"/>
    <w:rsid w:val="1C624763"/>
    <w:rsid w:val="1DE05766"/>
    <w:rsid w:val="1E997E27"/>
    <w:rsid w:val="1F19224C"/>
    <w:rsid w:val="1F5A67EC"/>
    <w:rsid w:val="1FD176EC"/>
    <w:rsid w:val="20215CDC"/>
    <w:rsid w:val="211E0E79"/>
    <w:rsid w:val="212F2EA4"/>
    <w:rsid w:val="22827069"/>
    <w:rsid w:val="229A64BD"/>
    <w:rsid w:val="22F464E8"/>
    <w:rsid w:val="24A33CB9"/>
    <w:rsid w:val="25933A00"/>
    <w:rsid w:val="263133EF"/>
    <w:rsid w:val="275B43E3"/>
    <w:rsid w:val="285D2747"/>
    <w:rsid w:val="28AC38B3"/>
    <w:rsid w:val="28E254DE"/>
    <w:rsid w:val="2B742A3A"/>
    <w:rsid w:val="2ECF39F6"/>
    <w:rsid w:val="2EE87601"/>
    <w:rsid w:val="2F9049E6"/>
    <w:rsid w:val="31336B9D"/>
    <w:rsid w:val="31FB7325"/>
    <w:rsid w:val="33B0104D"/>
    <w:rsid w:val="3459137F"/>
    <w:rsid w:val="351D2E6B"/>
    <w:rsid w:val="35E40AE0"/>
    <w:rsid w:val="368F2498"/>
    <w:rsid w:val="375C3E0F"/>
    <w:rsid w:val="38D806EF"/>
    <w:rsid w:val="38ED2171"/>
    <w:rsid w:val="395149AF"/>
    <w:rsid w:val="3955089B"/>
    <w:rsid w:val="3955563A"/>
    <w:rsid w:val="398C201F"/>
    <w:rsid w:val="39CE1F6A"/>
    <w:rsid w:val="3A493FE5"/>
    <w:rsid w:val="3C864743"/>
    <w:rsid w:val="3DA970F6"/>
    <w:rsid w:val="3DB632A9"/>
    <w:rsid w:val="3DE462AE"/>
    <w:rsid w:val="3E38673D"/>
    <w:rsid w:val="41016309"/>
    <w:rsid w:val="41201061"/>
    <w:rsid w:val="41337157"/>
    <w:rsid w:val="45FE0BC5"/>
    <w:rsid w:val="462A26FB"/>
    <w:rsid w:val="473577A3"/>
    <w:rsid w:val="47717868"/>
    <w:rsid w:val="47A53522"/>
    <w:rsid w:val="49141AF9"/>
    <w:rsid w:val="498B6D72"/>
    <w:rsid w:val="499556B2"/>
    <w:rsid w:val="49A664ED"/>
    <w:rsid w:val="4A9A19FE"/>
    <w:rsid w:val="4B2D6AF7"/>
    <w:rsid w:val="4B671727"/>
    <w:rsid w:val="4C76008D"/>
    <w:rsid w:val="4F954CC0"/>
    <w:rsid w:val="4FEA1E5B"/>
    <w:rsid w:val="51A72EFC"/>
    <w:rsid w:val="51BA020E"/>
    <w:rsid w:val="57075B3E"/>
    <w:rsid w:val="59213BB4"/>
    <w:rsid w:val="59DD504C"/>
    <w:rsid w:val="5B1829CF"/>
    <w:rsid w:val="5CC1509B"/>
    <w:rsid w:val="5F381B5D"/>
    <w:rsid w:val="5FD013FE"/>
    <w:rsid w:val="60021495"/>
    <w:rsid w:val="622F0396"/>
    <w:rsid w:val="63902AC3"/>
    <w:rsid w:val="63D266D5"/>
    <w:rsid w:val="66341D0E"/>
    <w:rsid w:val="6CA02C6A"/>
    <w:rsid w:val="6D8C2362"/>
    <w:rsid w:val="6F0B72BF"/>
    <w:rsid w:val="70093271"/>
    <w:rsid w:val="700B2FC9"/>
    <w:rsid w:val="70ED05F8"/>
    <w:rsid w:val="71573D01"/>
    <w:rsid w:val="72571257"/>
    <w:rsid w:val="72926C09"/>
    <w:rsid w:val="734A410E"/>
    <w:rsid w:val="7481459E"/>
    <w:rsid w:val="76451E51"/>
    <w:rsid w:val="76935636"/>
    <w:rsid w:val="77CF51AC"/>
    <w:rsid w:val="7A0C7325"/>
    <w:rsid w:val="7A370C4A"/>
    <w:rsid w:val="7DAB1B13"/>
    <w:rsid w:val="7EE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eastAsia="宋体" w:cs="Courier New"/>
      <w:szCs w:val="21"/>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2"/>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2</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WPS_1569841065</cp:lastModifiedBy>
  <cp:lastPrinted>2025-04-29T03:53:00Z</cp:lastPrinted>
  <dcterms:modified xsi:type="dcterms:W3CDTF">2025-06-09T06:37:26Z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