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400" w:lineRule="exact"/>
        <w:jc w:val="left"/>
        <w:textAlignment w:val="auto"/>
        <w:rPr>
          <w:rFonts w:ascii="仿宋" w:hAnsi="仿宋" w:eastAsia="仿宋" w:cs="Segoe UI"/>
          <w:b/>
          <w:color w:val="auto"/>
          <w:spacing w:val="8"/>
          <w:kern w:val="0"/>
          <w:sz w:val="28"/>
          <w:szCs w:val="28"/>
        </w:rPr>
      </w:pPr>
      <w:r>
        <w:rPr>
          <w:rFonts w:hint="eastAsia" w:ascii="黑体" w:hAnsi="黑体" w:eastAsia="黑体" w:cs="Segoe UI"/>
          <w:color w:val="auto"/>
          <w:kern w:val="0"/>
          <w:sz w:val="32"/>
          <w:szCs w:val="32"/>
        </w:rPr>
        <w:t>附件1：</w:t>
      </w:r>
      <w:r>
        <w:rPr>
          <w:rFonts w:hint="eastAsia" w:ascii="仿宋" w:hAnsi="仿宋" w:eastAsia="仿宋" w:cs="Segoe UI"/>
          <w:b/>
          <w:color w:val="auto"/>
          <w:spacing w:val="8"/>
          <w:kern w:val="0"/>
          <w:sz w:val="28"/>
          <w:szCs w:val="28"/>
        </w:rPr>
        <w:t>采购项目需求</w:t>
      </w:r>
    </w:p>
    <w:p>
      <w:pPr>
        <w:keepNext w:val="0"/>
        <w:keepLines w:val="0"/>
        <w:pageBreakBefore w:val="0"/>
        <w:kinsoku/>
        <w:wordWrap/>
        <w:overflowPunct/>
        <w:topLinePunct w:val="0"/>
        <w:bidi w:val="0"/>
        <w:snapToGrid/>
        <w:spacing w:line="400" w:lineRule="exact"/>
        <w:jc w:val="left"/>
        <w:textAlignment w:val="auto"/>
        <w:rPr>
          <w:b/>
          <w:bCs/>
          <w:color w:val="auto"/>
        </w:rPr>
      </w:pPr>
      <w:bookmarkStart w:id="0" w:name="OLE_LINK4"/>
      <w:r>
        <w:rPr>
          <w:rFonts w:hint="eastAsia"/>
          <w:b/>
          <w:bCs/>
          <w:color w:val="auto"/>
        </w:rPr>
        <w:t>一、采购标的：</w:t>
      </w:r>
    </w:p>
    <w:p>
      <w:pPr>
        <w:keepNext w:val="0"/>
        <w:keepLines w:val="0"/>
        <w:pageBreakBefore w:val="0"/>
        <w:kinsoku/>
        <w:wordWrap/>
        <w:overflowPunct/>
        <w:topLinePunct w:val="0"/>
        <w:bidi w:val="0"/>
        <w:snapToGrid/>
        <w:spacing w:line="400" w:lineRule="exact"/>
        <w:jc w:val="left"/>
        <w:textAlignment w:val="auto"/>
        <w:rPr>
          <w:rFonts w:ascii="宋体" w:hAnsi="宋体" w:eastAsia="宋体" w:cs="宋体"/>
          <w:color w:val="auto"/>
        </w:rPr>
      </w:pPr>
      <w:r>
        <w:rPr>
          <w:rFonts w:hint="eastAsia" w:ascii="宋体" w:hAnsi="宋体" w:eastAsia="宋体" w:cs="宋体"/>
          <w:color w:val="auto"/>
        </w:rPr>
        <w:t>备注：超过最高限价的报价，视为无效投标</w:t>
      </w:r>
    </w:p>
    <w:tbl>
      <w:tblPr>
        <w:tblStyle w:val="12"/>
        <w:tblW w:w="4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029"/>
        <w:gridCol w:w="144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auto"/>
              </w:rPr>
            </w:pPr>
            <w:r>
              <w:rPr>
                <w:rFonts w:hint="eastAsia" w:ascii="宋体" w:hAnsi="宋体"/>
                <w:bCs/>
                <w:color w:val="auto"/>
              </w:rPr>
              <w:t>序号</w:t>
            </w:r>
          </w:p>
        </w:tc>
        <w:tc>
          <w:tcPr>
            <w:tcW w:w="2109"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auto"/>
              </w:rPr>
            </w:pPr>
            <w:r>
              <w:rPr>
                <w:rFonts w:hint="eastAsia" w:ascii="宋体" w:hAnsi="宋体" w:cs="宋体"/>
                <w:bCs/>
                <w:color w:val="auto"/>
              </w:rPr>
              <w:t>产品名称</w:t>
            </w:r>
          </w:p>
        </w:tc>
        <w:tc>
          <w:tcPr>
            <w:tcW w:w="100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宋体" w:eastAsiaTheme="minorEastAsia"/>
                <w:bCs/>
                <w:color w:val="auto"/>
                <w:lang w:val="en-US" w:eastAsia="zh-CN"/>
              </w:rPr>
            </w:pPr>
            <w:r>
              <w:rPr>
                <w:rFonts w:hint="eastAsia" w:ascii="宋体" w:hAnsi="宋体" w:cs="宋体"/>
                <w:bCs/>
                <w:color w:val="auto"/>
              </w:rPr>
              <w:t>数量</w:t>
            </w:r>
            <w:r>
              <w:rPr>
                <w:rFonts w:hint="eastAsia" w:ascii="宋体" w:hAnsi="宋体" w:cs="宋体"/>
                <w:bCs/>
                <w:color w:val="auto"/>
                <w:lang w:val="en-US" w:eastAsia="zh-CN"/>
              </w:rPr>
              <w:t>(台)</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rPr>
            </w:pPr>
            <w:r>
              <w:rPr>
                <w:rFonts w:hint="eastAsia" w:ascii="宋体" w:hAnsi="宋体" w:cs="宋体"/>
                <w:bCs/>
                <w:color w:val="auto"/>
              </w:rPr>
              <w:t>最高限价</w:t>
            </w:r>
          </w:p>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rPr>
            </w:pPr>
            <w:r>
              <w:rPr>
                <w:rFonts w:hint="eastAsia" w:ascii="宋体" w:hAnsi="宋体" w:cs="宋体"/>
                <w:bCs/>
                <w:color w:val="auto"/>
              </w:rPr>
              <w:t>（</w:t>
            </w:r>
            <w:r>
              <w:rPr>
                <w:rFonts w:hint="eastAsia" w:ascii="宋体" w:hAnsi="宋体"/>
                <w:color w:val="auto"/>
              </w:rPr>
              <w:t>万元</w:t>
            </w:r>
            <w:r>
              <w:rPr>
                <w:rFonts w:hint="eastAsia" w:ascii="宋体" w:hAnsi="宋体" w:cs="宋体"/>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Theme="minorEastAsia"/>
                <w:color w:val="auto"/>
                <w:lang w:eastAsia="zh-CN"/>
              </w:rPr>
            </w:pPr>
            <w:r>
              <w:rPr>
                <w:rFonts w:hint="eastAsia" w:ascii="宋体" w:hAnsi="宋体"/>
                <w:color w:val="auto"/>
                <w:lang w:val="en-US" w:eastAsia="zh-CN"/>
              </w:rPr>
              <w:t>1</w:t>
            </w:r>
          </w:p>
        </w:tc>
        <w:tc>
          <w:tcPr>
            <w:tcW w:w="3029" w:type="dxa"/>
            <w:vAlign w:val="center"/>
          </w:tcPr>
          <w:p>
            <w:pPr>
              <w:keepNext w:val="0"/>
              <w:keepLines w:val="0"/>
              <w:widowControl/>
              <w:suppressLineNumbers w:val="0"/>
              <w:jc w:val="center"/>
              <w:textAlignment w:val="center"/>
              <w:rPr>
                <w:rFonts w:hint="default" w:ascii="宋体" w:hAnsi="宋体" w:eastAsia="宋体" w:cs="宋体"/>
                <w:bCs/>
                <w:kern w:val="2"/>
                <w:sz w:val="21"/>
                <w:szCs w:val="22"/>
                <w:lang w:val="en-US" w:eastAsia="zh-CN" w:bidi="ar-SA"/>
              </w:rPr>
            </w:pPr>
            <w:r>
              <w:rPr>
                <w:rFonts w:hint="eastAsia" w:ascii="宋体" w:hAnsi="宋体" w:eastAsia="宋体" w:cs="Times New Roman"/>
                <w:color w:val="000000"/>
                <w:lang w:val="en-US" w:eastAsia="zh-CN"/>
              </w:rPr>
              <w:t>全自动血型分析仪</w:t>
            </w:r>
          </w:p>
        </w:tc>
        <w:tc>
          <w:tcPr>
            <w:tcW w:w="1441" w:type="dxa"/>
            <w:vAlign w:val="center"/>
          </w:tcPr>
          <w:p>
            <w:pPr>
              <w:keepNext w:val="0"/>
              <w:keepLines w:val="0"/>
              <w:widowControl/>
              <w:suppressLineNumbers w:val="0"/>
              <w:jc w:val="center"/>
              <w:textAlignment w:val="center"/>
              <w:rPr>
                <w:rFonts w:hint="default" w:ascii="宋体" w:hAnsi="Times New Roman" w:eastAsia="宋体" w:cs="Times New Roman"/>
                <w:color w:val="auto"/>
                <w:lang w:val="en-US" w:eastAsia="zh-CN"/>
              </w:rPr>
            </w:pPr>
            <w:r>
              <w:rPr>
                <w:rFonts w:hint="eastAsia" w:ascii="宋体" w:hAnsi="宋体" w:eastAsia="宋体" w:cs="Times New Roman"/>
                <w:color w:val="000000"/>
                <w:lang w:val="en-US" w:eastAsia="zh-CN"/>
              </w:rPr>
              <w:t>2</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0.4</w:t>
            </w:r>
          </w:p>
        </w:tc>
      </w:tr>
    </w:tbl>
    <w:p>
      <w:pPr>
        <w:keepNext w:val="0"/>
        <w:keepLines w:val="0"/>
        <w:pageBreakBefore w:val="0"/>
        <w:kinsoku/>
        <w:wordWrap/>
        <w:overflowPunct/>
        <w:topLinePunct w:val="0"/>
        <w:bidi w:val="0"/>
        <w:snapToGrid/>
        <w:spacing w:line="400" w:lineRule="exact"/>
        <w:jc w:val="left"/>
        <w:textAlignment w:val="auto"/>
        <w:rPr>
          <w:b/>
          <w:bCs/>
          <w:color w:val="auto"/>
        </w:rPr>
      </w:pPr>
      <w:r>
        <w:rPr>
          <w:rFonts w:hint="eastAsia"/>
          <w:b/>
          <w:bCs/>
          <w:color w:val="auto"/>
        </w:rPr>
        <w:t>二、技术要求：</w:t>
      </w:r>
    </w:p>
    <w:p>
      <w:pPr>
        <w:keepNext w:val="0"/>
        <w:keepLines w:val="0"/>
        <w:pageBreakBefore w:val="0"/>
        <w:kinsoku/>
        <w:wordWrap/>
        <w:overflowPunct/>
        <w:topLinePunct w:val="0"/>
        <w:bidi w:val="0"/>
        <w:snapToGrid/>
        <w:spacing w:line="400" w:lineRule="exact"/>
        <w:jc w:val="left"/>
        <w:textAlignment w:val="auto"/>
        <w:rPr>
          <w:rFonts w:ascii="仿宋" w:hAnsi="仿宋" w:eastAsia="仿宋" w:cs="Segoe UI"/>
          <w:b/>
          <w:color w:val="auto"/>
          <w:spacing w:val="8"/>
          <w:kern w:val="0"/>
          <w:sz w:val="28"/>
          <w:szCs w:val="28"/>
        </w:rPr>
      </w:pPr>
      <w:r>
        <w:rPr>
          <w:rFonts w:hint="eastAsia"/>
          <w:color w:val="auto"/>
        </w:rPr>
        <w:t>说明：本章中标注“★”的条款为本项目的实质性条款，投标人不满足的，将按照无效投标处理</w:t>
      </w:r>
      <w:r>
        <w:rPr>
          <w:rFonts w:hint="eastAsia" w:ascii="仿宋" w:hAnsi="仿宋" w:eastAsia="仿宋" w:cs="Segoe UI"/>
          <w:b/>
          <w:color w:val="auto"/>
          <w:spacing w:val="8"/>
          <w:kern w:val="0"/>
          <w:sz w:val="28"/>
          <w:szCs w:val="28"/>
        </w:rPr>
        <w:t>。</w:t>
      </w:r>
    </w:p>
    <w:p>
      <w:pPr>
        <w:numPr>
          <w:ilvl w:val="0"/>
          <w:numId w:val="1"/>
        </w:numPr>
        <w:spacing w:line="360" w:lineRule="exact"/>
        <w:rPr>
          <w:rFonts w:hint="eastAsia" w:ascii="Times New Roman" w:hAnsi="Times New Roman" w:eastAsia="宋体" w:cs="Times New Roman"/>
          <w:lang w:val="en-US" w:eastAsia="zh-CN"/>
        </w:rPr>
      </w:pPr>
      <w:bookmarkStart w:id="1" w:name="OLE_LINK2"/>
      <w:bookmarkStart w:id="2" w:name="OLE_LINK1"/>
      <w:r>
        <w:rPr>
          <w:rFonts w:hint="eastAsia" w:ascii="Times New Roman" w:hAnsi="Times New Roman" w:eastAsia="宋体" w:cs="Times New Roman"/>
          <w:lang w:val="en-US" w:eastAsia="zh-CN"/>
        </w:rPr>
        <w:t>▲</w:t>
      </w:r>
      <w:bookmarkEnd w:id="1"/>
      <w:r>
        <w:rPr>
          <w:rFonts w:hint="default" w:ascii="Times New Roman" w:hAnsi="Times New Roman" w:eastAsia="宋体" w:cs="Times New Roman"/>
          <w:lang w:val="en-US" w:eastAsia="zh-CN"/>
        </w:rPr>
        <w:t>检测项目：</w:t>
      </w:r>
      <w:r>
        <w:rPr>
          <w:rFonts w:hint="eastAsia" w:ascii="Times New Roman" w:hAnsi="Times New Roman" w:eastAsia="宋体" w:cs="Times New Roman"/>
          <w:lang w:val="en-US" w:eastAsia="zh-CN"/>
        </w:rPr>
        <w:t>支持 ABO 血型检测、RhD 血型检测、抗体筛查、交叉配血、抗体效价测定、直接抗人球蛋白试验等检测项目。</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自动化程度：</w:t>
      </w:r>
      <w:r>
        <w:rPr>
          <w:rFonts w:hint="eastAsia" w:ascii="Times New Roman" w:hAnsi="Times New Roman" w:eastAsia="宋体" w:cs="Times New Roman"/>
          <w:lang w:val="en-US" w:eastAsia="zh-CN"/>
        </w:rPr>
        <w:t>全流程自动完成，涵盖样品条码扫描、试剂卡装载、定量加样、梯度稀释、恒温孵育、离心分离及结果判读，无需人工干预。</w:t>
      </w:r>
      <w:bookmarkEnd w:id="2"/>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检测方法：</w:t>
      </w:r>
      <w:r>
        <w:rPr>
          <w:rFonts w:hint="eastAsia" w:ascii="Times New Roman" w:hAnsi="Times New Roman" w:eastAsia="宋体" w:cs="Times New Roman"/>
          <w:lang w:val="en-US" w:eastAsia="zh-CN"/>
        </w:rPr>
        <w:t>采用微柱凝胶法作为标准检测技术。有与仪器同品牌的配套试剂卡、反定型细胞、抗筛细胞等专用试剂，确保检测结果的准确性与可溯源性。</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抗体效价检测：</w:t>
      </w:r>
      <w:r>
        <w:rPr>
          <w:rFonts w:hint="eastAsia" w:ascii="Times New Roman" w:hAnsi="Times New Roman" w:eastAsia="宋体" w:cs="Times New Roman"/>
          <w:lang w:val="en-US" w:eastAsia="zh-CN"/>
        </w:rPr>
        <w:t>具备连续梯度稀释功能，可自动完成抗体效价的梯度稀释与检测。</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配套试剂管理</w:t>
      </w:r>
      <w:r>
        <w:rPr>
          <w:rFonts w:hint="eastAsia" w:ascii="Times New Roman" w:hAnsi="Times New Roman" w:eastAsia="宋体" w:cs="Times New Roman"/>
          <w:lang w:val="en-US" w:eastAsia="zh-CN"/>
        </w:rPr>
        <w:t>：抗筛细胞谱包含完整抗原体系，至少涵盖 D、C、c、E、e、M、N、S、s、Fya、Fyb、Jka、Jkb、k、K、Lea、Leb 等抗原，其中剂量效应抗原需以纯合子形式表达。</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单克隆抗体溯源：</w:t>
      </w:r>
      <w:r>
        <w:rPr>
          <w:rFonts w:hint="eastAsia" w:ascii="Times New Roman" w:hAnsi="Times New Roman" w:eastAsia="宋体" w:cs="Times New Roman"/>
          <w:lang w:val="en-US" w:eastAsia="zh-CN"/>
        </w:rPr>
        <w:t>所有配套试剂卡中添加的单克隆抗体均提供明确克隆号，保障试验结果的准确性、可溯源性及数据真实性。</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检测灵活性</w:t>
      </w:r>
      <w:r>
        <w:rPr>
          <w:rFonts w:hint="eastAsia" w:ascii="Times New Roman" w:hAnsi="Times New Roman" w:eastAsia="宋体" w:cs="Times New Roman"/>
          <w:lang w:val="en-US" w:eastAsia="zh-CN"/>
        </w:rPr>
        <w:t>：支持循环进样与持续加载试剂卡，可自定义单个标本检测项目，实现同一批样本中 ABO 血型定型、Rh（D）血型定型、不规则抗体筛查及交叉配血等多项目并行检测。</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▲卡孔打孔方式：可根据实验需求自动计算打孔数量并打孔，避免试剂卡浪费。</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红细胞稀释：配备独立红细胞稀释位，支持自动稀释及清洗流程，无需依赖微孔板或专用稀释条等额外耗材。</w:t>
      </w:r>
    </w:p>
    <w:p>
      <w:pPr>
        <w:numPr>
          <w:ilvl w:val="0"/>
          <w:numId w:val="1"/>
        </w:numPr>
        <w:spacing w:line="36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进样方式：进样模式支持连续及随机进样，可在检测过程中实时插入常规或急诊样本，并支持将已上机未加样的常规标本动态切换为急诊优先级，急诊样本插入位置与数量无限制，系统自动触发优先级检测流程。</w:t>
      </w:r>
    </w:p>
    <w:p>
      <w:pPr>
        <w:numPr>
          <w:ilvl w:val="0"/>
          <w:numId w:val="1"/>
        </w:numPr>
        <w:spacing w:line="36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机械臂系统</w:t>
      </w:r>
      <w:r>
        <w:rPr>
          <w:rFonts w:hint="eastAsia" w:ascii="Times New Roman" w:hAnsi="Times New Roman" w:eastAsia="宋体" w:cs="Times New Roman"/>
          <w:lang w:val="en-US" w:eastAsia="zh-CN"/>
        </w:rPr>
        <w:t>：配备至少 2 个独立机械臂，分别用于精准加样操作及试剂卡转运，确保功能分离与高效协同。</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检测速度：</w:t>
      </w:r>
      <w:r>
        <w:rPr>
          <w:rFonts w:hint="eastAsia" w:ascii="Times New Roman" w:hAnsi="Times New Roman" w:eastAsia="宋体" w:cs="Times New Roman"/>
          <w:lang w:val="en-US" w:eastAsia="zh-CN"/>
        </w:rPr>
        <w:t>不低于 400 个测试孔 / 小时。</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试剂管理模块</w:t>
      </w:r>
      <w:r>
        <w:rPr>
          <w:rFonts w:hint="eastAsia" w:ascii="Times New Roman" w:hAnsi="Times New Roman" w:eastAsia="宋体" w:cs="Times New Roman"/>
          <w:lang w:val="en-US" w:eastAsia="zh-CN"/>
        </w:rPr>
        <w:t>：带混匀功能的试剂位不少于 12 个。</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▲试剂卡储存位：容量≥200 张凝胶卡。</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孵育器：卡位≥24 个，温度可根据检测项目自动调节。</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离心机：配置 2 台独立离心机，总离心卡位≥24 个。</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可疑样本管理：</w:t>
      </w:r>
      <w:r>
        <w:rPr>
          <w:rFonts w:hint="eastAsia" w:ascii="Times New Roman" w:hAnsi="Times New Roman" w:eastAsia="宋体" w:cs="Times New Roman"/>
          <w:lang w:val="en-US" w:eastAsia="zh-CN"/>
        </w:rPr>
        <w:t>设置独立可疑卡位（≥24 个），与新卡位物理隔离，自动存储仪器判读模糊的试剂卡，便于人工复核。</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条码识别系统</w:t>
      </w:r>
      <w:r>
        <w:rPr>
          <w:rFonts w:hint="eastAsia" w:ascii="Times New Roman" w:hAnsi="Times New Roman" w:eastAsia="宋体" w:cs="Times New Roman"/>
          <w:lang w:val="en-US" w:eastAsia="zh-CN"/>
        </w:rPr>
        <w:t>：配置≥1 个标本条码扫描仪，装载标本时自动完成条码扫描。</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条码识别系统</w:t>
      </w:r>
      <w:r>
        <w:rPr>
          <w:rFonts w:hint="eastAsia" w:ascii="Times New Roman" w:hAnsi="Times New Roman" w:eastAsia="宋体" w:cs="Times New Roman"/>
          <w:lang w:val="en-US" w:eastAsia="zh-CN"/>
        </w:rPr>
        <w:t>：配置≥1 个独立凝胶卡条码扫描仪，通过机械抓手逐卡扫描并自动识别试剂卡类型，与标本扫描仪模块独立，不可共用。</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试剂监控：</w:t>
      </w:r>
      <w:r>
        <w:rPr>
          <w:rFonts w:hint="eastAsia" w:ascii="Times New Roman" w:hAnsi="Times New Roman" w:eastAsia="宋体" w:cs="Times New Roman"/>
          <w:lang w:val="en-US" w:eastAsia="zh-CN"/>
        </w:rPr>
        <w:t>实时追踪试剂库存变化，在软件界面动态显示；试剂液量不足或废液量超标时自动报警，支持未用完凝胶卡的识别与存储，直至有效期截止。</w:t>
      </w:r>
    </w:p>
    <w:p>
      <w:pPr>
        <w:numPr>
          <w:ilvl w:val="0"/>
          <w:numId w:val="1"/>
        </w:numPr>
        <w:spacing w:line="36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样本追溯：</w:t>
      </w:r>
      <w:r>
        <w:rPr>
          <w:rFonts w:hint="eastAsia" w:ascii="Times New Roman" w:hAnsi="Times New Roman" w:eastAsia="宋体" w:cs="Times New Roman"/>
          <w:lang w:val="en-US" w:eastAsia="zh-CN"/>
        </w:rPr>
        <w:t>具备全流程追踪记忆功能，实时显示样本状态（等待、加样中、结果审核、LIS 输出等）；对原始结果修改及审核操作设置权限管理，自动记录并保存修改日志。</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结果判读</w:t>
      </w:r>
      <w:r>
        <w:rPr>
          <w:rFonts w:hint="eastAsia" w:ascii="Times New Roman" w:hAnsi="Times New Roman" w:eastAsia="宋体" w:cs="Times New Roman"/>
          <w:lang w:val="en-US" w:eastAsia="zh-CN"/>
        </w:rPr>
        <w:t>：采用彩色摄像机实现图像判读，确保结果图片真实清晰。</w:t>
      </w:r>
    </w:p>
    <w:p>
      <w:pPr>
        <w:numPr>
          <w:ilvl w:val="0"/>
          <w:numId w:val="1"/>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数据传输：支持与实验室 LIS 系统双向数据通讯，开放接入端口，报价包含端口费用，原始检测图像永久保存并支持导出备份与溯源查询。</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使用期限：</w:t>
      </w:r>
      <w:r>
        <w:rPr>
          <w:rFonts w:hint="eastAsia" w:ascii="Times New Roman" w:hAnsi="Times New Roman" w:eastAsia="宋体" w:cs="Times New Roman"/>
          <w:lang w:val="en-US" w:eastAsia="zh-CN"/>
        </w:rPr>
        <w:t>设备设计使用年限≥6 年。</w:t>
      </w:r>
    </w:p>
    <w:p>
      <w:pPr>
        <w:numPr>
          <w:ilvl w:val="0"/>
          <w:numId w:val="1"/>
        </w:numPr>
        <w:spacing w:line="360" w:lineRule="exact"/>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软件系统：</w:t>
      </w:r>
      <w:r>
        <w:rPr>
          <w:rFonts w:hint="eastAsia" w:ascii="Times New Roman" w:hAnsi="Times New Roman" w:eastAsia="宋体" w:cs="Times New Roman"/>
          <w:lang w:val="en-US" w:eastAsia="zh-CN"/>
        </w:rPr>
        <w:t>配备全中文操作界面，支持试验特殊结果提示（如 RhD 阴性标注）及人工修改结果标注功能。</w:t>
      </w:r>
    </w:p>
    <w:p>
      <w:pPr>
        <w:numPr>
          <w:ilvl w:val="0"/>
          <w:numId w:val="0"/>
        </w:numPr>
        <w:spacing w:line="360" w:lineRule="exact"/>
        <w:ind w:left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26.</w:t>
      </w:r>
      <w:r>
        <w:rPr>
          <w:rFonts w:hint="default" w:ascii="Times New Roman" w:hAnsi="Times New Roman" w:eastAsia="宋体" w:cs="Times New Roman"/>
          <w:lang w:val="en-US" w:eastAsia="zh-CN"/>
        </w:rPr>
        <w:t>安全报警：</w:t>
      </w:r>
      <w:r>
        <w:rPr>
          <w:rFonts w:hint="eastAsia" w:ascii="Times New Roman" w:hAnsi="Times New Roman" w:eastAsia="宋体" w:cs="Times New Roman"/>
          <w:lang w:val="en-US" w:eastAsia="zh-CN"/>
        </w:rPr>
        <w:t>具备全密闭外观结构，集成声音与指示灯双重报警系统。</w:t>
      </w:r>
    </w:p>
    <w:p>
      <w:pPr>
        <w:numPr>
          <w:ilvl w:val="0"/>
          <w:numId w:val="0"/>
        </w:numPr>
        <w:spacing w:line="360" w:lineRule="exact"/>
        <w:ind w:leftChars="0"/>
        <w:jc w:val="left"/>
        <w:rPr>
          <w:b/>
          <w:bCs/>
          <w:color w:val="auto"/>
        </w:rPr>
      </w:pPr>
      <w:r>
        <w:rPr>
          <w:rFonts w:hint="eastAsia"/>
          <w:b/>
          <w:bCs/>
          <w:color w:val="auto"/>
        </w:rPr>
        <w:t>三、商务要求：</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及地点</w:t>
      </w:r>
    </w:p>
    <w:p>
      <w:pPr>
        <w:numPr>
          <w:ilvl w:val="0"/>
          <w:numId w:val="0"/>
        </w:numPr>
        <w:spacing w:line="360" w:lineRule="exact"/>
        <w:rPr>
          <w:rFonts w:hint="eastAsia"/>
          <w:lang w:eastAsia="zh-CN"/>
        </w:rPr>
      </w:pPr>
      <w:r>
        <w:rPr>
          <w:rFonts w:hint="eastAsia" w:ascii="宋体" w:hAnsi="宋体" w:eastAsia="宋体" w:cs="宋体"/>
          <w:color w:val="000000"/>
          <w:kern w:val="0"/>
          <w:lang w:eastAsia="zh-CN"/>
        </w:rPr>
        <w:t xml:space="preserve">1.1 </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w:t>
      </w:r>
      <w:r>
        <w:rPr>
          <w:rFonts w:hint="eastAsia"/>
          <w:lang w:val="en-US" w:eastAsia="zh-CN"/>
        </w:rPr>
        <w:t>经甲乙双方法定代表人（或授权代表）签字并加盖公章（或合同专用章）之日起生效</w:t>
      </w:r>
      <w:r>
        <w:rPr>
          <w:rFonts w:hint="eastAsia"/>
          <w:lang w:eastAsia="zh-CN"/>
        </w:rPr>
        <w:t>，完成日期：</w:t>
      </w:r>
      <w:r>
        <w:rPr>
          <w:rFonts w:hint="eastAsia"/>
          <w:lang w:val="en-US" w:eastAsia="zh-CN"/>
        </w:rPr>
        <w:t>质保期结束之日</w:t>
      </w:r>
      <w:r>
        <w:rPr>
          <w:rFonts w:hint="eastAsia"/>
          <w:lang w:eastAsia="zh-CN"/>
        </w:rPr>
        <w:t>。</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1.2 </w:t>
      </w:r>
      <w:r>
        <w:rPr>
          <w:rFonts w:hint="eastAsia" w:ascii="宋体" w:hAnsi="宋体" w:eastAsia="宋体" w:cs="宋体"/>
          <w:color w:val="000000"/>
          <w:kern w:val="0"/>
          <w:lang w:val="en-US" w:eastAsia="zh-CN"/>
        </w:rPr>
        <w:t>合同履行</w:t>
      </w:r>
      <w:r>
        <w:rPr>
          <w:rFonts w:hint="eastAsia" w:ascii="宋体" w:hAnsi="宋体" w:eastAsia="宋体" w:cs="宋体"/>
          <w:color w:val="000000"/>
          <w:kern w:val="0"/>
          <w:lang w:eastAsia="zh-CN"/>
        </w:rPr>
        <w:t>地点：四川省妇幼保健院。</w:t>
      </w:r>
    </w:p>
    <w:p>
      <w:pPr>
        <w:numPr>
          <w:ilvl w:val="0"/>
          <w:numId w:val="0"/>
        </w:numPr>
        <w:spacing w:line="360" w:lineRule="exact"/>
        <w:rPr>
          <w:rFonts w:hint="eastAsia"/>
          <w:lang w:eastAsia="zh-CN"/>
        </w:rPr>
      </w:pPr>
      <w:r>
        <w:rPr>
          <w:rFonts w:hint="eastAsia"/>
          <w:lang w:val="en-US" w:eastAsia="zh-CN"/>
        </w:rPr>
        <w:t>1.3交货期限：</w:t>
      </w:r>
      <w:r>
        <w:rPr>
          <w:rFonts w:hint="eastAsia"/>
          <w:lang w:eastAsia="zh-CN"/>
        </w:rPr>
        <w:t>合同签订生效后，收到采购人通知后30日内完成安装调试并交付采购人验收。</w:t>
      </w:r>
    </w:p>
    <w:p>
      <w:pPr>
        <w:spacing w:line="360" w:lineRule="exact"/>
        <w:rPr>
          <w:rFonts w:hint="eastAsia" w:ascii="宋体" w:hAnsi="宋体" w:cs="宋体"/>
          <w:color w:val="000000"/>
          <w:kern w:val="0"/>
        </w:rPr>
      </w:pPr>
      <w:r>
        <w:rPr>
          <w:rFonts w:hint="eastAsia" w:ascii="宋体" w:hAnsi="宋体" w:eastAsia="宋体" w:cs="宋体"/>
          <w:b w:val="0"/>
          <w:bCs w:val="0"/>
          <w:color w:val="000000"/>
          <w:kern w:val="0"/>
          <w:lang w:eastAsia="zh-CN"/>
        </w:rPr>
        <w:t>2.付款方法和条件：</w:t>
      </w:r>
      <w:r>
        <w:rPr>
          <w:rFonts w:hint="eastAsia" w:ascii="宋体" w:hAnsi="宋体" w:cs="宋体"/>
          <w:color w:val="000000"/>
          <w:kern w:val="0"/>
        </w:rPr>
        <w:t>采购人验收合格后5日内，供应商须向采购人出具合法有效完整的完税发票及凭证资料，采购人自收到上述发票及凭证资料后60 日内支付合同总价 100%的货款给供应商。</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3.安装调试及验收：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3.1中标人负责货物安装、调试。</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3.3完成中标产品所有安装、调试、培训后，采购人组织项目验收，验收标准按照《财政部关于进一步加强政府采购需求和履约验收管理的指导意见》（财库〔2016〕205号）、招标文件、中标人投标文件为准。</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3.4</w:t>
      </w:r>
      <w:r>
        <w:rPr>
          <w:rFonts w:hint="eastAsia" w:ascii="宋体" w:hAnsi="宋体" w:eastAsia="宋体" w:cs="宋体"/>
          <w:color w:val="000000"/>
          <w:kern w:val="0"/>
          <w:lang w:eastAsia="zh-CN"/>
        </w:rPr>
        <w:t>初验：供应商设备交付后，提出验收申请之日起15日内组织验收，初验合格后不付款。终验：设备试运行一个月后，乙方向甲方提出最终验收申请，甲方收到验收申请之日起计15天内组织验收。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4.售后服务：</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4.1质保期：</w:t>
      </w:r>
      <w:r>
        <w:rPr>
          <w:rFonts w:hint="eastAsia"/>
        </w:rPr>
        <w:t>最终验收合格后提供至少5年原厂质保</w:t>
      </w:r>
      <w:r>
        <w:rPr>
          <w:rFonts w:hint="eastAsia"/>
          <w:lang w:eastAsia="zh-CN"/>
        </w:rPr>
        <w:t>，</w:t>
      </w:r>
      <w:r>
        <w:rPr>
          <w:rFonts w:hint="eastAsia"/>
        </w:rPr>
        <w:t>含整机所有部件；</w:t>
      </w:r>
      <w:r>
        <w:rPr>
          <w:rFonts w:hint="eastAsia" w:ascii="宋体" w:hAnsi="宋体" w:eastAsia="宋体" w:cs="宋体"/>
          <w:color w:val="000000"/>
          <w:kern w:val="0"/>
          <w:lang w:val="en-US" w:eastAsia="zh-CN"/>
        </w:rPr>
        <w:t>如质保期内部件损坏，中标人应更换全新原厂配件，并对更换部件延长一年质保。</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4.2中标人接到采购人故障通知后4小时内响应，</w:t>
      </w:r>
      <w:r>
        <w:rPr>
          <w:rFonts w:hint="eastAsia" w:ascii="宋体" w:hAnsi="宋体" w:eastAsia="宋体" w:cs="宋体"/>
          <w:color w:val="000000"/>
          <w:kern w:val="0"/>
          <w:lang w:val="en-US" w:eastAsia="zh-CN"/>
        </w:rPr>
        <w:t>24</w:t>
      </w:r>
      <w:r>
        <w:rPr>
          <w:rFonts w:hint="eastAsia" w:ascii="宋体" w:hAnsi="宋体" w:eastAsia="宋体" w:cs="宋体"/>
          <w:color w:val="000000"/>
          <w:kern w:val="0"/>
          <w:lang w:eastAsia="zh-CN"/>
        </w:rPr>
        <w:t>小时内到达现场维修，如维修不涉及零配件更换，应在</w:t>
      </w:r>
      <w:r>
        <w:rPr>
          <w:rFonts w:hint="eastAsia" w:ascii="宋体" w:hAnsi="宋体" w:eastAsia="宋体" w:cs="宋体"/>
          <w:color w:val="000000"/>
          <w:kern w:val="0"/>
          <w:lang w:val="en-US" w:eastAsia="zh-CN"/>
        </w:rPr>
        <w:t>48</w:t>
      </w:r>
      <w:r>
        <w:rPr>
          <w:rFonts w:hint="eastAsia" w:ascii="宋体" w:hAnsi="宋体" w:eastAsia="宋体" w:cs="宋体"/>
          <w:color w:val="000000"/>
          <w:kern w:val="0"/>
          <w:lang w:eastAsia="zh-CN"/>
        </w:rPr>
        <w:t>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4.4如货物涉及软件升级，中标人承诺为采购人提供软件升级服务，费用包含在投标总价内，采购人不再另行支付费用。</w:t>
      </w:r>
    </w:p>
    <w:p>
      <w:pPr>
        <w:spacing w:line="360" w:lineRule="exact"/>
        <w:rPr>
          <w:rFonts w:hint="eastAsia"/>
        </w:rPr>
      </w:pPr>
      <w:r>
        <w:rPr>
          <w:rFonts w:hint="eastAsia" w:ascii="宋体" w:hAnsi="宋体" w:eastAsia="宋体" w:cs="宋体"/>
          <w:color w:val="000000"/>
          <w:kern w:val="0"/>
          <w:lang w:eastAsia="zh-CN"/>
        </w:rPr>
        <w:t>4.5中标人应承诺保证设备停产后至少5年的零配件供应。</w:t>
      </w:r>
      <w:r>
        <w:rPr>
          <w:rFonts w:hint="eastAsia"/>
        </w:rPr>
        <w:t>每</w:t>
      </w:r>
      <w:r>
        <w:rPr>
          <w:rFonts w:hint="eastAsia"/>
          <w:lang w:val="en-US" w:eastAsia="zh-CN"/>
        </w:rPr>
        <w:t>半</w:t>
      </w:r>
      <w:r>
        <w:rPr>
          <w:rFonts w:hint="eastAsia"/>
        </w:rPr>
        <w:t>年</w:t>
      </w:r>
      <w:r>
        <w:rPr>
          <w:rFonts w:hint="eastAsia"/>
          <w:lang w:val="en-US" w:eastAsia="zh-CN"/>
        </w:rPr>
        <w:t>提供</w:t>
      </w:r>
      <w:r>
        <w:rPr>
          <w:rFonts w:hint="eastAsia"/>
        </w:rPr>
        <w:t>巡检</w:t>
      </w:r>
      <w:r>
        <w:rPr>
          <w:rFonts w:hint="eastAsia"/>
          <w:lang w:val="en-US" w:eastAsia="zh-CN"/>
        </w:rPr>
        <w:t>及保养</w:t>
      </w:r>
      <w:r>
        <w:rPr>
          <w:rFonts w:hint="eastAsia"/>
        </w:rPr>
        <w:t>≥</w:t>
      </w:r>
      <w:r>
        <w:rPr>
          <w:rFonts w:hint="eastAsia"/>
          <w:lang w:val="en-US" w:eastAsia="zh-CN"/>
        </w:rPr>
        <w:t>1</w:t>
      </w:r>
      <w:r>
        <w:rPr>
          <w:rFonts w:hint="eastAsia"/>
        </w:rPr>
        <w:t>次，并提供巡检</w:t>
      </w:r>
      <w:r>
        <w:rPr>
          <w:rFonts w:hint="eastAsia"/>
          <w:lang w:val="en-US" w:eastAsia="zh-CN"/>
        </w:rPr>
        <w:t>及保养</w:t>
      </w:r>
      <w:r>
        <w:rPr>
          <w:rFonts w:hint="eastAsia"/>
        </w:rPr>
        <w:t>记录。</w:t>
      </w:r>
    </w:p>
    <w:p>
      <w:pPr>
        <w:numPr>
          <w:numId w:val="0"/>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5.设备配套试剂报价说明：</w:t>
      </w:r>
    </w:p>
    <w:p>
      <w:pPr>
        <w:spacing w:line="360" w:lineRule="exact"/>
        <w:rPr>
          <w:rFonts w:hint="eastAsia" w:ascii="Times New Roman" w:hAnsi="Times New Roman" w:eastAsia="宋体" w:cs="Times New Roman"/>
          <w:b/>
          <w:bCs/>
          <w:lang w:val="en-US" w:eastAsia="zh-CN"/>
        </w:rPr>
      </w:pPr>
      <w:r>
        <w:rPr>
          <w:rFonts w:hint="eastAsia" w:ascii="Times New Roman" w:hAnsi="Times New Roman" w:eastAsia="宋体" w:cs="Times New Roman"/>
          <w:lang w:val="en-US" w:eastAsia="zh-CN"/>
        </w:rPr>
        <w:t>5.1在保障设备正常运行的基础上，投标人按照以下检测项目及预估10000个测试进行报价，报价需包含检测项目涉及的所有配套试剂/耗材清单及价格；如配套试剂耗材为多种规格，需逐一提供报价，测试总价请投标人按照配套试剂/耗材平均价进行测算每测试价格。即，</w:t>
      </w:r>
      <w:r>
        <w:rPr>
          <w:rFonts w:hint="eastAsia" w:ascii="Times New Roman" w:hAnsi="Times New Roman" w:eastAsia="宋体" w:cs="Times New Roman"/>
          <w:b/>
          <w:bCs/>
          <w:lang w:val="en-US" w:eastAsia="zh-CN"/>
        </w:rPr>
        <w:t>测试总价=（每测试单价或均价</w:t>
      </w:r>
      <w:r>
        <w:rPr>
          <w:rFonts w:hint="default" w:ascii="Arial" w:hAnsi="Arial" w:eastAsia="宋体" w:cs="Arial"/>
          <w:b/>
          <w:bCs/>
          <w:lang w:val="en-US" w:eastAsia="zh-CN"/>
        </w:rPr>
        <w:t>×</w:t>
      </w:r>
      <w:r>
        <w:rPr>
          <w:rFonts w:hint="eastAsia" w:ascii="Arial" w:hAnsi="Arial" w:eastAsia="宋体" w:cs="Arial"/>
          <w:b/>
          <w:bCs/>
          <w:lang w:val="en-US" w:eastAsia="zh-CN"/>
        </w:rPr>
        <w:t>预估</w:t>
      </w:r>
      <w:r>
        <w:rPr>
          <w:rFonts w:hint="eastAsia" w:ascii="Times New Roman" w:hAnsi="Times New Roman" w:eastAsia="宋体" w:cs="Times New Roman"/>
          <w:b/>
          <w:bCs/>
          <w:lang w:val="en-US" w:eastAsia="zh-CN"/>
        </w:rPr>
        <w:t>10000个测试）+非每次使用总价，格式参考表1。</w:t>
      </w:r>
    </w:p>
    <w:p>
      <w:pPr>
        <w:spacing w:line="360" w:lineRule="exac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lang w:val="en-US" w:eastAsia="zh-CN"/>
        </w:rPr>
        <w:t>5.2需提供配套检验项目中的试剂/耗材的产品</w:t>
      </w:r>
      <w:r>
        <w:rPr>
          <w:rFonts w:hint="eastAsia" w:ascii="Times New Roman" w:hAnsi="Times New Roman" w:eastAsia="宋体" w:cs="Times New Roman"/>
          <w:color w:val="000000" w:themeColor="text1"/>
          <w:lang w:val="en-US" w:eastAsia="zh-CN"/>
          <w14:textFill>
            <w14:solidFill>
              <w14:schemeClr w14:val="tx1"/>
            </w14:solidFill>
          </w14:textFill>
        </w:rPr>
        <w:t>信息，内容至少包含试剂/耗材名称、生产厂家、规格、单价、每测试用量、四川医保公共服务平台</w:t>
      </w:r>
      <w:r>
        <w:rPr>
          <w:rFonts w:hint="eastAsia" w:ascii="宋体" w:hAnsi="宋体" w:eastAsia="宋体" w:cs="宋体"/>
          <w:color w:val="000000" w:themeColor="text1"/>
          <w:sz w:val="21"/>
          <w:szCs w:val="21"/>
          <w:highlight w:val="none"/>
          <w:lang w:val="en-US" w:eastAsia="zh-CN"/>
          <w14:textFill>
            <w14:solidFill>
              <w14:schemeClr w14:val="tx1"/>
            </w14:solidFill>
          </w14:textFill>
        </w:rPr>
        <w:t>商品代码/产品</w:t>
      </w:r>
      <w:r>
        <w:rPr>
          <w:rFonts w:hint="eastAsia" w:ascii="Times New Roman" w:hAnsi="Times New Roman" w:eastAsia="宋体" w:cs="Times New Roman"/>
          <w:color w:val="000000" w:themeColor="text1"/>
          <w:lang w:val="en-US" w:eastAsia="zh-CN"/>
          <w14:textFill>
            <w14:solidFill>
              <w14:schemeClr w14:val="tx1"/>
            </w14:solidFill>
          </w14:textFill>
        </w:rPr>
        <w:t>流水号(如有)等，格式自拟。</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5.3若未提供配套试剂/耗材清单或清单中价格为0元，视为配套试剂/耗材无收费，不再参与评审因素中“后期保障”评审，且采购人不再另行支付费用。</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5.4投标人需提供配套检验项目报价承诺函，承诺后期该设备配套试剂耗材投标报价不高于本次测算价格，否则按无效投标处理。</w:t>
      </w:r>
    </w:p>
    <w:p>
      <w:pPr>
        <w:spacing w:line="36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5.5《设备配套检验项目报价单》中的报价仅做为后期保障评审依据。</w:t>
      </w:r>
    </w:p>
    <w:p>
      <w:pPr>
        <w:spacing w:line="360" w:lineRule="exact"/>
        <w:jc w:val="cente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表1 设备配套检验项目报价单</w:t>
      </w:r>
    </w:p>
    <w:tbl>
      <w:tblPr>
        <w:tblStyle w:val="13"/>
        <w:tblpPr w:leftFromText="180" w:rightFromText="180" w:vertAnchor="text" w:horzAnchor="page" w:tblpX="1772" w:tblpY="7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460"/>
        <w:gridCol w:w="1096"/>
        <w:gridCol w:w="1643"/>
        <w:gridCol w:w="1231"/>
        <w:gridCol w:w="126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5" w:type="dxa"/>
            <w:noWrap w:val="0"/>
            <w:vAlign w:val="center"/>
          </w:tcPr>
          <w:p>
            <w:pPr>
              <w:spacing w:line="240" w:lineRule="auto"/>
              <w:jc w:val="center"/>
              <w:rPr>
                <w:rFonts w:hint="default" w:ascii="宋体" w:hAnsi="宋体" w:eastAsia="宋体" w:cs="宋体"/>
                <w:b/>
                <w:bCs/>
                <w:sz w:val="18"/>
                <w:szCs w:val="18"/>
                <w:vertAlign w:val="baseline"/>
                <w:lang w:val="en-US" w:eastAsia="zh-CN"/>
              </w:rPr>
            </w:pPr>
            <w:r>
              <w:rPr>
                <w:rFonts w:hint="eastAsia" w:ascii="宋体" w:hAnsi="宋体" w:cs="宋体"/>
                <w:b/>
                <w:bCs/>
                <w:sz w:val="18"/>
                <w:szCs w:val="18"/>
                <w:vertAlign w:val="baseline"/>
                <w:lang w:val="en-US" w:eastAsia="zh-CN"/>
              </w:rPr>
              <w:t>序号</w:t>
            </w:r>
          </w:p>
        </w:tc>
        <w:tc>
          <w:tcPr>
            <w:tcW w:w="1635" w:type="dxa"/>
            <w:noWrap w:val="0"/>
            <w:vAlign w:val="center"/>
          </w:tcPr>
          <w:p>
            <w:pPr>
              <w:spacing w:line="240" w:lineRule="auto"/>
              <w:jc w:val="center"/>
              <w:rPr>
                <w:rFonts w:hint="default"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检测项目</w:t>
            </w:r>
          </w:p>
        </w:tc>
        <w:tc>
          <w:tcPr>
            <w:tcW w:w="1250" w:type="dxa"/>
            <w:noWrap w:val="0"/>
            <w:vAlign w:val="center"/>
          </w:tcPr>
          <w:p>
            <w:pPr>
              <w:spacing w:line="240" w:lineRule="auto"/>
              <w:jc w:val="center"/>
              <w:rPr>
                <w:rFonts w:hint="default" w:ascii="宋体" w:hAnsi="宋体" w:eastAsia="宋体" w:cs="宋体"/>
                <w:b/>
                <w:bCs/>
                <w:sz w:val="18"/>
                <w:szCs w:val="18"/>
                <w:vertAlign w:val="baseline"/>
                <w:lang w:val="en-US" w:eastAsia="zh-CN"/>
              </w:rPr>
            </w:pPr>
            <w:r>
              <w:rPr>
                <w:rFonts w:hint="eastAsia" w:ascii="宋体" w:hAnsi="宋体" w:cs="宋体"/>
                <w:b/>
                <w:bCs/>
                <w:sz w:val="18"/>
                <w:szCs w:val="18"/>
                <w:vertAlign w:val="baseline"/>
                <w:lang w:val="en-US" w:eastAsia="zh-CN"/>
              </w:rPr>
              <w:t>配套试剂/耗材名称</w:t>
            </w:r>
          </w:p>
        </w:tc>
        <w:tc>
          <w:tcPr>
            <w:tcW w:w="1878" w:type="dxa"/>
            <w:noWrap w:val="0"/>
            <w:vAlign w:val="center"/>
          </w:tcPr>
          <w:p>
            <w:pPr>
              <w:spacing w:line="240" w:lineRule="auto"/>
              <w:jc w:val="center"/>
              <w:rPr>
                <w:rFonts w:hint="eastAsia"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配套试剂/耗材种类</w:t>
            </w:r>
          </w:p>
          <w:p>
            <w:pPr>
              <w:spacing w:line="240" w:lineRule="auto"/>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（每次/非每次使用）</w:t>
            </w:r>
          </w:p>
        </w:tc>
        <w:tc>
          <w:tcPr>
            <w:tcW w:w="1396" w:type="dxa"/>
            <w:noWrap w:val="0"/>
            <w:vAlign w:val="center"/>
          </w:tcPr>
          <w:p>
            <w:pPr>
              <w:spacing w:line="240" w:lineRule="auto"/>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每测试单价</w:t>
            </w:r>
          </w:p>
        </w:tc>
        <w:tc>
          <w:tcPr>
            <w:tcW w:w="1439" w:type="dxa"/>
            <w:noWrap w:val="0"/>
            <w:vAlign w:val="center"/>
          </w:tcPr>
          <w:p>
            <w:pPr>
              <w:spacing w:line="240" w:lineRule="auto"/>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每测试均价</w:t>
            </w:r>
          </w:p>
        </w:tc>
        <w:tc>
          <w:tcPr>
            <w:tcW w:w="1439" w:type="dxa"/>
            <w:noWrap w:val="0"/>
            <w:vAlign w:val="center"/>
          </w:tcPr>
          <w:p>
            <w:pPr>
              <w:spacing w:line="240" w:lineRule="auto"/>
              <w:jc w:val="center"/>
              <w:rPr>
                <w:rFonts w:hint="eastAsia"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预估10000个</w:t>
            </w:r>
          </w:p>
          <w:p>
            <w:pPr>
              <w:spacing w:line="240" w:lineRule="auto"/>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测试总价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restart"/>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1</w:t>
            </w:r>
          </w:p>
        </w:tc>
        <w:tc>
          <w:tcPr>
            <w:tcW w:w="1635" w:type="dxa"/>
            <w:vMerge w:val="restart"/>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ABO、RhD血型检测</w:t>
            </w:r>
          </w:p>
        </w:tc>
        <w:tc>
          <w:tcPr>
            <w:tcW w:w="1250" w:type="dxa"/>
            <w:noWrap w:val="0"/>
            <w:vAlign w:val="center"/>
          </w:tcPr>
          <w:p>
            <w:pPr>
              <w:pStyle w:val="2"/>
              <w:ind w:left="0" w:leftChars="0" w:firstLine="0" w:firstLineChars="0"/>
              <w:jc w:val="center"/>
              <w:rPr>
                <w:rFonts w:hint="default" w:ascii="宋体" w:hAnsi="宋体" w:eastAsia="宋体" w:cs="宋体"/>
                <w:sz w:val="18"/>
                <w:szCs w:val="18"/>
                <w:highlight w:val="none"/>
                <w:vertAlign w:val="baseline"/>
                <w:lang w:val="en-US" w:eastAsia="zh-CN"/>
              </w:rPr>
            </w:pPr>
          </w:p>
        </w:tc>
        <w:tc>
          <w:tcPr>
            <w:tcW w:w="1878" w:type="dxa"/>
            <w:noWrap w:val="0"/>
            <w:vAlign w:val="center"/>
          </w:tcPr>
          <w:p>
            <w:pPr>
              <w:pStyle w:val="2"/>
              <w:ind w:left="0" w:leftChars="0" w:firstLine="0" w:firstLineChars="0"/>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每次使用</w:t>
            </w:r>
          </w:p>
        </w:tc>
        <w:tc>
          <w:tcPr>
            <w:tcW w:w="1396"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635" w:type="dxa"/>
            <w:vMerge w:val="continue"/>
            <w:noWrap w:val="0"/>
            <w:vAlign w:val="center"/>
          </w:tcPr>
          <w:p>
            <w:pPr>
              <w:spacing w:line="240" w:lineRule="auto"/>
              <w:jc w:val="center"/>
              <w:rPr>
                <w:rFonts w:hint="eastAsia" w:ascii="宋体" w:hAnsi="宋体" w:cs="宋体"/>
                <w:sz w:val="18"/>
                <w:szCs w:val="18"/>
                <w:vertAlign w:val="baseline"/>
                <w:lang w:val="en-US" w:eastAsia="zh-CN"/>
              </w:rPr>
            </w:pPr>
          </w:p>
        </w:tc>
        <w:tc>
          <w:tcPr>
            <w:tcW w:w="1250" w:type="dxa"/>
            <w:noWrap w:val="0"/>
            <w:vAlign w:val="center"/>
          </w:tcPr>
          <w:p>
            <w:pPr>
              <w:pStyle w:val="2"/>
              <w:ind w:left="0" w:leftChars="0" w:firstLine="0" w:firstLineChars="0"/>
              <w:jc w:val="center"/>
              <w:rPr>
                <w:rFonts w:hint="default" w:ascii="宋体" w:hAnsi="宋体" w:eastAsia="宋体" w:cs="宋体"/>
                <w:sz w:val="18"/>
                <w:szCs w:val="18"/>
                <w:vertAlign w:val="baseline"/>
                <w:lang w:val="en-US" w:eastAsia="zh-CN"/>
              </w:rPr>
            </w:pPr>
          </w:p>
        </w:tc>
        <w:tc>
          <w:tcPr>
            <w:tcW w:w="1878" w:type="dxa"/>
            <w:noWrap w:val="0"/>
            <w:vAlign w:val="center"/>
          </w:tcPr>
          <w:p>
            <w:pPr>
              <w:pStyle w:val="2"/>
              <w:ind w:left="0" w:leftChars="0" w:firstLine="0" w:firstLineChars="0"/>
              <w:jc w:val="center"/>
              <w:rPr>
                <w:rFonts w:hint="default" w:ascii="宋体" w:hAnsi="宋体" w:eastAsia="宋体" w:cs="宋体"/>
                <w:sz w:val="18"/>
                <w:szCs w:val="18"/>
                <w:vertAlign w:val="baseline"/>
                <w:lang w:val="en-US" w:eastAsia="zh-CN"/>
              </w:rPr>
            </w:pPr>
            <w:r>
              <w:rPr>
                <w:rFonts w:hint="eastAsia" w:ascii="宋体" w:hAnsi="宋体" w:eastAsia="宋体" w:cs="宋体"/>
                <w:kern w:val="2"/>
                <w:sz w:val="18"/>
                <w:szCs w:val="18"/>
                <w:highlight w:val="none"/>
                <w:vertAlign w:val="baseline"/>
                <w:lang w:val="en-US" w:eastAsia="zh-CN" w:bidi="ar-SA"/>
              </w:rPr>
              <w:t>非每次使用</w:t>
            </w:r>
          </w:p>
        </w:tc>
        <w:tc>
          <w:tcPr>
            <w:tcW w:w="1396" w:type="dxa"/>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restart"/>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2</w:t>
            </w:r>
          </w:p>
        </w:tc>
        <w:tc>
          <w:tcPr>
            <w:tcW w:w="1635" w:type="dxa"/>
            <w:vMerge w:val="restart"/>
            <w:noWrap w:val="0"/>
            <w:vAlign w:val="center"/>
          </w:tcPr>
          <w:p>
            <w:pPr>
              <w:spacing w:line="240" w:lineRule="auto"/>
              <w:jc w:val="center"/>
              <w:rPr>
                <w:rFonts w:hint="default" w:ascii="宋体" w:hAnsi="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不规则抗体筛查</w:t>
            </w:r>
          </w:p>
        </w:tc>
        <w:tc>
          <w:tcPr>
            <w:tcW w:w="1250" w:type="dxa"/>
            <w:noWrap w:val="0"/>
            <w:vAlign w:val="center"/>
          </w:tcPr>
          <w:p>
            <w:pPr>
              <w:pStyle w:val="2"/>
              <w:ind w:left="0" w:leftChars="0" w:firstLine="0" w:firstLineChars="0"/>
              <w:jc w:val="center"/>
              <w:rPr>
                <w:rFonts w:hint="eastAsia" w:ascii="宋体" w:hAnsi="宋体" w:cs="宋体"/>
                <w:sz w:val="18"/>
                <w:szCs w:val="18"/>
                <w:highlight w:val="none"/>
                <w:vertAlign w:val="baseline"/>
                <w:lang w:val="en-US" w:eastAsia="zh-CN"/>
              </w:rPr>
            </w:pPr>
          </w:p>
        </w:tc>
        <w:tc>
          <w:tcPr>
            <w:tcW w:w="1878" w:type="dxa"/>
            <w:noWrap w:val="0"/>
            <w:vAlign w:val="center"/>
          </w:tcPr>
          <w:p>
            <w:pPr>
              <w:pStyle w:val="2"/>
              <w:ind w:left="0" w:leftChars="0" w:firstLine="0" w:firstLineChars="0"/>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每次使用</w:t>
            </w:r>
          </w:p>
        </w:tc>
        <w:tc>
          <w:tcPr>
            <w:tcW w:w="1396"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635" w:type="dxa"/>
            <w:vMerge w:val="continue"/>
            <w:noWrap w:val="0"/>
            <w:vAlign w:val="center"/>
          </w:tcPr>
          <w:p>
            <w:pPr>
              <w:spacing w:line="240" w:lineRule="auto"/>
              <w:jc w:val="center"/>
              <w:rPr>
                <w:rFonts w:hint="eastAsia" w:ascii="宋体" w:hAnsi="宋体" w:cs="宋体"/>
                <w:sz w:val="18"/>
                <w:szCs w:val="18"/>
                <w:vertAlign w:val="baseline"/>
                <w:lang w:val="en-US" w:eastAsia="zh-CN"/>
              </w:rPr>
            </w:pPr>
          </w:p>
        </w:tc>
        <w:tc>
          <w:tcPr>
            <w:tcW w:w="1250" w:type="dxa"/>
            <w:noWrap w:val="0"/>
            <w:vAlign w:val="center"/>
          </w:tcPr>
          <w:p>
            <w:pPr>
              <w:pStyle w:val="2"/>
              <w:ind w:left="0" w:leftChars="0" w:firstLine="0" w:firstLineChars="0"/>
              <w:jc w:val="center"/>
              <w:rPr>
                <w:rFonts w:hint="eastAsia" w:ascii="宋体" w:hAnsi="宋体" w:cs="宋体"/>
                <w:sz w:val="18"/>
                <w:szCs w:val="18"/>
                <w:vertAlign w:val="baseline"/>
                <w:lang w:val="en-US" w:eastAsia="zh-CN"/>
              </w:rPr>
            </w:pPr>
          </w:p>
        </w:tc>
        <w:tc>
          <w:tcPr>
            <w:tcW w:w="1878" w:type="dxa"/>
            <w:noWrap w:val="0"/>
            <w:vAlign w:val="center"/>
          </w:tcPr>
          <w:p>
            <w:pPr>
              <w:pStyle w:val="2"/>
              <w:ind w:left="0" w:leftChars="0" w:firstLine="0" w:firstLineChars="0"/>
              <w:jc w:val="center"/>
              <w:rPr>
                <w:rFonts w:hint="eastAsia" w:ascii="宋体" w:hAnsi="宋体" w:cs="宋体"/>
                <w:sz w:val="18"/>
                <w:szCs w:val="18"/>
                <w:vertAlign w:val="baseline"/>
                <w:lang w:val="en-US" w:eastAsia="zh-CN"/>
              </w:rPr>
            </w:pPr>
            <w:r>
              <w:rPr>
                <w:rFonts w:hint="eastAsia" w:ascii="宋体" w:hAnsi="宋体" w:eastAsia="宋体" w:cs="宋体"/>
                <w:kern w:val="2"/>
                <w:sz w:val="18"/>
                <w:szCs w:val="18"/>
                <w:highlight w:val="none"/>
                <w:vertAlign w:val="baseline"/>
                <w:lang w:val="en-US" w:eastAsia="zh-CN" w:bidi="ar-SA"/>
              </w:rPr>
              <w:t>非每次使用</w:t>
            </w:r>
          </w:p>
        </w:tc>
        <w:tc>
          <w:tcPr>
            <w:tcW w:w="1396" w:type="dxa"/>
            <w:noWrap w:val="0"/>
            <w:vAlign w:val="center"/>
          </w:tcPr>
          <w:p>
            <w:pPr>
              <w:spacing w:line="240" w:lineRule="auto"/>
              <w:jc w:val="center"/>
              <w:rPr>
                <w:rFonts w:hint="eastAsia" w:ascii="宋体" w:hAnsi="宋体" w:cs="宋体"/>
                <w:sz w:val="18"/>
                <w:szCs w:val="18"/>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eastAsia" w:ascii="宋体" w:hAnsi="宋体" w:cs="宋体"/>
                <w:sz w:val="18"/>
                <w:szCs w:val="18"/>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eastAsia" w:ascii="宋体" w:hAnsi="宋体" w:cs="宋体"/>
                <w:sz w:val="18"/>
                <w:szCs w:val="18"/>
                <w:vertAlign w:val="baseline"/>
                <w:lang w:val="en-US" w:eastAsia="zh-CN"/>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5" w:type="dxa"/>
            <w:vMerge w:val="restart"/>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1635" w:type="dxa"/>
            <w:vMerge w:val="restart"/>
            <w:noWrap w:val="0"/>
            <w:vAlign w:val="center"/>
          </w:tcPr>
          <w:p>
            <w:pPr>
              <w:spacing w:line="240" w:lineRule="auto"/>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交叉配血</w:t>
            </w:r>
          </w:p>
        </w:tc>
        <w:tc>
          <w:tcPr>
            <w:tcW w:w="1250" w:type="dxa"/>
            <w:noWrap w:val="0"/>
            <w:vAlign w:val="center"/>
          </w:tcPr>
          <w:p>
            <w:pPr>
              <w:pStyle w:val="2"/>
              <w:ind w:left="0" w:leftChars="0" w:firstLine="0" w:firstLineChars="0"/>
              <w:jc w:val="center"/>
              <w:rPr>
                <w:rFonts w:hint="eastAsia" w:ascii="宋体" w:hAnsi="宋体" w:cs="宋体"/>
                <w:kern w:val="2"/>
                <w:sz w:val="18"/>
                <w:szCs w:val="18"/>
                <w:highlight w:val="none"/>
                <w:vertAlign w:val="baseline"/>
                <w:lang w:val="en-US" w:eastAsia="zh-CN" w:bidi="ar-SA"/>
              </w:rPr>
            </w:pPr>
          </w:p>
        </w:tc>
        <w:tc>
          <w:tcPr>
            <w:tcW w:w="1878" w:type="dxa"/>
            <w:noWrap w:val="0"/>
            <w:vAlign w:val="center"/>
          </w:tcPr>
          <w:p>
            <w:pPr>
              <w:pStyle w:val="2"/>
              <w:ind w:left="0" w:leftChars="0" w:firstLine="0" w:firstLineChars="0"/>
              <w:jc w:val="center"/>
              <w:rPr>
                <w:rFonts w:hint="eastAsia" w:ascii="宋体" w:hAnsi="宋体" w:cs="宋体"/>
                <w:kern w:val="2"/>
                <w:sz w:val="18"/>
                <w:szCs w:val="18"/>
                <w:highlight w:val="none"/>
                <w:vertAlign w:val="baseline"/>
                <w:lang w:val="en-US" w:eastAsia="zh-CN" w:bidi="ar-SA"/>
              </w:rPr>
            </w:pPr>
            <w:r>
              <w:rPr>
                <w:rFonts w:hint="eastAsia" w:ascii="宋体" w:hAnsi="宋体" w:eastAsia="宋体" w:cs="宋体"/>
                <w:kern w:val="2"/>
                <w:sz w:val="18"/>
                <w:szCs w:val="18"/>
                <w:highlight w:val="none"/>
                <w:vertAlign w:val="baseline"/>
                <w:lang w:val="en-US" w:eastAsia="zh-CN" w:bidi="ar-SA"/>
              </w:rPr>
              <w:t>每次使用</w:t>
            </w:r>
          </w:p>
        </w:tc>
        <w:tc>
          <w:tcPr>
            <w:tcW w:w="1396"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sz w:val="18"/>
                <w:szCs w:val="18"/>
                <w:highlight w:val="none"/>
                <w:vertAlign w:val="baseline"/>
                <w:lang w:val="en-US" w:eastAsia="zh-CN"/>
              </w:rPr>
            </w:pPr>
            <w:r>
              <w:rPr>
                <w:rFonts w:hint="eastAsia" w:ascii="宋体" w:hAnsi="宋体" w:eastAsia="宋体" w:cs="宋体"/>
                <w:kern w:val="2"/>
                <w:sz w:val="18"/>
                <w:szCs w:val="18"/>
                <w:highlight w:val="none"/>
                <w:vertAlign w:val="baseline"/>
                <w:lang w:val="en-US" w:eastAsia="zh-CN" w:bidi="ar-SA"/>
              </w:rPr>
              <w:t>***元/测试</w:t>
            </w:r>
          </w:p>
        </w:tc>
        <w:tc>
          <w:tcPr>
            <w:tcW w:w="1439" w:type="dxa"/>
            <w:noWrap w:val="0"/>
            <w:vAlign w:val="center"/>
          </w:tcPr>
          <w:p>
            <w:pPr>
              <w:spacing w:line="240" w:lineRule="auto"/>
              <w:jc w:val="center"/>
              <w:rPr>
                <w:rFonts w:hint="eastAsia" w:ascii="宋体" w:hAnsi="宋体" w:cs="宋体"/>
                <w:kern w:val="2"/>
                <w:sz w:val="18"/>
                <w:szCs w:val="18"/>
                <w:highlight w:val="none"/>
                <w:vertAlign w:val="baseline"/>
                <w:lang w:val="en-US" w:eastAsia="zh-CN" w:bidi="ar-SA"/>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dxa"/>
            <w:vMerge w:val="continue"/>
            <w:noWrap w:val="0"/>
            <w:vAlign w:val="center"/>
          </w:tcPr>
          <w:p>
            <w:pPr>
              <w:spacing w:line="240" w:lineRule="auto"/>
              <w:jc w:val="center"/>
              <w:rPr>
                <w:rFonts w:hint="default" w:ascii="宋体" w:hAnsi="宋体" w:eastAsia="宋体" w:cs="宋体"/>
                <w:sz w:val="24"/>
                <w:szCs w:val="24"/>
                <w:vertAlign w:val="baseline"/>
                <w:lang w:val="en-US" w:eastAsia="zh-CN"/>
              </w:rPr>
            </w:pPr>
          </w:p>
        </w:tc>
        <w:tc>
          <w:tcPr>
            <w:tcW w:w="1635" w:type="dxa"/>
            <w:vMerge w:val="continue"/>
            <w:noWrap w:val="0"/>
            <w:vAlign w:val="center"/>
          </w:tcPr>
          <w:p>
            <w:pPr>
              <w:spacing w:line="240" w:lineRule="auto"/>
              <w:jc w:val="center"/>
              <w:rPr>
                <w:rFonts w:hint="eastAsia" w:ascii="宋体" w:hAnsi="宋体" w:cs="宋体"/>
                <w:sz w:val="24"/>
                <w:szCs w:val="24"/>
                <w:vertAlign w:val="baseline"/>
                <w:lang w:val="en-US" w:eastAsia="zh-CN"/>
              </w:rPr>
            </w:pPr>
          </w:p>
        </w:tc>
        <w:tc>
          <w:tcPr>
            <w:tcW w:w="1250" w:type="dxa"/>
            <w:noWrap w:val="0"/>
            <w:vAlign w:val="center"/>
          </w:tcPr>
          <w:p>
            <w:pPr>
              <w:pStyle w:val="2"/>
              <w:ind w:left="0" w:leftChars="0" w:firstLine="0" w:firstLineChars="0"/>
              <w:jc w:val="center"/>
              <w:rPr>
                <w:rFonts w:hint="eastAsia" w:ascii="宋体" w:hAnsi="宋体" w:cs="宋体"/>
                <w:kern w:val="2"/>
                <w:sz w:val="24"/>
                <w:szCs w:val="24"/>
                <w:vertAlign w:val="baseline"/>
                <w:lang w:val="en-US" w:eastAsia="zh-CN" w:bidi="ar-SA"/>
              </w:rPr>
            </w:pPr>
          </w:p>
        </w:tc>
        <w:tc>
          <w:tcPr>
            <w:tcW w:w="1878" w:type="dxa"/>
            <w:noWrap w:val="0"/>
            <w:vAlign w:val="center"/>
          </w:tcPr>
          <w:p>
            <w:pPr>
              <w:pStyle w:val="2"/>
              <w:ind w:left="0" w:leftChars="0" w:firstLine="0" w:firstLineChars="0"/>
              <w:jc w:val="center"/>
              <w:rPr>
                <w:rFonts w:hint="eastAsia"/>
                <w:kern w:val="2"/>
                <w:sz w:val="18"/>
                <w:szCs w:val="18"/>
                <w:lang w:val="en-US" w:eastAsia="zh-CN" w:bidi="ar-SA"/>
              </w:rPr>
            </w:pPr>
            <w:r>
              <w:rPr>
                <w:rFonts w:hint="eastAsia" w:ascii="宋体" w:hAnsi="宋体" w:eastAsia="宋体" w:cs="宋体"/>
                <w:kern w:val="2"/>
                <w:sz w:val="18"/>
                <w:szCs w:val="18"/>
                <w:highlight w:val="none"/>
                <w:vertAlign w:val="baseline"/>
                <w:lang w:val="en-US" w:eastAsia="zh-CN" w:bidi="ar-SA"/>
              </w:rPr>
              <w:t>非每次使用</w:t>
            </w:r>
          </w:p>
        </w:tc>
        <w:tc>
          <w:tcPr>
            <w:tcW w:w="1396" w:type="dxa"/>
            <w:noWrap w:val="0"/>
            <w:vAlign w:val="center"/>
          </w:tcPr>
          <w:p>
            <w:pPr>
              <w:spacing w:line="240" w:lineRule="auto"/>
              <w:jc w:val="center"/>
              <w:rPr>
                <w:rFonts w:hint="eastAsia"/>
                <w:kern w:val="2"/>
                <w:sz w:val="21"/>
                <w:szCs w:val="21"/>
                <w:lang w:val="en-US" w:eastAsia="zh-CN" w:bidi="ar-SA"/>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eastAsia"/>
                <w:kern w:val="2"/>
                <w:sz w:val="21"/>
                <w:szCs w:val="21"/>
                <w:lang w:val="en-US" w:eastAsia="zh-CN" w:bidi="ar-SA"/>
              </w:rPr>
            </w:pPr>
            <w:r>
              <w:rPr>
                <w:rFonts w:hint="eastAsia" w:ascii="宋体" w:hAnsi="宋体" w:eastAsia="宋体" w:cs="宋体"/>
                <w:sz w:val="21"/>
                <w:szCs w:val="21"/>
                <w:highlight w:val="none"/>
                <w:vertAlign w:val="baseline"/>
                <w:lang w:val="en-US" w:eastAsia="zh-CN"/>
              </w:rPr>
              <w:t>/</w:t>
            </w:r>
          </w:p>
        </w:tc>
        <w:tc>
          <w:tcPr>
            <w:tcW w:w="1439" w:type="dxa"/>
            <w:noWrap w:val="0"/>
            <w:vAlign w:val="center"/>
          </w:tcPr>
          <w:p>
            <w:pPr>
              <w:spacing w:line="240" w:lineRule="auto"/>
              <w:jc w:val="center"/>
              <w:rPr>
                <w:rFonts w:hint="eastAsia" w:ascii="宋体" w:hAnsi="宋体" w:cs="宋体"/>
                <w:kern w:val="2"/>
                <w:sz w:val="24"/>
                <w:szCs w:val="24"/>
                <w:vertAlign w:val="baseline"/>
                <w:lang w:val="en-US" w:eastAsia="zh-CN" w:bidi="ar-SA"/>
              </w:rPr>
            </w:pPr>
            <w:r>
              <w:rPr>
                <w:rFonts w:hint="eastAsia" w:ascii="宋体" w:hAnsi="宋体" w:eastAsia="宋体" w:cs="宋体"/>
                <w:kern w:val="2"/>
                <w:sz w:val="18"/>
                <w:szCs w:val="18"/>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55" w:type="dxa"/>
            <w:noWrap w:val="0"/>
            <w:vAlign w:val="center"/>
          </w:tcPr>
          <w:p>
            <w:pPr>
              <w:spacing w:line="240" w:lineRule="auto"/>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4</w:t>
            </w:r>
          </w:p>
        </w:tc>
        <w:tc>
          <w:tcPr>
            <w:tcW w:w="7598" w:type="dxa"/>
            <w:gridSpan w:val="5"/>
            <w:noWrap w:val="0"/>
            <w:vAlign w:val="center"/>
          </w:tcPr>
          <w:p>
            <w:pPr>
              <w:spacing w:line="240" w:lineRule="auto"/>
              <w:jc w:val="center"/>
              <w:rPr>
                <w:rFonts w:hint="eastAsia" w:eastAsia="宋体"/>
                <w:lang w:val="en-US" w:eastAsia="zh-CN"/>
              </w:rPr>
            </w:pPr>
            <w:r>
              <w:rPr>
                <w:rFonts w:hint="eastAsia"/>
                <w:lang w:val="en-US" w:eastAsia="zh-CN"/>
              </w:rPr>
              <w:t>合计</w:t>
            </w:r>
          </w:p>
        </w:tc>
        <w:tc>
          <w:tcPr>
            <w:tcW w:w="1439" w:type="dxa"/>
            <w:noWrap w:val="0"/>
            <w:vAlign w:val="center"/>
          </w:tcPr>
          <w:p>
            <w:pPr>
              <w:spacing w:line="240" w:lineRule="auto"/>
              <w:jc w:val="center"/>
            </w:pPr>
            <w:r>
              <w:rPr>
                <w:rFonts w:hint="eastAsia" w:ascii="宋体" w:hAnsi="宋体" w:eastAsia="宋体" w:cs="宋体"/>
                <w:kern w:val="2"/>
                <w:sz w:val="18"/>
                <w:szCs w:val="18"/>
                <w:highlight w:val="none"/>
                <w:vertAlign w:val="baseline"/>
                <w:lang w:val="en-US" w:eastAsia="zh-CN" w:bidi="ar-SA"/>
              </w:rPr>
              <w:t>***元</w:t>
            </w:r>
          </w:p>
        </w:tc>
      </w:tr>
    </w:tbl>
    <w:p>
      <w:pPr>
        <w:spacing w:line="360" w:lineRule="exact"/>
        <w:rPr>
          <w:rFonts w:hint="eastAsia" w:ascii="宋体" w:hAnsi="宋体" w:eastAsia="宋体" w:cs="宋体"/>
          <w:color w:val="000000"/>
          <w:kern w:val="0"/>
          <w:lang w:eastAsia="zh-CN"/>
        </w:rPr>
      </w:pPr>
    </w:p>
    <w:p>
      <w:pPr>
        <w:widowControl/>
        <w:jc w:val="left"/>
        <w:rPr>
          <w:rFonts w:hint="eastAsia" w:ascii="宋体" w:hAnsi="宋体" w:eastAsia="宋体" w:cs="Segoe UI"/>
          <w:b/>
          <w:bCs/>
          <w:color w:val="auto"/>
          <w:kern w:val="0"/>
          <w:sz w:val="28"/>
          <w:szCs w:val="28"/>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widowControl/>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附件</w:t>
      </w:r>
      <w:r>
        <w:rPr>
          <w:rFonts w:ascii="Segoe UI" w:hAnsi="Segoe UI" w:eastAsia="宋体" w:cs="Segoe UI"/>
          <w:b/>
          <w:bCs/>
          <w:color w:val="auto"/>
          <w:kern w:val="0"/>
          <w:sz w:val="28"/>
          <w:szCs w:val="28"/>
        </w:rPr>
        <w:t>2</w:t>
      </w:r>
      <w:r>
        <w:rPr>
          <w:rFonts w:hint="eastAsia" w:ascii="宋体" w:hAnsi="宋体" w:eastAsia="宋体" w:cs="Segoe UI"/>
          <w:b/>
          <w:bCs/>
          <w:color w:val="auto"/>
          <w:kern w:val="0"/>
          <w:sz w:val="28"/>
          <w:szCs w:val="28"/>
        </w:rPr>
        <w:t>：评审办法（评分细则表）</w:t>
      </w:r>
    </w:p>
    <w:tbl>
      <w:tblPr>
        <w:tblStyle w:val="12"/>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4"/>
        <w:gridCol w:w="1002"/>
        <w:gridCol w:w="932"/>
        <w:gridCol w:w="5787"/>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auto"/>
                <w:kern w:val="0"/>
              </w:rPr>
            </w:pPr>
            <w:r>
              <w:rPr>
                <w:rFonts w:hint="eastAsia" w:cs="宋体"/>
                <w:color w:val="auto"/>
                <w:kern w:val="0"/>
              </w:rPr>
              <w:t>评分</w:t>
            </w:r>
          </w:p>
          <w:p>
            <w:pPr>
              <w:spacing w:line="360" w:lineRule="exact"/>
              <w:jc w:val="center"/>
              <w:rPr>
                <w:rFonts w:cs="宋体"/>
                <w:color w:val="auto"/>
                <w:kern w:val="0"/>
              </w:rPr>
            </w:pPr>
            <w:r>
              <w:rPr>
                <w:rFonts w:hint="eastAsia" w:cs="宋体"/>
                <w:color w:val="auto"/>
                <w:kern w:val="0"/>
              </w:rPr>
              <w:t>细则</w:t>
            </w:r>
          </w:p>
        </w:tc>
        <w:tc>
          <w:tcPr>
            <w:tcW w:w="28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序号</w:t>
            </w:r>
          </w:p>
        </w:tc>
        <w:tc>
          <w:tcPr>
            <w:tcW w:w="47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评分因素</w:t>
            </w:r>
          </w:p>
        </w:tc>
        <w:tc>
          <w:tcPr>
            <w:tcW w:w="43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分值</w:t>
            </w:r>
          </w:p>
        </w:tc>
        <w:tc>
          <w:tcPr>
            <w:tcW w:w="272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auto"/>
                <w:kern w:val="0"/>
              </w:rPr>
            </w:pPr>
            <w:r>
              <w:rPr>
                <w:rFonts w:hint="eastAsia" w:ascii="宋体" w:hAnsi="宋体" w:cs="Segoe UI"/>
                <w:b/>
                <w:color w:val="auto"/>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1</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w:t>
            </w:r>
            <w:r>
              <w:rPr>
                <w:rFonts w:hint="eastAsia" w:ascii="宋体" w:hAnsi="宋体" w:cs="宋体"/>
                <w:lang w:val="en-US" w:eastAsia="zh-CN"/>
              </w:rPr>
              <w:t>设备</w:t>
            </w:r>
            <w:r>
              <w:rPr>
                <w:rFonts w:hint="eastAsia" w:ascii="宋体" w:hAnsi="宋体" w:cs="宋体"/>
              </w:rPr>
              <w:t>报价最低的为基准价。</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000000"/>
                <w:kern w:val="0"/>
                <w:lang w:val="en-US" w:eastAsia="zh-CN"/>
              </w:rPr>
              <w:t>2</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auto"/>
                <w:kern w:val="0"/>
              </w:rPr>
            </w:pPr>
            <w:r>
              <w:rPr>
                <w:rFonts w:hint="eastAsia" w:ascii="宋体" w:hAnsi="宋体" w:cs="Segoe UI"/>
                <w:color w:val="auto"/>
                <w:kern w:val="0"/>
              </w:rPr>
              <w:t>技术指标</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auto"/>
                <w:kern w:val="0"/>
                <w:lang w:val="en-US" w:eastAsia="zh-CN"/>
              </w:rPr>
              <w:t>50</w:t>
            </w:r>
            <w:r>
              <w:rPr>
                <w:rFonts w:hint="eastAsia" w:ascii="宋体" w:hAnsi="宋体" w:cs="Segoe UI"/>
                <w:color w:val="auto"/>
                <w:kern w:val="0"/>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宋体" w:hAnsi="宋体" w:eastAsia="宋体" w:cs="Segoe UI"/>
                <w:color w:val="333333"/>
                <w:kern w:val="0"/>
                <w:sz w:val="21"/>
                <w:szCs w:val="22"/>
                <w:lang w:val="en-US" w:eastAsia="zh-CN" w:bidi="ar-SA"/>
              </w:rPr>
            </w:pPr>
            <w:r>
              <w:rPr>
                <w:rFonts w:hint="eastAsia" w:ascii="宋体" w:hAnsi="宋体" w:cs="Segoe UI"/>
                <w:color w:val="auto"/>
                <w:kern w:val="0"/>
                <w:lang w:val="en-US" w:eastAsia="zh-CN"/>
              </w:rPr>
              <w:t>50</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6" w:beforeLines="50" w:after="0" w:line="240" w:lineRule="atLeas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完全符合招标文件技术参数要求得</w:t>
            </w:r>
            <w:r>
              <w:rPr>
                <w:rFonts w:hint="eastAsia" w:ascii="宋体" w:hAnsi="宋体" w:eastAsia="宋体" w:cs="Times New Roman"/>
                <w:color w:val="auto"/>
                <w:szCs w:val="21"/>
                <w:lang w:val="en-US" w:eastAsia="zh-CN"/>
              </w:rPr>
              <w:t>50</w:t>
            </w:r>
            <w:r>
              <w:rPr>
                <w:rFonts w:hint="eastAsia" w:ascii="宋体" w:hAnsi="宋体" w:eastAsia="宋体" w:cs="Times New Roman"/>
                <w:szCs w:val="21"/>
                <w:lang w:val="en-US" w:eastAsia="zh-CN"/>
              </w:rPr>
              <w:t>分。▲号条款负偏离一项扣3.5分，非▲号条款一项扣1分，扣完为止。（★号条款为1项，▲号条款共10项，非▲号条款共15项）。</w:t>
            </w:r>
          </w:p>
          <w:p>
            <w:pPr>
              <w:adjustRightInd w:val="0"/>
              <w:snapToGrid w:val="0"/>
              <w:spacing w:before="156" w:beforeLines="50" w:after="0" w:line="240" w:lineRule="atLeast"/>
              <w:rPr>
                <w:rFonts w:hint="eastAsia" w:ascii="宋体" w:hAnsi="宋体" w:cs="宋体" w:eastAsiaTheme="minorEastAsia"/>
                <w:kern w:val="2"/>
                <w:sz w:val="21"/>
                <w:szCs w:val="22"/>
                <w:lang w:val="en-US" w:eastAsia="zh-CN" w:bidi="ar-SA"/>
              </w:rPr>
            </w:pPr>
            <w:r>
              <w:rPr>
                <w:rFonts w:hint="eastAsia" w:ascii="宋体" w:hAnsi="宋体" w:eastAsia="宋体" w:cs="Times New Roman"/>
                <w:szCs w:val="21"/>
                <w:lang w:val="en-US" w:eastAsia="zh-CN"/>
              </w:rPr>
              <w:t>注：（1）▲号条款需提供证明文件（按招标文件要求提供资料, ▲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Segoe UI"/>
                <w:color w:val="000000"/>
                <w:kern w:val="0"/>
                <w:lang w:val="en-US" w:eastAsia="zh-CN"/>
              </w:rPr>
            </w:pPr>
            <w:r>
              <w:rPr>
                <w:rFonts w:hint="eastAsia" w:ascii="宋体" w:hAnsi="宋体" w:eastAsia="宋体" w:cs="Segoe UI"/>
                <w:color w:val="333333"/>
                <w:kern w:val="0"/>
                <w:lang w:val="en-US" w:eastAsia="zh-CN"/>
              </w:rPr>
              <w:t>3</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Segoe UI"/>
                <w:color w:val="auto"/>
                <w:kern w:val="0"/>
                <w:lang w:val="en-US" w:eastAsia="zh-CN"/>
              </w:rPr>
            </w:pPr>
            <w:r>
              <w:rPr>
                <w:rFonts w:hint="eastAsia" w:ascii="宋体" w:hAnsi="宋体" w:cs="Segoe UI"/>
                <w:color w:val="auto"/>
                <w:kern w:val="0"/>
                <w:sz w:val="21"/>
                <w:szCs w:val="21"/>
              </w:rPr>
              <w:t>后期保障</w:t>
            </w:r>
            <w:r>
              <w:rPr>
                <w:rFonts w:hint="eastAsia" w:ascii="宋体" w:hAnsi="宋体" w:cs="Segoe UI"/>
                <w:color w:val="auto"/>
                <w:kern w:val="0"/>
                <w:sz w:val="21"/>
                <w:szCs w:val="21"/>
                <w:lang w:val="en-US" w:eastAsia="zh-CN"/>
              </w:rPr>
              <w:t>10</w:t>
            </w:r>
            <w:r>
              <w:rPr>
                <w:rFonts w:hint="eastAsia" w:ascii="宋体" w:hAnsi="宋体" w:cs="Segoe UI"/>
                <w:color w:val="auto"/>
                <w:kern w:val="0"/>
                <w:sz w:val="21"/>
                <w:szCs w:val="21"/>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Segoe UI"/>
                <w:color w:val="auto"/>
                <w:kern w:val="0"/>
                <w:lang w:val="en-US" w:eastAsia="zh-CN"/>
              </w:rPr>
            </w:pPr>
            <w:r>
              <w:rPr>
                <w:rFonts w:hint="eastAsia" w:ascii="宋体" w:hAnsi="宋体" w:cs="Segoe UI"/>
                <w:color w:val="auto"/>
                <w:kern w:val="0"/>
                <w:sz w:val="21"/>
                <w:szCs w:val="21"/>
                <w:highlight w:val="none"/>
                <w:lang w:val="en-US" w:eastAsia="zh-CN"/>
              </w:rPr>
              <w:t>10</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eastAsia="宋体" w:cs="宋体"/>
                <w:lang w:val="en-US" w:eastAsia="zh-CN"/>
              </w:rPr>
            </w:pPr>
            <w:r>
              <w:rPr>
                <w:rFonts w:hint="eastAsia" w:ascii="宋体" w:hAnsi="宋体" w:eastAsia="宋体" w:cs="宋体"/>
                <w:lang w:val="en-US" w:eastAsia="zh-CN"/>
              </w:rPr>
              <w:t>在保障设备正常运行的基础上，提供配套试剂耗材报价金额和设备质保期后5年维保的报价金额，两者相加报价。后期保障得分=(基准价／供应商报价)×10（保留两位小数）。</w:t>
            </w:r>
          </w:p>
          <w:p>
            <w:pPr>
              <w:widowControl/>
              <w:spacing w:line="360" w:lineRule="exact"/>
              <w:rPr>
                <w:rFonts w:hint="eastAsia" w:ascii="宋体" w:hAnsi="宋体" w:eastAsia="宋体" w:cs="Times New Roman"/>
                <w:szCs w:val="21"/>
                <w:lang w:val="en-US" w:eastAsia="zh-CN"/>
              </w:rPr>
            </w:pPr>
            <w:r>
              <w:rPr>
                <w:rFonts w:hint="eastAsia" w:ascii="宋体" w:hAnsi="宋体" w:eastAsia="宋体" w:cs="宋体"/>
                <w:lang w:val="en-US" w:eastAsia="zh-CN"/>
              </w:rPr>
              <w:t>注：配套配套检验项目报价最低的为基准价。</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cs="宋体"/>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eastAsia="宋体" w:cs="Segoe UI"/>
                <w:color w:val="333333"/>
                <w:kern w:val="0"/>
                <w:lang w:val="en-US" w:eastAsia="zh-CN"/>
              </w:rPr>
              <w:t>4</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lang w:val="en-US" w:eastAsia="zh-CN"/>
              </w:rPr>
              <w:t>2</w:t>
            </w:r>
            <w:r>
              <w:rPr>
                <w:rFonts w:hint="eastAsia" w:ascii="宋体" w:hAnsi="宋体" w:cs="宋体"/>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2</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自202</w:t>
            </w:r>
            <w:r>
              <w:rPr>
                <w:rFonts w:hint="eastAsia" w:ascii="宋体" w:hAnsi="宋体" w:cs="宋体"/>
                <w:lang w:val="en-US" w:eastAsia="zh-CN"/>
              </w:rPr>
              <w:t>2</w:t>
            </w:r>
            <w:r>
              <w:rPr>
                <w:rFonts w:hint="eastAsia" w:ascii="宋体" w:hAnsi="宋体" w:cs="宋体"/>
              </w:rPr>
              <w:t>年1月1日（含）至今，以合同签订时间为准，投标人每具有一个</w:t>
            </w:r>
            <w:r>
              <w:rPr>
                <w:rFonts w:hint="eastAsia" w:ascii="宋体" w:hAnsi="宋体" w:cs="宋体"/>
                <w:lang w:val="en-US" w:eastAsia="zh-CN"/>
              </w:rPr>
              <w:t>投标产品</w:t>
            </w:r>
            <w:r>
              <w:rPr>
                <w:rFonts w:hint="eastAsia" w:ascii="宋体" w:hAnsi="宋体" w:cs="宋体"/>
              </w:rPr>
              <w:t>业绩的得1分，最高得</w:t>
            </w:r>
            <w:r>
              <w:rPr>
                <w:rFonts w:hint="eastAsia" w:ascii="宋体" w:hAnsi="宋体" w:cs="宋体"/>
                <w:lang w:val="en-US" w:eastAsia="zh-CN"/>
              </w:rPr>
              <w:t>2</w:t>
            </w:r>
            <w:r>
              <w:rPr>
                <w:rFonts w:hint="eastAsia" w:ascii="宋体" w:hAnsi="宋体" w:cs="宋体"/>
              </w:rPr>
              <w:t xml:space="preserve">分。 </w:t>
            </w:r>
          </w:p>
          <w:p>
            <w:pPr>
              <w:widowControl/>
              <w:spacing w:line="360" w:lineRule="exact"/>
              <w:rPr>
                <w:rFonts w:ascii="宋体" w:hAnsi="宋体" w:cs="宋体" w:eastAsiaTheme="minorEastAsia"/>
                <w:kern w:val="2"/>
                <w:sz w:val="21"/>
                <w:szCs w:val="22"/>
                <w:lang w:val="en-US" w:eastAsia="zh-CN" w:bidi="ar-SA"/>
              </w:rPr>
            </w:pPr>
            <w:r>
              <w:rPr>
                <w:rFonts w:hint="eastAsia" w:ascii="宋体" w:hAnsi="宋体" w:cs="宋体"/>
              </w:rPr>
              <w:t>注：提供项目合同复印件或中标（成交）通知书复印件并加盖投标人公章（鲜章）。</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eastAsia="宋体" w:cs="Segoe UI"/>
                <w:color w:val="333333"/>
                <w:kern w:val="0"/>
                <w:lang w:val="en-US" w:eastAsia="zh-CN"/>
              </w:rPr>
              <w:t>5</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8%</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宋体"/>
              </w:rPr>
              <w:t>8</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w:t>
            </w:r>
            <w:bookmarkStart w:id="4" w:name="_GoBack"/>
            <w:bookmarkEnd w:id="4"/>
            <w:r>
              <w:rPr>
                <w:rFonts w:hint="eastAsia" w:ascii="宋体" w:hAnsi="宋体" w:cs="宋体"/>
              </w:rPr>
              <w:t>案；④服务响应方案。方案包含以上4个方面的得4分，每缺少一项的扣1分，每有一项存在内容缺陷扣0.5分，扣完为止。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eastAsiaTheme="minorEastAsia"/>
                <w:kern w:val="2"/>
                <w:sz w:val="21"/>
                <w:szCs w:val="22"/>
                <w:lang w:val="en-US" w:eastAsia="zh-CN" w:bidi="ar-SA"/>
              </w:rPr>
            </w:pPr>
            <w:r>
              <w:rPr>
                <w:rFonts w:hint="eastAsia" w:ascii="宋体" w:hAnsi="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技术评审因素</w:t>
            </w:r>
          </w:p>
        </w:tc>
      </w:tr>
    </w:tbl>
    <w:p>
      <w:pPr>
        <w:widowControl/>
        <w:shd w:val="clear" w:color="auto" w:fill="FFFFFF"/>
        <w:wordWrap w:val="0"/>
        <w:spacing w:line="400" w:lineRule="atLeast"/>
        <w:jc w:val="left"/>
        <w:rPr>
          <w:rFonts w:ascii="仿宋_GB2312" w:hAnsi="Segoe UI" w:eastAsia="仿宋_GB2312" w:cs="Segoe UI"/>
          <w:b/>
          <w:bCs/>
          <w:color w:val="auto"/>
          <w:kern w:val="0"/>
          <w:sz w:val="28"/>
          <w:szCs w:val="28"/>
        </w:rPr>
      </w:pPr>
    </w:p>
    <w:p>
      <w:pPr>
        <w:rPr>
          <w:rFonts w:ascii="仿宋_GB2312" w:hAnsi="Segoe UI" w:eastAsia="仿宋_GB2312" w:cs="Segoe UI"/>
          <w:b/>
          <w:bCs/>
          <w:color w:val="auto"/>
          <w:kern w:val="0"/>
          <w:sz w:val="28"/>
          <w:szCs w:val="28"/>
        </w:rPr>
      </w:pPr>
    </w:p>
    <w:p>
      <w:pPr>
        <w:pStyle w:val="15"/>
        <w:rPr>
          <w:color w:val="auto"/>
        </w:rPr>
      </w:pPr>
    </w:p>
    <w:bookmarkEnd w:id="0"/>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6、</w:t>
      </w:r>
      <w:r>
        <w:rPr>
          <w:rFonts w:hint="eastAsia" w:ascii="仿宋_GB2312" w:hAnsi="Segoe UI" w:eastAsia="仿宋_GB2312" w:cs="Segoe UI"/>
          <w:color w:val="auto"/>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15、产品质量及货源保证书</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16、售后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18、产品说明书或</w:t>
      </w:r>
      <w:r>
        <w:rPr>
          <w:rFonts w:hint="eastAsia" w:ascii="仿宋_GB2312" w:hAnsi="Segoe UI" w:eastAsia="仿宋_GB2312" w:cs="Segoe UI"/>
          <w:color w:val="auto"/>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21、</w:t>
      </w:r>
      <w:r>
        <w:rPr>
          <w:rFonts w:hint="eastAsia" w:ascii="仿宋_GB2312" w:hAnsi="Segoe UI" w:eastAsia="仿宋_GB2312" w:cs="Segoe UI"/>
          <w:color w:val="auto"/>
          <w:spacing w:val="8"/>
          <w:kern w:val="0"/>
          <w:sz w:val="24"/>
          <w:szCs w:val="24"/>
        </w:rPr>
        <w:t>封底</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附件4：主要表格格式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附件4-1：</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2"/>
        <w:tblW w:w="0" w:type="auto"/>
        <w:jc w:val="center"/>
        <w:tblLayout w:type="autofit"/>
        <w:tblCellMar>
          <w:top w:w="0" w:type="dxa"/>
          <w:left w:w="0" w:type="dxa"/>
          <w:bottom w:w="0" w:type="dxa"/>
          <w:right w:w="0" w:type="dxa"/>
        </w:tblCellMar>
      </w:tblPr>
      <w:tblGrid>
        <w:gridCol w:w="1055"/>
        <w:gridCol w:w="2299"/>
        <w:gridCol w:w="2299"/>
        <w:gridCol w:w="2869"/>
      </w:tblGrid>
      <w:tr>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附件4-2：</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left"/>
        <w:rPr>
          <w:rFonts w:ascii="Segoe UI" w:hAnsi="Segoe UI" w:eastAsia="宋体" w:cs="Segoe UI"/>
          <w:color w:val="auto"/>
          <w:kern w:val="0"/>
          <w:sz w:val="18"/>
          <w:szCs w:val="18"/>
        </w:rPr>
      </w:pPr>
      <w:bookmarkStart w:id="3" w:name="_Toc95295163"/>
      <w:bookmarkEnd w:id="3"/>
      <w:r>
        <w:rPr>
          <w:rFonts w:hint="eastAsia" w:ascii="仿宋_GB2312" w:hAnsi="Segoe UI" w:eastAsia="仿宋_GB2312" w:cs="Segoe UI"/>
          <w:b/>
          <w:bCs/>
          <w:color w:val="auto"/>
          <w:kern w:val="0"/>
          <w:sz w:val="24"/>
          <w:szCs w:val="24"/>
        </w:rPr>
        <w:t>附件4-3：</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12"/>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产品</w:t>
            </w:r>
          </w:p>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单价</w:t>
            </w:r>
          </w:p>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bl>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5、如有配套耗材，请参照此表报价。</w:t>
      </w:r>
    </w:p>
    <w:p>
      <w:pPr>
        <w:widowControl/>
        <w:shd w:val="clear" w:color="auto" w:fill="FFFFFF"/>
        <w:wordWrap w:val="0"/>
        <w:jc w:val="left"/>
        <w:rPr>
          <w:rFonts w:ascii="仿宋_GB2312" w:hAnsi="Segoe UI" w:eastAsia="仿宋_GB2312" w:cs="Segoe UI"/>
          <w:b/>
          <w:color w:val="auto"/>
          <w:kern w:val="0"/>
          <w:sz w:val="24"/>
          <w:szCs w:val="24"/>
        </w:rPr>
      </w:pPr>
      <w:r>
        <w:rPr>
          <w:rFonts w:hint="eastAsia" w:ascii="仿宋_GB2312" w:hAnsi="Segoe UI" w:eastAsia="仿宋_GB2312" w:cs="Segoe UI"/>
          <w:b/>
          <w:color w:val="auto"/>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法定代表人或授权代表（签字）：日期：</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附件4-4：</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6"/>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960EB"/>
    <w:multiLevelType w:val="singleLevel"/>
    <w:tmpl w:val="28E960E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1FA13EF"/>
    <w:rsid w:val="02B27DEE"/>
    <w:rsid w:val="0809162A"/>
    <w:rsid w:val="083A1CBA"/>
    <w:rsid w:val="08552EB3"/>
    <w:rsid w:val="08E067A9"/>
    <w:rsid w:val="09883DB3"/>
    <w:rsid w:val="0B7702C0"/>
    <w:rsid w:val="0B890D43"/>
    <w:rsid w:val="0BD63719"/>
    <w:rsid w:val="0C0A0390"/>
    <w:rsid w:val="0C69586C"/>
    <w:rsid w:val="0EB033E5"/>
    <w:rsid w:val="15B626DC"/>
    <w:rsid w:val="17E0197B"/>
    <w:rsid w:val="18472232"/>
    <w:rsid w:val="18B93B85"/>
    <w:rsid w:val="1A707F41"/>
    <w:rsid w:val="1DE05766"/>
    <w:rsid w:val="1E997E27"/>
    <w:rsid w:val="1F19224C"/>
    <w:rsid w:val="1F5A67EC"/>
    <w:rsid w:val="22827069"/>
    <w:rsid w:val="22F464E8"/>
    <w:rsid w:val="25933A00"/>
    <w:rsid w:val="275B43E3"/>
    <w:rsid w:val="2B742A3A"/>
    <w:rsid w:val="31336B9D"/>
    <w:rsid w:val="31FB7325"/>
    <w:rsid w:val="3459137F"/>
    <w:rsid w:val="351D2E6B"/>
    <w:rsid w:val="35E40AE0"/>
    <w:rsid w:val="368F2498"/>
    <w:rsid w:val="375C3E0F"/>
    <w:rsid w:val="395149AF"/>
    <w:rsid w:val="3955563A"/>
    <w:rsid w:val="39CE1F6A"/>
    <w:rsid w:val="3C864743"/>
    <w:rsid w:val="3DA970F6"/>
    <w:rsid w:val="3DE462AE"/>
    <w:rsid w:val="45FE0BC5"/>
    <w:rsid w:val="47A53522"/>
    <w:rsid w:val="49141AF9"/>
    <w:rsid w:val="498B6D72"/>
    <w:rsid w:val="49A664ED"/>
    <w:rsid w:val="4B671727"/>
    <w:rsid w:val="4C76008D"/>
    <w:rsid w:val="4F954CC0"/>
    <w:rsid w:val="59213BB4"/>
    <w:rsid w:val="59DD504C"/>
    <w:rsid w:val="5B1829CF"/>
    <w:rsid w:val="5F381B5D"/>
    <w:rsid w:val="60021495"/>
    <w:rsid w:val="622F0396"/>
    <w:rsid w:val="63D266D5"/>
    <w:rsid w:val="6CA02C6A"/>
    <w:rsid w:val="6D8C2362"/>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4">
    <w:name w:val="toc 7"/>
    <w:basedOn w:val="1"/>
    <w:next w:val="1"/>
    <w:qFormat/>
    <w:uiPriority w:val="0"/>
    <w:pPr>
      <w:ind w:left="1200"/>
    </w:pPr>
    <w:rPr>
      <w:rFonts w:ascii="Calibri"/>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link w:val="19"/>
    <w:unhideWhenUsed/>
    <w:qFormat/>
    <w:uiPriority w:val="99"/>
    <w:pPr>
      <w:spacing w:after="120"/>
    </w:pPr>
    <w:rPr>
      <w:szCs w:val="24"/>
    </w:rPr>
  </w:style>
  <w:style w:type="paragraph" w:styleId="7">
    <w:name w:val="Plain Text"/>
    <w:basedOn w:val="1"/>
    <w:qFormat/>
    <w:uiPriority w:val="0"/>
    <w:rPr>
      <w:rFonts w:ascii="宋体" w:hAnsi="Courier New" w:eastAsia="宋体" w:cs="Courier New"/>
      <w:szCs w:val="21"/>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98"/>
    <w:pPr>
      <w:spacing w:before="240" w:after="60"/>
      <w:jc w:val="center"/>
      <w:outlineLvl w:val="0"/>
    </w:pPr>
    <w:rPr>
      <w:rFonts w:ascii="等线 Light" w:hAnsi="等线 Light"/>
      <w:b/>
      <w:bCs/>
      <w:sz w:val="32"/>
      <w:szCs w:val="32"/>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5">
    <w:name w:val="Default"/>
    <w:basedOn w:val="11"/>
    <w:next w:val="3"/>
    <w:qFormat/>
    <w:uiPriority w:val="99"/>
    <w:pPr>
      <w:autoSpaceDE w:val="0"/>
      <w:autoSpaceDN w:val="0"/>
      <w:adjustRightInd w:val="0"/>
    </w:pPr>
    <w:rPr>
      <w:rFonts w:ascii="宋体" w:hAnsi="Times New Roman" w:cs="宋体"/>
      <w:color w:val="000000"/>
      <w:sz w:val="24"/>
      <w:szCs w:val="24"/>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字符"/>
    <w:basedOn w:val="14"/>
    <w:link w:val="6"/>
    <w:qFormat/>
    <w:uiPriority w:val="99"/>
    <w:rPr>
      <w:szCs w:val="24"/>
    </w:rPr>
  </w:style>
  <w:style w:type="paragraph" w:customStyle="1" w:styleId="20">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3571</Words>
  <Characters>3808</Characters>
  <Lines>58</Lines>
  <Paragraphs>16</Paragraphs>
  <TotalTime>0</TotalTime>
  <ScaleCrop>false</ScaleCrop>
  <LinksUpToDate>false</LinksUpToDate>
  <CharactersWithSpaces>3869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2025-04-29T03:53:00Z</cp:lastPrinted>
  <dcterms:modified xsi:type="dcterms:W3CDTF">2025-05-08T03:44:43Z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06887F346064436283D2F9769A26DFB5_13</vt:lpwstr>
  </property>
  <property fmtid="{D5CDD505-2E9C-101B-9397-08002B2CF9AE}" pid="4" name="KSOTemplateDocerSaveRecord">
    <vt:lpwstr>eyJoZGlkIjoiNzZiMTRhYzQ5NzUzZjJmNGVkNzRmYmRlNjYxMjM0NzgiLCJ1c2VySWQiOiI3NjYyOTE4MjQifQ==</vt:lpwstr>
  </property>
</Properties>
</file>