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4F8F83">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附件1</w:t>
      </w:r>
      <w:r>
        <w:rPr>
          <w:rFonts w:hint="eastAsia" w:ascii="宋体" w:hAnsi="宋体" w:eastAsia="宋体" w:cs="宋体"/>
          <w:b/>
          <w:bCs/>
          <w:i w:val="0"/>
          <w:caps w:val="0"/>
          <w:color w:val="auto"/>
          <w:spacing w:val="0"/>
          <w:w w:val="100"/>
          <w:sz w:val="24"/>
          <w:szCs w:val="24"/>
          <w:highlight w:val="none"/>
          <w:lang w:val="en-US" w:eastAsia="zh-CN"/>
        </w:rPr>
        <w:t xml:space="preserve"> 采购需求</w:t>
      </w:r>
    </w:p>
    <w:p w14:paraId="4FF0F652">
      <w:pPr>
        <w:keepNext w:val="0"/>
        <w:keepLines w:val="0"/>
        <w:pageBreakBefore w:val="0"/>
        <w:widowControl/>
        <w:kinsoku/>
        <w:overflowPunct/>
        <w:topLinePunct w:val="0"/>
        <w:bidi w:val="0"/>
        <w:spacing w:line="360" w:lineRule="auto"/>
        <w:ind w:firstLine="566"/>
        <w:jc w:val="left"/>
        <w:rPr>
          <w:rFonts w:hint="eastAsia" w:ascii="宋体" w:hAnsi="宋体" w:eastAsia="宋体" w:cs="宋体"/>
          <w:b/>
          <w:bCs/>
          <w:sz w:val="24"/>
          <w:szCs w:val="24"/>
        </w:rPr>
      </w:pPr>
      <w:r>
        <w:rPr>
          <w:rFonts w:hint="eastAsia" w:ascii="宋体" w:hAnsi="宋体" w:eastAsia="宋体" w:cs="宋体"/>
          <w:b/>
          <w:bCs/>
          <w:sz w:val="24"/>
          <w:szCs w:val="24"/>
        </w:rPr>
        <w:t>一、概况</w:t>
      </w:r>
    </w:p>
    <w:p w14:paraId="317BF0B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rPr>
        <w:t>1.项目名称：</w:t>
      </w:r>
      <w:r>
        <w:rPr>
          <w:rFonts w:hint="eastAsia" w:ascii="宋体" w:hAnsi="宋体" w:eastAsia="宋体" w:cs="宋体"/>
          <w:i w:val="0"/>
          <w:iCs w:val="0"/>
          <w:caps w:val="0"/>
          <w:color w:val="auto"/>
          <w:spacing w:val="0"/>
          <w:sz w:val="24"/>
          <w:szCs w:val="24"/>
          <w:shd w:val="clear" w:fill="FFFFFF"/>
        </w:rPr>
        <w:t>晋阳及抚琴院区老旧电气线路改造采购项目</w:t>
      </w:r>
      <w:r>
        <w:rPr>
          <w:rFonts w:hint="eastAsia" w:ascii="宋体" w:hAnsi="宋体" w:eastAsia="宋体" w:cs="宋体"/>
          <w:i w:val="0"/>
          <w:iCs w:val="0"/>
          <w:caps w:val="0"/>
          <w:color w:val="auto"/>
          <w:spacing w:val="0"/>
          <w:sz w:val="24"/>
          <w:szCs w:val="24"/>
          <w:shd w:val="clear" w:fill="FFFFFF"/>
          <w:lang w:val="en-US" w:eastAsia="zh-CN"/>
        </w:rPr>
        <w:t>(采购编号：SCFY-HQ202503-005(磋))</w:t>
      </w:r>
      <w:r>
        <w:rPr>
          <w:rFonts w:hint="eastAsia" w:ascii="宋体" w:hAnsi="宋体" w:eastAsia="宋体" w:cs="宋体"/>
          <w:sz w:val="24"/>
          <w:szCs w:val="24"/>
          <w:lang w:val="en-US" w:eastAsia="zh-CN"/>
        </w:rPr>
        <w:t>。</w:t>
      </w:r>
    </w:p>
    <w:p w14:paraId="42CB16C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rPr>
        <w:t>2.项目位置：成都市武侯区沙堰西二街290号</w:t>
      </w:r>
      <w:r>
        <w:rPr>
          <w:rFonts w:hint="eastAsia" w:ascii="宋体" w:hAnsi="宋体" w:eastAsia="宋体" w:cs="宋体"/>
          <w:sz w:val="24"/>
          <w:szCs w:val="24"/>
          <w:lang w:val="en-US" w:eastAsia="zh-CN"/>
        </w:rPr>
        <w:t>;金牛区抚琴西路338号</w:t>
      </w:r>
    </w:p>
    <w:p w14:paraId="08E26A22">
      <w:pPr>
        <w:pStyle w:val="19"/>
        <w:keepNext w:val="0"/>
        <w:keepLines w:val="0"/>
        <w:pageBreakBefore w:val="0"/>
        <w:kinsoku/>
        <w:overflowPunct/>
        <w:topLinePunct w:val="0"/>
        <w:bidi w:val="0"/>
        <w:spacing w:line="360" w:lineRule="auto"/>
        <w:ind w:firstLine="480" w:firstLineChars="200"/>
        <w:rPr>
          <w:rFonts w:hint="eastAsia" w:ascii="宋体" w:hAnsi="宋体" w:eastAsia="宋体" w:cs="宋体"/>
          <w:b/>
          <w:bCs/>
          <w:sz w:val="24"/>
          <w:szCs w:val="24"/>
          <w:lang w:val="en-US" w:eastAsia="zh-CN"/>
        </w:rPr>
      </w:pPr>
      <w:r>
        <w:rPr>
          <w:rFonts w:hint="eastAsia" w:ascii="宋体" w:hAnsi="宋体" w:eastAsia="宋体" w:cs="宋体"/>
          <w:sz w:val="24"/>
          <w:szCs w:val="24"/>
          <w:lang w:val="en-US" w:eastAsia="zh-CN"/>
        </w:rPr>
        <w:t>3.对晋阳院区综合楼、门诊楼、2#、3#、4#楼和抚琴院区老旧线路进行电力改造设计、施工总承包及设计施工总承包（EPC），改造过后老旧线路漏电电流下降至安全范围。</w:t>
      </w:r>
    </w:p>
    <w:p w14:paraId="78D011E8">
      <w:pPr>
        <w:keepNext w:val="0"/>
        <w:keepLines w:val="0"/>
        <w:pageBreakBefore w:val="0"/>
        <w:widowControl/>
        <w:kinsoku/>
        <w:overflowPunct/>
        <w:topLinePunct w:val="0"/>
        <w:bidi w:val="0"/>
        <w:spacing w:line="360" w:lineRule="auto"/>
        <w:ind w:firstLine="566"/>
        <w:jc w:val="left"/>
        <w:rPr>
          <w:rFonts w:hint="eastAsia" w:ascii="宋体" w:hAnsi="宋体" w:eastAsia="宋体" w:cs="宋体"/>
          <w:b/>
          <w:bCs/>
          <w:sz w:val="24"/>
          <w:szCs w:val="24"/>
        </w:rPr>
      </w:pPr>
      <w:r>
        <w:rPr>
          <w:rFonts w:hint="eastAsia" w:ascii="宋体" w:hAnsi="宋体" w:eastAsia="宋体" w:cs="宋体"/>
          <w:b/>
          <w:bCs/>
          <w:sz w:val="24"/>
          <w:szCs w:val="24"/>
        </w:rPr>
        <w:t>二、项目施工改造依据</w:t>
      </w:r>
    </w:p>
    <w:p w14:paraId="13246317">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供电安全工作现场规程</w:t>
      </w:r>
    </w:p>
    <w:p w14:paraId="4C73F341">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四川地区电气规程汇编</w:t>
      </w:r>
    </w:p>
    <w:p w14:paraId="2FA1FB9A">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建筑电气工程施工质量验收规范GB50303-2002</w:t>
      </w:r>
    </w:p>
    <w:p w14:paraId="746BDF19">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电气装置安装工程电气设备交接试验标准</w:t>
      </w:r>
    </w:p>
    <w:p w14:paraId="6157C2C8">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电力建设安全工作规程DL-5009.3-1997</w:t>
      </w:r>
    </w:p>
    <w:p w14:paraId="1335F84D">
      <w:pPr>
        <w:keepNext w:val="0"/>
        <w:keepLines w:val="0"/>
        <w:pageBreakBefore w:val="0"/>
        <w:widowControl/>
        <w:kinsoku/>
        <w:overflowPunct/>
        <w:topLinePunct w:val="0"/>
        <w:bidi w:val="0"/>
        <w:spacing w:line="360" w:lineRule="auto"/>
        <w:ind w:firstLine="566"/>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建筑工程资料管理规程DBJ01-51-2003</w:t>
      </w:r>
    </w:p>
    <w:p w14:paraId="58ADE773">
      <w:pPr>
        <w:pStyle w:val="19"/>
        <w:keepNext w:val="0"/>
        <w:keepLines w:val="0"/>
        <w:pageBreakBefore w:val="0"/>
        <w:kinsoku/>
        <w:overflowPunct/>
        <w:topLinePunct w:val="0"/>
        <w:bidi w:val="0"/>
        <w:spacing w:line="360" w:lineRule="auto"/>
        <w:rPr>
          <w:rFonts w:hint="eastAsia" w:ascii="宋体" w:hAnsi="宋体" w:eastAsia="宋体" w:cs="宋体"/>
          <w:sz w:val="24"/>
          <w:szCs w:val="24"/>
        </w:rPr>
      </w:pPr>
    </w:p>
    <w:p w14:paraId="0086DB2A">
      <w:pPr>
        <w:keepNext w:val="0"/>
        <w:keepLines w:val="0"/>
        <w:pageBreakBefore w:val="0"/>
        <w:widowControl/>
        <w:kinsoku/>
        <w:overflowPunct/>
        <w:topLinePunct w:val="0"/>
        <w:bidi w:val="0"/>
        <w:spacing w:line="360" w:lineRule="auto"/>
        <w:ind w:firstLine="566"/>
        <w:jc w:val="left"/>
        <w:rPr>
          <w:rFonts w:hint="eastAsia" w:ascii="宋体" w:hAnsi="宋体" w:eastAsia="宋体" w:cs="宋体"/>
          <w:b/>
          <w:bCs/>
          <w:sz w:val="24"/>
          <w:szCs w:val="24"/>
          <w:lang w:eastAsia="zh-CN"/>
        </w:rPr>
      </w:pPr>
      <w:r>
        <w:rPr>
          <w:rFonts w:hint="eastAsia" w:ascii="宋体" w:hAnsi="宋体" w:eastAsia="宋体" w:cs="宋体"/>
          <w:b/>
          <w:bCs/>
          <w:sz w:val="24"/>
          <w:szCs w:val="24"/>
        </w:rPr>
        <w:t>三、</w:t>
      </w:r>
      <w:r>
        <w:rPr>
          <w:rFonts w:hint="eastAsia" w:ascii="宋体" w:hAnsi="宋体" w:eastAsia="宋体" w:cs="宋体"/>
          <w:b/>
          <w:bCs/>
          <w:sz w:val="24"/>
          <w:szCs w:val="24"/>
          <w:lang w:eastAsia="zh-CN"/>
        </w:rPr>
        <w:t>施工内容</w:t>
      </w:r>
    </w:p>
    <w:p w14:paraId="330AAC3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bookmarkStart w:id="0" w:name="bk101"/>
      <w:bookmarkEnd w:id="0"/>
      <w:r>
        <w:rPr>
          <w:rFonts w:hint="eastAsia" w:ascii="宋体" w:hAnsi="宋体" w:eastAsia="宋体" w:cs="宋体"/>
          <w:sz w:val="24"/>
          <w:szCs w:val="24"/>
          <w:lang w:val="en-US" w:eastAsia="zh-CN"/>
        </w:rPr>
        <w:t>1.项目基本情况</w:t>
      </w:r>
    </w:p>
    <w:p w14:paraId="19FA836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按照采购人需求和现行国家、行业、地方规范设计（含方案设计及施工图设计）并完成综合楼、门诊楼、2#、3#、4#楼电力改造。</w:t>
      </w:r>
    </w:p>
    <w:p w14:paraId="1A7DADB3">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建设地点：妇幼保健院本部</w:t>
      </w:r>
    </w:p>
    <w:p w14:paraId="2C594AC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功能需求：</w:t>
      </w:r>
    </w:p>
    <w:p w14:paraId="331EAEE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（1）拆除并更换妇幼保健院本部总平内2台配电箱；</w:t>
      </w:r>
    </w:p>
    <w:p w14:paraId="6241F741">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drawing>
          <wp:inline distT="0" distB="0" distL="114300" distR="114300">
            <wp:extent cx="5752465" cy="4312285"/>
            <wp:effectExtent l="0" t="0" r="635" b="5715"/>
            <wp:docPr id="2" name="图片 2" descr="306dcecc454923ce87891cb49487f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6dcecc454923ce87891cb49487f28"/>
                    <pic:cNvPicPr>
                      <a:picLocks noChangeAspect="1"/>
                    </pic:cNvPicPr>
                  </pic:nvPicPr>
                  <pic:blipFill>
                    <a:blip r:embed="rId6"/>
                    <a:stretch>
                      <a:fillRect/>
                    </a:stretch>
                  </pic:blipFill>
                  <pic:spPr>
                    <a:xfrm>
                      <a:off x="0" y="0"/>
                      <a:ext cx="5752465" cy="4312285"/>
                    </a:xfrm>
                    <a:prstGeom prst="rect">
                      <a:avLst/>
                    </a:prstGeom>
                  </pic:spPr>
                </pic:pic>
              </a:graphicData>
            </a:graphic>
          </wp:inline>
        </w:drawing>
      </w:r>
    </w:p>
    <w:p w14:paraId="70EEAC6F">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p>
    <w:p w14:paraId="088B69EC">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p>
    <w:p w14:paraId="73946560">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drawing>
          <wp:inline distT="0" distB="0" distL="114300" distR="114300">
            <wp:extent cx="5621655" cy="3586480"/>
            <wp:effectExtent l="0" t="0" r="4445" b="7620"/>
            <wp:docPr id="3" name="图片 3" descr="60b6dbe019c9a6b45427c955814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0b6dbe019c9a6b45427c955814c215"/>
                    <pic:cNvPicPr>
                      <a:picLocks noChangeAspect="1"/>
                    </pic:cNvPicPr>
                  </pic:nvPicPr>
                  <pic:blipFill>
                    <a:blip r:embed="rId7"/>
                    <a:stretch>
                      <a:fillRect/>
                    </a:stretch>
                  </pic:blipFill>
                  <pic:spPr>
                    <a:xfrm>
                      <a:off x="0" y="0"/>
                      <a:ext cx="5621655" cy="3586480"/>
                    </a:xfrm>
                    <a:prstGeom prst="rect">
                      <a:avLst/>
                    </a:prstGeom>
                  </pic:spPr>
                </pic:pic>
              </a:graphicData>
            </a:graphic>
          </wp:inline>
        </w:drawing>
      </w:r>
      <w:r>
        <w:rPr>
          <w:rFonts w:hint="eastAsia" w:ascii="宋体" w:hAnsi="宋体" w:eastAsia="宋体" w:cs="宋体"/>
          <w:b w:val="0"/>
          <w:bCs w:val="0"/>
          <w:i w:val="0"/>
          <w:caps w:val="0"/>
          <w:color w:val="auto"/>
          <w:spacing w:val="0"/>
          <w:w w:val="100"/>
          <w:sz w:val="24"/>
          <w:szCs w:val="24"/>
          <w:highlight w:val="none"/>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-5122545</wp:posOffset>
            </wp:positionV>
            <wp:extent cx="6026785" cy="4283075"/>
            <wp:effectExtent l="0" t="0" r="5715" b="9525"/>
            <wp:wrapSquare wrapText="bothSides"/>
            <wp:docPr id="4" name="图片 4" descr="4651b70b31122c5a5ab585146c45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651b70b31122c5a5ab585146c45b99"/>
                    <pic:cNvPicPr>
                      <a:picLocks noChangeAspect="1"/>
                    </pic:cNvPicPr>
                  </pic:nvPicPr>
                  <pic:blipFill>
                    <a:blip r:embed="rId8"/>
                    <a:stretch>
                      <a:fillRect/>
                    </a:stretch>
                  </pic:blipFill>
                  <pic:spPr>
                    <a:xfrm>
                      <a:off x="0" y="0"/>
                      <a:ext cx="6026785" cy="4283075"/>
                    </a:xfrm>
                    <a:prstGeom prst="rect">
                      <a:avLst/>
                    </a:prstGeom>
                  </pic:spPr>
                </pic:pic>
              </a:graphicData>
            </a:graphic>
          </wp:anchor>
        </w:drawing>
      </w:r>
    </w:p>
    <w:p w14:paraId="032FDB96">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（总平配电箱现状）</w:t>
      </w:r>
    </w:p>
    <w:p w14:paraId="6BBE303F">
      <w:pPr>
        <w:pStyle w:val="8"/>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拆除并更换综合楼配电室内2台配电箱</w:t>
      </w:r>
    </w:p>
    <w:p w14:paraId="1A1FDEA0">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drawing>
          <wp:inline distT="0" distB="0" distL="114300" distR="114300">
            <wp:extent cx="5217160" cy="3801745"/>
            <wp:effectExtent l="0" t="0" r="2540" b="8255"/>
            <wp:docPr id="5" name="图片 5" descr="f9e5082d4a1e8d3060e9eaca70f6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e5082d4a1e8d3060e9eaca70f6ff0"/>
                    <pic:cNvPicPr>
                      <a:picLocks noChangeAspect="1"/>
                    </pic:cNvPicPr>
                  </pic:nvPicPr>
                  <pic:blipFill>
                    <a:blip r:embed="rId9"/>
                    <a:stretch>
                      <a:fillRect/>
                    </a:stretch>
                  </pic:blipFill>
                  <pic:spPr>
                    <a:xfrm>
                      <a:off x="0" y="0"/>
                      <a:ext cx="5217160" cy="3801745"/>
                    </a:xfrm>
                    <a:prstGeom prst="rect">
                      <a:avLst/>
                    </a:prstGeom>
                  </pic:spPr>
                </pic:pic>
              </a:graphicData>
            </a:graphic>
          </wp:inline>
        </w:drawing>
      </w:r>
      <w:r>
        <w:rPr>
          <w:rFonts w:hint="eastAsia" w:ascii="宋体" w:hAnsi="宋体" w:eastAsia="宋体" w:cs="宋体"/>
          <w:b w:val="0"/>
          <w:bCs w:val="0"/>
          <w:i w:val="0"/>
          <w:caps w:val="0"/>
          <w:color w:val="auto"/>
          <w:spacing w:val="0"/>
          <w:w w:val="100"/>
          <w:sz w:val="24"/>
          <w:szCs w:val="24"/>
          <w:highlight w:val="none"/>
          <w:lang w:val="en-US" w:eastAsia="zh-CN"/>
        </w:rPr>
        <w:drawing>
          <wp:inline distT="0" distB="0" distL="114300" distR="114300">
            <wp:extent cx="5160010" cy="3787775"/>
            <wp:effectExtent l="0" t="0" r="8890" b="9525"/>
            <wp:docPr id="6" name="图片 6" descr="0c6dcee04f570cb84eced35d6cc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c6dcee04f570cb84eced35d6cc6368"/>
                    <pic:cNvPicPr>
                      <a:picLocks noChangeAspect="1"/>
                    </pic:cNvPicPr>
                  </pic:nvPicPr>
                  <pic:blipFill>
                    <a:blip r:embed="rId10"/>
                    <a:stretch>
                      <a:fillRect/>
                    </a:stretch>
                  </pic:blipFill>
                  <pic:spPr>
                    <a:xfrm>
                      <a:off x="0" y="0"/>
                      <a:ext cx="5160010" cy="3787775"/>
                    </a:xfrm>
                    <a:prstGeom prst="rect">
                      <a:avLst/>
                    </a:prstGeom>
                  </pic:spPr>
                </pic:pic>
              </a:graphicData>
            </a:graphic>
          </wp:inline>
        </w:drawing>
      </w:r>
    </w:p>
    <w:p w14:paraId="56152462">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（综合楼配电箱现状）</w:t>
      </w:r>
    </w:p>
    <w:p w14:paraId="398F9534">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val="0"/>
          <w:bCs w:val="0"/>
          <w:i w:val="0"/>
          <w:caps w:val="0"/>
          <w:color w:val="auto"/>
          <w:spacing w:val="0"/>
          <w:w w:val="100"/>
          <w:sz w:val="24"/>
          <w:szCs w:val="24"/>
          <w:highlight w:val="none"/>
          <w:lang w:val="en-US" w:eastAsia="zh-CN"/>
        </w:rPr>
      </w:pPr>
    </w:p>
    <w:p w14:paraId="488AA3A9">
      <w:pPr>
        <w:pStyle w:val="8"/>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门诊楼增加一台双电源配电箱，接至地下室柴油发电机；</w:t>
      </w:r>
    </w:p>
    <w:p w14:paraId="0920A2C2">
      <w:pPr>
        <w:pStyle w:val="8"/>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firstLine="567" w:firstLineChars="0"/>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消毒供应室锅炉房内配电箱需移动至锅炉房以外，增加相应线缆；</w:t>
      </w:r>
    </w:p>
    <w:p w14:paraId="0FDEF23A">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567" w:leftChars="0"/>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sz w:val="24"/>
          <w:szCs w:val="24"/>
        </w:rPr>
        <w:drawing>
          <wp:inline distT="0" distB="0" distL="114300" distR="114300">
            <wp:extent cx="4330065" cy="5883910"/>
            <wp:effectExtent l="0" t="0" r="63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4330065" cy="5883910"/>
                    </a:xfrm>
                    <a:prstGeom prst="rect">
                      <a:avLst/>
                    </a:prstGeom>
                    <a:noFill/>
                    <a:ln>
                      <a:noFill/>
                    </a:ln>
                  </pic:spPr>
                </pic:pic>
              </a:graphicData>
            </a:graphic>
          </wp:inline>
        </w:drawing>
      </w:r>
    </w:p>
    <w:p w14:paraId="2CB91A08">
      <w:pPr>
        <w:pStyle w:val="8"/>
        <w:keepNext w:val="0"/>
        <w:keepLines w:val="0"/>
        <w:pageBreakBefore w:val="0"/>
        <w:kinsoku/>
        <w:overflowPunct/>
        <w:topLinePunct w:val="0"/>
        <w:bidi w:val="0"/>
        <w:spacing w:line="360" w:lineRule="auto"/>
        <w:rPr>
          <w:rFonts w:hint="eastAsia" w:ascii="宋体" w:hAnsi="宋体" w:eastAsia="宋体" w:cs="宋体"/>
          <w:b/>
          <w:bCs/>
          <w:i w:val="0"/>
          <w:caps w:val="0"/>
          <w:color w:val="auto"/>
          <w:spacing w:val="0"/>
          <w:w w:val="100"/>
          <w:sz w:val="24"/>
          <w:szCs w:val="24"/>
          <w:highlight w:val="none"/>
          <w:lang w:val="en-US" w:eastAsia="zh-CN"/>
        </w:rPr>
      </w:pPr>
    </w:p>
    <w:p w14:paraId="0DD30F3D">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（5）综合楼、门诊楼、2#、3#、4#楼吊顶内电力线缆整改，部分线缆未设置保护管且走线凌乱。</w:t>
      </w:r>
    </w:p>
    <w:p w14:paraId="0FC45440">
      <w:pPr>
        <w:pStyle w:val="8"/>
        <w:keepNext w:val="0"/>
        <w:keepLines w:val="0"/>
        <w:pageBreakBefore w:val="0"/>
        <w:widowControl w:val="0"/>
        <w:kinsoku/>
        <w:wordWrap/>
        <w:overflowPunct/>
        <w:topLinePunct w:val="0"/>
        <w:autoSpaceDE/>
        <w:autoSpaceDN/>
        <w:bidi w:val="0"/>
        <w:adjustRightInd/>
        <w:snapToGrid/>
        <w:spacing w:line="360" w:lineRule="auto"/>
        <w:ind w:firstLine="567"/>
        <w:textAlignment w:val="auto"/>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drawing>
          <wp:inline distT="0" distB="0" distL="114300" distR="114300">
            <wp:extent cx="4866640" cy="7669530"/>
            <wp:effectExtent l="0" t="0" r="10160" b="1270"/>
            <wp:docPr id="8" name="图片 8" descr="299ef478c53796e8026ec13b44589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99ef478c53796e8026ec13b44589c5"/>
                    <pic:cNvPicPr>
                      <a:picLocks noChangeAspect="1"/>
                    </pic:cNvPicPr>
                  </pic:nvPicPr>
                  <pic:blipFill>
                    <a:blip r:embed="rId12"/>
                    <a:stretch>
                      <a:fillRect/>
                    </a:stretch>
                  </pic:blipFill>
                  <pic:spPr>
                    <a:xfrm>
                      <a:off x="0" y="0"/>
                      <a:ext cx="4866640" cy="7669530"/>
                    </a:xfrm>
                    <a:prstGeom prst="rect">
                      <a:avLst/>
                    </a:prstGeom>
                  </pic:spPr>
                </pic:pic>
              </a:graphicData>
            </a:graphic>
          </wp:inline>
        </w:drawing>
      </w:r>
    </w:p>
    <w:p w14:paraId="4C196B3D">
      <w:pPr>
        <w:pStyle w:val="8"/>
        <w:keepNext w:val="0"/>
        <w:keepLines w:val="0"/>
        <w:pageBreakBefore w:val="0"/>
        <w:kinsoku/>
        <w:overflowPunct/>
        <w:topLinePunct w:val="0"/>
        <w:bidi w:val="0"/>
        <w:spacing w:line="360" w:lineRule="auto"/>
        <w:jc w:val="center"/>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（吊顶内线缆现状）</w:t>
      </w:r>
    </w:p>
    <w:p w14:paraId="15928A84">
      <w:pPr>
        <w:pStyle w:val="8"/>
        <w:keepNext w:val="0"/>
        <w:keepLines w:val="0"/>
        <w:pageBreakBefore w:val="0"/>
        <w:kinsoku/>
        <w:overflowPunct/>
        <w:topLinePunct w:val="0"/>
        <w:bidi w:val="0"/>
        <w:spacing w:line="360" w:lineRule="auto"/>
        <w:jc w:val="center"/>
        <w:rPr>
          <w:rFonts w:hint="eastAsia" w:ascii="宋体" w:hAnsi="宋体" w:eastAsia="宋体" w:cs="宋体"/>
          <w:b w:val="0"/>
          <w:bCs w:val="0"/>
          <w:i w:val="0"/>
          <w:caps w:val="0"/>
          <w:color w:val="auto"/>
          <w:spacing w:val="0"/>
          <w:w w:val="100"/>
          <w:sz w:val="24"/>
          <w:szCs w:val="24"/>
          <w:highlight w:val="none"/>
          <w:lang w:val="en-US" w:eastAsia="zh-CN"/>
        </w:rPr>
      </w:pPr>
    </w:p>
    <w:p w14:paraId="6E19D980">
      <w:pPr>
        <w:pStyle w:val="8"/>
        <w:keepNext w:val="0"/>
        <w:keepLines w:val="0"/>
        <w:pageBreakBefore w:val="0"/>
        <w:kinsoku/>
        <w:overflowPunct/>
        <w:topLinePunct w:val="0"/>
        <w:bidi w:val="0"/>
        <w:spacing w:line="360" w:lineRule="auto"/>
        <w:jc w:val="center"/>
        <w:rPr>
          <w:rFonts w:hint="eastAsia" w:ascii="宋体" w:hAnsi="宋体" w:eastAsia="宋体" w:cs="宋体"/>
          <w:b w:val="0"/>
          <w:bCs w:val="0"/>
          <w:i w:val="0"/>
          <w:caps w:val="0"/>
          <w:color w:val="auto"/>
          <w:spacing w:val="0"/>
          <w:w w:val="100"/>
          <w:sz w:val="24"/>
          <w:szCs w:val="24"/>
          <w:highlight w:val="none"/>
          <w:lang w:val="en-US" w:eastAsia="zh-CN"/>
        </w:rPr>
      </w:pPr>
    </w:p>
    <w:p w14:paraId="71437378">
      <w:pPr>
        <w:pStyle w:val="8"/>
        <w:keepNext w:val="0"/>
        <w:keepLines w:val="0"/>
        <w:pageBreakBefore w:val="0"/>
        <w:kinsoku/>
        <w:overflowPunct/>
        <w:topLinePunct w:val="0"/>
        <w:bidi w:val="0"/>
        <w:spacing w:line="360" w:lineRule="auto"/>
        <w:jc w:val="center"/>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（6）晋阳院区门诊楼消防中控室火灾报警装置中监测出漏电超过正常范围的用电回路进行改造，发现漏电原因（设备漏电、环境因数或线路绝缘）并整改。</w:t>
      </w:r>
    </w:p>
    <w:p w14:paraId="1117321D">
      <w:pPr>
        <w:pStyle w:val="8"/>
        <w:keepNext w:val="0"/>
        <w:keepLines w:val="0"/>
        <w:pageBreakBefore w:val="0"/>
        <w:kinsoku/>
        <w:overflowPunct/>
        <w:topLinePunct w:val="0"/>
        <w:bidi w:val="0"/>
        <w:spacing w:line="360" w:lineRule="auto"/>
        <w:ind w:left="0" w:leftChars="0" w:firstLine="0" w:firstLineChars="0"/>
        <w:rPr>
          <w:rFonts w:hint="eastAsia" w:ascii="宋体" w:hAnsi="宋体" w:eastAsia="宋体" w:cs="宋体"/>
          <w:b w:val="0"/>
          <w:bCs w:val="0"/>
          <w:i w:val="0"/>
          <w:caps w:val="0"/>
          <w:color w:val="auto"/>
          <w:spacing w:val="0"/>
          <w:w w:val="100"/>
          <w:sz w:val="24"/>
          <w:szCs w:val="24"/>
          <w:highlight w:val="none"/>
          <w:lang w:val="en-US" w:eastAsia="zh-CN"/>
        </w:rPr>
      </w:pPr>
    </w:p>
    <w:p w14:paraId="7E935A61">
      <w:pPr>
        <w:pStyle w:val="8"/>
        <w:keepNext w:val="0"/>
        <w:keepLines w:val="0"/>
        <w:pageBreakBefore w:val="0"/>
        <w:kinsoku/>
        <w:overflowPunct/>
        <w:topLinePunct w:val="0"/>
        <w:bidi w:val="0"/>
        <w:spacing w:line="360" w:lineRule="auto"/>
        <w:jc w:val="both"/>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2.施工单位资质要求：</w:t>
      </w:r>
    </w:p>
    <w:p w14:paraId="7567B6EC">
      <w:pPr>
        <w:pStyle w:val="8"/>
        <w:keepNext w:val="0"/>
        <w:keepLines w:val="0"/>
        <w:pageBreakBefore w:val="0"/>
        <w:kinsoku/>
        <w:overflowPunct/>
        <w:topLinePunct w:val="0"/>
        <w:bidi w:val="0"/>
        <w:spacing w:line="360" w:lineRule="auto"/>
        <w:jc w:val="both"/>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（1）设计资质：须具备工程设计电力行业（新能源发电或变电工程或送电工程）专业设计乙级及以上设计资质，并在人员、设备、资金等方面具有相应的设计能力；（提供资质证书复印件，并加盖单位鲜章）</w:t>
      </w:r>
      <w:bookmarkStart w:id="1" w:name="_GoBack"/>
      <w:bookmarkEnd w:id="1"/>
    </w:p>
    <w:p w14:paraId="565BC19D">
      <w:pPr>
        <w:pStyle w:val="8"/>
        <w:keepNext w:val="0"/>
        <w:keepLines w:val="0"/>
        <w:pageBreakBefore w:val="0"/>
        <w:kinsoku/>
        <w:overflowPunct/>
        <w:topLinePunct w:val="0"/>
        <w:bidi w:val="0"/>
        <w:spacing w:line="360" w:lineRule="auto"/>
        <w:jc w:val="both"/>
        <w:rPr>
          <w:rFonts w:hint="eastAsia" w:ascii="宋体" w:hAnsi="宋体" w:eastAsia="宋体" w:cs="宋体"/>
          <w:b w:val="0"/>
          <w:bCs w:val="0"/>
          <w:i w:val="0"/>
          <w:caps w:val="0"/>
          <w:color w:val="auto"/>
          <w:spacing w:val="0"/>
          <w:w w:val="100"/>
          <w:sz w:val="24"/>
          <w:szCs w:val="24"/>
          <w:highlight w:val="none"/>
          <w:lang w:val="en-US" w:eastAsia="zh-CN"/>
        </w:rPr>
      </w:pPr>
      <w:r>
        <w:rPr>
          <w:rFonts w:hint="eastAsia" w:ascii="宋体" w:hAnsi="宋体" w:eastAsia="宋体" w:cs="宋体"/>
          <w:b w:val="0"/>
          <w:bCs w:val="0"/>
          <w:i w:val="0"/>
          <w:caps w:val="0"/>
          <w:color w:val="auto"/>
          <w:spacing w:val="0"/>
          <w:w w:val="100"/>
          <w:sz w:val="24"/>
          <w:szCs w:val="24"/>
          <w:highlight w:val="none"/>
          <w:lang w:val="en-US" w:eastAsia="zh-CN"/>
        </w:rPr>
        <w:t>（2）施工资质：①具备建设行政主管部门颁发的电力工程施工总承包三级（或以上）和建筑机电安装工程专业承包资质三级（或以上）施工资质；②具备行政主管部门颁发的承装（修、试）电力设施许可证资质，具备有效的安全生产许可证；并在人员、设备、资金等方面具有相应的施工能力。</w:t>
      </w:r>
    </w:p>
    <w:p w14:paraId="6DB02D6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（3）人员要求：</w:t>
      </w:r>
    </w:p>
    <w:p w14:paraId="28E8155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项目总负责人(项目经理)的资格要求</w:t>
      </w:r>
      <w:r>
        <w:rPr>
          <w:rFonts w:hint="eastAsia" w:ascii="宋体" w:hAnsi="宋体" w:eastAsia="宋体" w:cs="宋体"/>
          <w:sz w:val="24"/>
          <w:szCs w:val="24"/>
          <w:lang w:val="en-US" w:eastAsia="zh-CN"/>
        </w:rPr>
        <w:t>：具有机电工程专业二级及以上注册建造师资格，具有省级及以上住房城乡建设主管部门颁发的安全生产考核合格证（B证）。（若为联合体投标的须为牵头单位人员）；</w:t>
      </w:r>
    </w:p>
    <w:p w14:paraId="7614B8B7">
      <w:pPr>
        <w:keepNext w:val="0"/>
        <w:keepLines w:val="0"/>
        <w:pageBreakBefore w:val="0"/>
        <w:widowControl/>
        <w:kinsoku/>
        <w:overflowPunct/>
        <w:topLinePunct w:val="0"/>
        <w:bidi w:val="0"/>
        <w:spacing w:line="360" w:lineRule="auto"/>
        <w:ind w:firstLine="482" w:firstLineChars="200"/>
        <w:jc w:val="left"/>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项目技术负责人的资格要求</w:t>
      </w:r>
      <w:r>
        <w:rPr>
          <w:rFonts w:hint="eastAsia" w:ascii="宋体" w:hAnsi="宋体" w:eastAsia="宋体" w:cs="宋体"/>
          <w:sz w:val="24"/>
          <w:szCs w:val="24"/>
          <w:lang w:val="en-US" w:eastAsia="zh-CN"/>
        </w:rPr>
        <w:t>：具有电力或机电工程相关专业中级及以上技术职称。（若为联合体投标的须为施工单位人员）；</w:t>
      </w:r>
    </w:p>
    <w:p w14:paraId="2DACAB1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p>
    <w:p w14:paraId="5B1FC273">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企业注册地不在四川省行政区域内的外地企业须提供在有效期内的四川省住房和城乡建设厅官网已公开的入川信息网页截图。</w:t>
      </w:r>
    </w:p>
    <w:p w14:paraId="45C0DA9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本次招标接受联合体投标。联合体投标的，应满足下列要求：（1）本项目接受由施工单位作为联合体牵头人组成的设计施工总承包(EPC)的联合体投标，其中联合体各成员方总数不超过 2 家；（2）联合体各成员应为独立法人；（3）联合体各方须签订联合体投标协议书，明确联合体牵头人和各方权利义务，牵头人负责联合体在本次投标活动和合同的全面实施；（4）联合体各方不得再以自己名义单独或参加其他联合体在同一标段中投标；</w:t>
      </w:r>
    </w:p>
    <w:p w14:paraId="207E44F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四、技术服务</w:t>
      </w:r>
    </w:p>
    <w:p w14:paraId="104CC15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rPr>
        <w:t>1.售前服务工作，介绍检测方案</w:t>
      </w:r>
      <w:r>
        <w:rPr>
          <w:rFonts w:hint="eastAsia" w:ascii="宋体" w:hAnsi="宋体" w:eastAsia="宋体" w:cs="宋体"/>
          <w:sz w:val="24"/>
          <w:szCs w:val="24"/>
          <w:lang w:eastAsia="zh-CN"/>
        </w:rPr>
        <w:t>。</w:t>
      </w:r>
    </w:p>
    <w:p w14:paraId="7508110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2.供方应派有经验的技术人员做好售后服务工作，包括设备放置和使用培训等。</w:t>
      </w:r>
    </w:p>
    <w:p w14:paraId="022EE1BE">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rPr>
        <w:t>3.应急处理方案</w:t>
      </w:r>
      <w:r>
        <w:rPr>
          <w:rFonts w:hint="eastAsia" w:ascii="宋体" w:hAnsi="宋体" w:eastAsia="宋体" w:cs="宋体"/>
          <w:sz w:val="24"/>
          <w:szCs w:val="24"/>
          <w:lang w:eastAsia="zh-CN"/>
        </w:rPr>
        <w:t>。</w:t>
      </w:r>
    </w:p>
    <w:p w14:paraId="33E58CE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4.质保期内因设备产品问题不能正常工作时，供方应免费为需方及时修理或更换。</w:t>
      </w:r>
    </w:p>
    <w:p w14:paraId="054857E1">
      <w:pPr>
        <w:pStyle w:val="19"/>
        <w:keepNext w:val="0"/>
        <w:keepLines w:val="0"/>
        <w:pageBreakBefore w:val="0"/>
        <w:kinsoku/>
        <w:overflowPunct/>
        <w:topLinePunct w:val="0"/>
        <w:bidi w:val="0"/>
        <w:spacing w:line="360" w:lineRule="auto"/>
        <w:rPr>
          <w:rFonts w:hint="eastAsia" w:ascii="宋体" w:hAnsi="宋体" w:eastAsia="宋体" w:cs="宋体"/>
          <w:sz w:val="24"/>
          <w:szCs w:val="24"/>
        </w:rPr>
      </w:pPr>
    </w:p>
    <w:p w14:paraId="7B8C2B57">
      <w:pPr>
        <w:keepNext w:val="0"/>
        <w:keepLines w:val="0"/>
        <w:pageBreakBefore w:val="0"/>
        <w:widowControl/>
        <w:kinsoku/>
        <w:overflowPunct/>
        <w:topLinePunct w:val="0"/>
        <w:bidi w:val="0"/>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五</w:t>
      </w:r>
      <w:r>
        <w:rPr>
          <w:rFonts w:hint="eastAsia" w:ascii="宋体" w:hAnsi="宋体" w:eastAsia="宋体" w:cs="宋体"/>
          <w:b/>
          <w:bCs/>
          <w:sz w:val="24"/>
          <w:szCs w:val="24"/>
        </w:rPr>
        <w:t>、工期</w:t>
      </w:r>
    </w:p>
    <w:p w14:paraId="4D177034">
      <w:pPr>
        <w:keepNext w:val="0"/>
        <w:keepLines w:val="0"/>
        <w:pageBreakBefore w:val="0"/>
        <w:widowControl/>
        <w:kinsoku/>
        <w:overflowPunct/>
        <w:topLinePunct w:val="0"/>
        <w:bidi w:val="0"/>
        <w:spacing w:line="360" w:lineRule="auto"/>
        <w:ind w:firstLine="566"/>
        <w:jc w:val="lef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合同签订生效之日起，设计工作须在5天内完成，施工为90天内完成。</w:t>
      </w:r>
    </w:p>
    <w:p w14:paraId="49FB8E1A">
      <w:pPr>
        <w:keepNext w:val="0"/>
        <w:keepLines w:val="0"/>
        <w:pageBreakBefore w:val="0"/>
        <w:widowControl/>
        <w:kinsoku/>
        <w:overflowPunct/>
        <w:topLinePunct w:val="0"/>
        <w:bidi w:val="0"/>
        <w:spacing w:line="360" w:lineRule="auto"/>
        <w:jc w:val="left"/>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六、项目最高限价（元）: 905000.00</w:t>
      </w:r>
    </w:p>
    <w:p w14:paraId="4CEA98F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本次投标报价分两部分组成：勘察设计费和建安工程费组成。</w:t>
      </w:r>
    </w:p>
    <w:p w14:paraId="03B0FA7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1.勘察设计费：报价由供应商综合考虑，自行报价。</w:t>
      </w:r>
    </w:p>
    <w:p w14:paraId="14F538D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2.建安工程费：报价由供应商综合考虑，自行报价。</w:t>
      </w:r>
    </w:p>
    <w:p w14:paraId="3178D29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注：1.报价精确到小数点后两位。</w:t>
      </w:r>
    </w:p>
    <w:p w14:paraId="0FABFEBE">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每个类别只能有一个有效参选报价，若总价超过最高限价要求的报价为无效报价。</w:t>
      </w:r>
    </w:p>
    <w:p w14:paraId="5BE64C7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付款进度安排</w:t>
      </w:r>
    </w:p>
    <w:p w14:paraId="7E9DBDA6">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1.中标人自合同签订生效后采购人支付至中标金额的30%；</w:t>
      </w:r>
    </w:p>
    <w:p w14:paraId="41E2970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2.项目竣工验收合格后，采购人支付至中标金额的97%。</w:t>
      </w:r>
    </w:p>
    <w:p w14:paraId="4844FC0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3.缺陷责任期（24个月）满后，采购人结清剩余款项，付中标金额的3%。</w:t>
      </w:r>
    </w:p>
    <w:p w14:paraId="18A3C6F3">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4.款项支付前提均为中标人向采购人出具相应金额全额有效的发票（第一次支付时）以及付款申请后，经采购人确认无误后办理款项支付事宜，在10个工作日内支付。</w:t>
      </w:r>
    </w:p>
    <w:p w14:paraId="798B884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p>
    <w:p w14:paraId="13885A26">
      <w:pPr>
        <w:keepNext w:val="0"/>
        <w:keepLines w:val="0"/>
        <w:pageBreakBefore w:val="0"/>
        <w:widowControl/>
        <w:kinsoku/>
        <w:overflowPunct/>
        <w:topLinePunct w:val="0"/>
        <w:bidi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w:t>
      </w:r>
      <w:r>
        <w:rPr>
          <w:rFonts w:hint="eastAsia" w:ascii="宋体" w:hAnsi="宋体" w:eastAsia="宋体" w:cs="宋体"/>
          <w:sz w:val="24"/>
          <w:szCs w:val="24"/>
        </w:rPr>
        <w:t>评审方法、细则及标准</w:t>
      </w:r>
    </w:p>
    <w:p w14:paraId="71CBBE1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评审方法</w:t>
      </w:r>
      <w:r>
        <w:rPr>
          <w:rFonts w:hint="eastAsia" w:ascii="宋体" w:hAnsi="宋体" w:eastAsia="宋体" w:cs="宋体"/>
          <w:sz w:val="24"/>
          <w:szCs w:val="24"/>
          <w:lang w:val="en-US" w:eastAsia="zh-CN"/>
        </w:rPr>
        <w:t>。</w:t>
      </w:r>
    </w:p>
    <w:p w14:paraId="2C38AED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评审采用综合评分法。经磋商确定最终采购需求和提交最后报价的供应商后，由磋商小组采用综合评分法对提交最后报价的供应商的响应文件和最后报价进行综合评分。综合评分法，是指响应文件满足采购文件全部实质性要求且按评审因素的量化指标评审得分最高的供应商为成交候选供应商的评审方法。</w:t>
      </w:r>
    </w:p>
    <w:p w14:paraId="372E65DF">
      <w:pPr>
        <w:keepNext w:val="0"/>
        <w:keepLines w:val="0"/>
        <w:pageBreakBefore w:val="0"/>
        <w:widowControl/>
        <w:kinsoku/>
        <w:overflowPunct/>
        <w:topLinePunct w:val="0"/>
        <w:bidi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评审细则及标准</w:t>
      </w:r>
    </w:p>
    <w:p w14:paraId="612DED74">
      <w:pPr>
        <w:keepNext w:val="0"/>
        <w:keepLines w:val="0"/>
        <w:pageBreakBefore w:val="0"/>
        <w:widowControl/>
        <w:kinsoku/>
        <w:overflowPunct/>
        <w:topLinePunct w:val="0"/>
        <w:bidi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评分标准</w:t>
      </w:r>
    </w:p>
    <w:tbl>
      <w:tblPr>
        <w:tblStyle w:val="15"/>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1125"/>
        <w:gridCol w:w="1125"/>
        <w:gridCol w:w="5625"/>
        <w:gridCol w:w="943"/>
      </w:tblGrid>
      <w:tr w14:paraId="3127C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57F88F3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序号</w:t>
            </w:r>
          </w:p>
        </w:tc>
        <w:tc>
          <w:tcPr>
            <w:tcW w:w="1125" w:type="dxa"/>
            <w:noWrap/>
            <w:vAlign w:val="center"/>
          </w:tcPr>
          <w:p w14:paraId="05B1E8C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评分因素和权值</w:t>
            </w:r>
          </w:p>
        </w:tc>
        <w:tc>
          <w:tcPr>
            <w:tcW w:w="1125" w:type="dxa"/>
            <w:noWrap/>
            <w:vAlign w:val="center"/>
          </w:tcPr>
          <w:p w14:paraId="3CE4062E">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分值</w:t>
            </w:r>
          </w:p>
        </w:tc>
        <w:tc>
          <w:tcPr>
            <w:tcW w:w="5625" w:type="dxa"/>
            <w:noWrap/>
            <w:vAlign w:val="center"/>
          </w:tcPr>
          <w:p w14:paraId="23A97FB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评分标准</w:t>
            </w:r>
          </w:p>
        </w:tc>
        <w:tc>
          <w:tcPr>
            <w:tcW w:w="943" w:type="dxa"/>
            <w:noWrap/>
            <w:vAlign w:val="center"/>
          </w:tcPr>
          <w:p w14:paraId="50686F8E">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备注</w:t>
            </w:r>
          </w:p>
        </w:tc>
      </w:tr>
      <w:tr w14:paraId="4766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5676151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1</w:t>
            </w:r>
          </w:p>
        </w:tc>
        <w:tc>
          <w:tcPr>
            <w:tcW w:w="1125" w:type="dxa"/>
            <w:noWrap/>
            <w:vAlign w:val="center"/>
          </w:tcPr>
          <w:p w14:paraId="209E182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报价</w:t>
            </w:r>
            <w:r>
              <w:rPr>
                <w:rFonts w:hint="eastAsia" w:ascii="宋体" w:hAnsi="宋体" w:eastAsia="宋体" w:cs="宋体"/>
                <w:sz w:val="24"/>
                <w:szCs w:val="24"/>
                <w:lang w:val="en-US" w:eastAsia="zh-CN"/>
              </w:rPr>
              <w:t>30</w:t>
            </w:r>
            <w:r>
              <w:rPr>
                <w:rFonts w:hint="eastAsia" w:ascii="宋体" w:hAnsi="宋体" w:eastAsia="宋体" w:cs="宋体"/>
                <w:sz w:val="24"/>
                <w:szCs w:val="24"/>
              </w:rPr>
              <w:t>%</w:t>
            </w:r>
          </w:p>
        </w:tc>
        <w:tc>
          <w:tcPr>
            <w:tcW w:w="1125" w:type="dxa"/>
            <w:noWrap/>
            <w:vAlign w:val="center"/>
          </w:tcPr>
          <w:p w14:paraId="2A0B9E0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lang w:val="en-US" w:eastAsia="zh-CN"/>
              </w:rPr>
              <w:t>30</w:t>
            </w:r>
            <w:r>
              <w:rPr>
                <w:rFonts w:hint="eastAsia" w:ascii="宋体" w:hAnsi="宋体" w:eastAsia="宋体" w:cs="宋体"/>
                <w:sz w:val="24"/>
                <w:szCs w:val="24"/>
              </w:rPr>
              <w:t>分</w:t>
            </w:r>
          </w:p>
        </w:tc>
        <w:tc>
          <w:tcPr>
            <w:tcW w:w="5625" w:type="dxa"/>
            <w:noWrap/>
            <w:vAlign w:val="center"/>
          </w:tcPr>
          <w:p w14:paraId="45A4A17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满足采购文件要求且价格最低的报价为评审基准价，其价格分为满分。其他供应商的价格分统一按照下列公式计算：报价得分=(评审基准价／投标报价)×</w:t>
            </w:r>
            <w:r>
              <w:rPr>
                <w:rFonts w:hint="eastAsia" w:ascii="宋体" w:hAnsi="宋体" w:eastAsia="宋体" w:cs="宋体"/>
                <w:sz w:val="24"/>
                <w:szCs w:val="24"/>
                <w:lang w:val="en-US" w:eastAsia="zh-CN"/>
              </w:rPr>
              <w:t>3</w:t>
            </w:r>
            <w:r>
              <w:rPr>
                <w:rFonts w:hint="eastAsia" w:ascii="宋体" w:hAnsi="宋体" w:eastAsia="宋体" w:cs="宋体"/>
                <w:sz w:val="24"/>
                <w:szCs w:val="24"/>
              </w:rPr>
              <w:t>0分。</w:t>
            </w:r>
          </w:p>
        </w:tc>
        <w:tc>
          <w:tcPr>
            <w:tcW w:w="943" w:type="dxa"/>
            <w:noWrap/>
            <w:vAlign w:val="center"/>
          </w:tcPr>
          <w:p w14:paraId="3AEAF47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共同评审因素</w:t>
            </w:r>
          </w:p>
        </w:tc>
      </w:tr>
      <w:tr w14:paraId="55328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noWrap/>
            <w:vAlign w:val="center"/>
          </w:tcPr>
          <w:p w14:paraId="493E0959">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125" w:type="dxa"/>
            <w:noWrap/>
            <w:vAlign w:val="center"/>
          </w:tcPr>
          <w:p w14:paraId="064C402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履约能力</w:t>
            </w:r>
            <w:r>
              <w:rPr>
                <w:rFonts w:hint="eastAsia" w:ascii="宋体" w:hAnsi="宋体" w:eastAsia="宋体" w:cs="宋体"/>
                <w:sz w:val="24"/>
                <w:szCs w:val="24"/>
                <w:lang w:val="en-US" w:eastAsia="zh-CN"/>
              </w:rPr>
              <w:t>10</w:t>
            </w:r>
            <w:r>
              <w:rPr>
                <w:rFonts w:hint="eastAsia" w:ascii="宋体" w:hAnsi="宋体" w:eastAsia="宋体" w:cs="宋体"/>
                <w:sz w:val="24"/>
                <w:szCs w:val="24"/>
              </w:rPr>
              <w:t>%</w:t>
            </w:r>
          </w:p>
        </w:tc>
        <w:tc>
          <w:tcPr>
            <w:tcW w:w="1125" w:type="dxa"/>
            <w:noWrap/>
            <w:vAlign w:val="center"/>
          </w:tcPr>
          <w:p w14:paraId="12B9FB7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10分</w:t>
            </w:r>
          </w:p>
        </w:tc>
        <w:tc>
          <w:tcPr>
            <w:tcW w:w="5625" w:type="dxa"/>
            <w:noWrap/>
            <w:vAlign w:val="center"/>
          </w:tcPr>
          <w:p w14:paraId="3936C33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投标人提供自2022年1月1日起至响应文件递交截止日的已完成类似项目业绩的，每提供一个得</w:t>
            </w:r>
            <w:r>
              <w:rPr>
                <w:rFonts w:hint="eastAsia" w:ascii="宋体" w:hAnsi="宋体" w:eastAsia="宋体" w:cs="宋体"/>
                <w:sz w:val="24"/>
                <w:szCs w:val="24"/>
                <w:lang w:val="en-US" w:eastAsia="zh-CN"/>
              </w:rPr>
              <w:t>2</w:t>
            </w:r>
            <w:r>
              <w:rPr>
                <w:rFonts w:hint="eastAsia" w:ascii="宋体" w:hAnsi="宋体" w:eastAsia="宋体" w:cs="宋体"/>
                <w:sz w:val="24"/>
                <w:szCs w:val="24"/>
              </w:rPr>
              <w:t>分，最高</w:t>
            </w:r>
            <w:r>
              <w:rPr>
                <w:rFonts w:hint="eastAsia" w:ascii="宋体" w:hAnsi="宋体" w:eastAsia="宋体" w:cs="宋体"/>
                <w:sz w:val="24"/>
                <w:szCs w:val="24"/>
                <w:lang w:val="en-US" w:eastAsia="zh-CN"/>
              </w:rPr>
              <w:t>10</w:t>
            </w:r>
            <w:r>
              <w:rPr>
                <w:rFonts w:hint="eastAsia" w:ascii="宋体" w:hAnsi="宋体" w:eastAsia="宋体" w:cs="宋体"/>
                <w:sz w:val="24"/>
                <w:szCs w:val="24"/>
              </w:rPr>
              <w:t>分。</w:t>
            </w:r>
          </w:p>
          <w:p w14:paraId="1CBAC6C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说明：1、类似业绩须提供合同扫描件、竣工验收报告复印件并加盖公章，不提供的不得分。</w:t>
            </w:r>
          </w:p>
          <w:p w14:paraId="7853C363">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rPr>
              <w:t>2、类似业绩</w:t>
            </w:r>
            <w:r>
              <w:rPr>
                <w:rFonts w:hint="eastAsia" w:ascii="宋体" w:hAnsi="宋体" w:eastAsia="宋体" w:cs="宋体"/>
                <w:sz w:val="24"/>
                <w:szCs w:val="24"/>
                <w:lang w:val="en-US" w:eastAsia="zh-CN"/>
              </w:rPr>
              <w:t>是指（电力工程施工）项目业绩</w:t>
            </w:r>
            <w:r>
              <w:rPr>
                <w:rFonts w:hint="eastAsia" w:ascii="宋体" w:hAnsi="宋体" w:eastAsia="宋体" w:cs="宋体"/>
                <w:sz w:val="24"/>
                <w:szCs w:val="24"/>
                <w:lang w:eastAsia="zh-CN"/>
              </w:rPr>
              <w:t>，时间以</w:t>
            </w:r>
            <w:r>
              <w:rPr>
                <w:rFonts w:hint="eastAsia" w:ascii="宋体" w:hAnsi="宋体" w:eastAsia="宋体" w:cs="宋体"/>
                <w:sz w:val="24"/>
                <w:szCs w:val="24"/>
                <w:lang w:val="en-US" w:eastAsia="zh-CN"/>
              </w:rPr>
              <w:t>合同签订</w:t>
            </w:r>
            <w:r>
              <w:rPr>
                <w:rFonts w:hint="eastAsia" w:ascii="宋体" w:hAnsi="宋体" w:eastAsia="宋体" w:cs="宋体"/>
                <w:sz w:val="24"/>
                <w:szCs w:val="24"/>
                <w:lang w:eastAsia="zh-CN"/>
              </w:rPr>
              <w:t>日期为准。</w:t>
            </w:r>
          </w:p>
        </w:tc>
        <w:tc>
          <w:tcPr>
            <w:tcW w:w="943" w:type="dxa"/>
            <w:noWrap/>
            <w:vAlign w:val="center"/>
          </w:tcPr>
          <w:p w14:paraId="2E1137F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共同评审因素</w:t>
            </w:r>
          </w:p>
        </w:tc>
      </w:tr>
      <w:tr w14:paraId="36EE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9" w:type="dxa"/>
            <w:noWrap/>
            <w:vAlign w:val="center"/>
          </w:tcPr>
          <w:p w14:paraId="7B37895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p>
        </w:tc>
        <w:tc>
          <w:tcPr>
            <w:tcW w:w="1125" w:type="dxa"/>
            <w:noWrap/>
            <w:vAlign w:val="center"/>
          </w:tcPr>
          <w:p w14:paraId="7AE5BF7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人员配备</w:t>
            </w:r>
            <w:r>
              <w:rPr>
                <w:rFonts w:hint="eastAsia" w:ascii="宋体" w:hAnsi="宋体" w:eastAsia="宋体" w:cs="宋体"/>
                <w:sz w:val="24"/>
                <w:szCs w:val="24"/>
                <w:lang w:val="en-US" w:eastAsia="zh-CN"/>
              </w:rPr>
              <w:t>24</w:t>
            </w:r>
            <w:r>
              <w:rPr>
                <w:rFonts w:hint="eastAsia" w:ascii="宋体" w:hAnsi="宋体" w:eastAsia="宋体" w:cs="宋体"/>
                <w:sz w:val="24"/>
                <w:szCs w:val="24"/>
              </w:rPr>
              <w:t>%</w:t>
            </w:r>
          </w:p>
        </w:tc>
        <w:tc>
          <w:tcPr>
            <w:tcW w:w="1125" w:type="dxa"/>
            <w:noWrap/>
            <w:vAlign w:val="center"/>
          </w:tcPr>
          <w:p w14:paraId="4642A066">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625" w:type="dxa"/>
            <w:noWrap/>
            <w:vAlign w:val="center"/>
          </w:tcPr>
          <w:p w14:paraId="6FDAC11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rPr>
              <w:t>拟投入本项目中的项目负责人：具有行业主管部门颁发的且在有效期内的机电工程一级建造师</w:t>
            </w:r>
            <w:r>
              <w:rPr>
                <w:rFonts w:hint="eastAsia" w:ascii="宋体" w:hAnsi="宋体" w:eastAsia="宋体" w:cs="宋体"/>
                <w:sz w:val="24"/>
                <w:szCs w:val="24"/>
                <w:lang w:val="en-US" w:eastAsia="zh-CN"/>
              </w:rPr>
              <w:t>证书的</w:t>
            </w:r>
            <w:r>
              <w:rPr>
                <w:rFonts w:hint="eastAsia" w:ascii="宋体" w:hAnsi="宋体" w:eastAsia="宋体" w:cs="宋体"/>
                <w:sz w:val="24"/>
                <w:szCs w:val="24"/>
              </w:rPr>
              <w:t>得</w:t>
            </w:r>
            <w:r>
              <w:rPr>
                <w:rFonts w:hint="eastAsia" w:ascii="宋体" w:hAnsi="宋体" w:eastAsia="宋体" w:cs="宋体"/>
                <w:sz w:val="24"/>
                <w:szCs w:val="24"/>
                <w:lang w:val="en-US" w:eastAsia="zh-CN"/>
              </w:rPr>
              <w:t>4</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同时</w:t>
            </w:r>
            <w:r>
              <w:rPr>
                <w:rFonts w:hint="eastAsia" w:ascii="宋体" w:hAnsi="宋体" w:eastAsia="宋体" w:cs="宋体"/>
                <w:sz w:val="24"/>
                <w:szCs w:val="24"/>
              </w:rPr>
              <w:t>具</w:t>
            </w:r>
            <w:r>
              <w:rPr>
                <w:rFonts w:hint="eastAsia" w:ascii="宋体" w:hAnsi="宋体" w:eastAsia="宋体" w:cs="宋体"/>
                <w:sz w:val="24"/>
                <w:szCs w:val="24"/>
                <w:lang w:val="en-US" w:eastAsia="zh-CN"/>
              </w:rPr>
              <w:t>备</w:t>
            </w:r>
            <w:r>
              <w:rPr>
                <w:rFonts w:hint="eastAsia" w:ascii="宋体" w:hAnsi="宋体" w:eastAsia="宋体" w:cs="宋体"/>
                <w:sz w:val="24"/>
                <w:szCs w:val="24"/>
              </w:rPr>
              <w:t>电气或电力相关专业中级职称的得</w:t>
            </w:r>
            <w:r>
              <w:rPr>
                <w:rFonts w:hint="eastAsia" w:ascii="宋体" w:hAnsi="宋体" w:eastAsia="宋体" w:cs="宋体"/>
                <w:sz w:val="24"/>
                <w:szCs w:val="24"/>
                <w:lang w:val="en-US" w:eastAsia="zh-CN"/>
              </w:rPr>
              <w:t>2</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具有电气或电力相关专业高级职称的得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rPr>
              <w:t>最高</w:t>
            </w:r>
            <w:r>
              <w:rPr>
                <w:rFonts w:hint="eastAsia" w:ascii="宋体" w:hAnsi="宋体" w:eastAsia="宋体" w:cs="宋体"/>
                <w:sz w:val="24"/>
                <w:szCs w:val="24"/>
                <w:lang w:val="en-US" w:eastAsia="zh-CN"/>
              </w:rPr>
              <w:t>9</w:t>
            </w:r>
            <w:r>
              <w:rPr>
                <w:rFonts w:hint="eastAsia" w:ascii="宋体" w:hAnsi="宋体" w:eastAsia="宋体" w:cs="宋体"/>
                <w:sz w:val="24"/>
                <w:szCs w:val="24"/>
              </w:rPr>
              <w:t>分（供应商须提供证书复印件并加盖公章，不提供不得分）</w:t>
            </w:r>
          </w:p>
          <w:p w14:paraId="3176044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供应商为本项目配备的项目技术负责人具有电力或机电工程相关专业具备中级工程的得</w:t>
            </w:r>
            <w:r>
              <w:rPr>
                <w:rFonts w:hint="eastAsia" w:ascii="宋体" w:hAnsi="宋体" w:eastAsia="宋体" w:cs="宋体"/>
                <w:sz w:val="24"/>
                <w:szCs w:val="24"/>
                <w:lang w:val="en-US" w:eastAsia="zh-CN"/>
              </w:rPr>
              <w:t>1</w:t>
            </w:r>
            <w:r>
              <w:rPr>
                <w:rFonts w:hint="eastAsia" w:ascii="宋体" w:hAnsi="宋体" w:eastAsia="宋体" w:cs="宋体"/>
                <w:sz w:val="24"/>
                <w:szCs w:val="24"/>
              </w:rPr>
              <w:t>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w:t>
            </w:r>
            <w:r>
              <w:rPr>
                <w:rFonts w:hint="eastAsia" w:ascii="宋体" w:hAnsi="宋体" w:eastAsia="宋体" w:cs="宋体"/>
                <w:sz w:val="24"/>
                <w:szCs w:val="24"/>
              </w:rPr>
              <w:t>具有电力或机电工程相关专业高级职称的得</w:t>
            </w:r>
            <w:r>
              <w:rPr>
                <w:rFonts w:hint="eastAsia" w:ascii="宋体" w:hAnsi="宋体" w:eastAsia="宋体" w:cs="宋体"/>
                <w:sz w:val="24"/>
                <w:szCs w:val="24"/>
                <w:lang w:val="en-US" w:eastAsia="zh-CN"/>
              </w:rPr>
              <w:t>3</w:t>
            </w:r>
            <w:r>
              <w:rPr>
                <w:rFonts w:hint="eastAsia" w:ascii="宋体" w:hAnsi="宋体" w:eastAsia="宋体" w:cs="宋体"/>
                <w:sz w:val="24"/>
                <w:szCs w:val="24"/>
              </w:rPr>
              <w:t>分</w:t>
            </w:r>
            <w:r>
              <w:rPr>
                <w:rFonts w:hint="eastAsia" w:ascii="宋体" w:hAnsi="宋体" w:eastAsia="宋体" w:cs="宋体"/>
                <w:sz w:val="24"/>
                <w:szCs w:val="24"/>
                <w:lang w:eastAsia="zh-CN"/>
              </w:rPr>
              <w:t>，同时具备行业主管部门颁发的且在有效期内的机电工程一级建造师</w:t>
            </w:r>
            <w:r>
              <w:rPr>
                <w:rFonts w:hint="eastAsia" w:ascii="宋体" w:hAnsi="宋体" w:eastAsia="宋体" w:cs="宋体"/>
                <w:sz w:val="24"/>
                <w:szCs w:val="24"/>
                <w:lang w:val="en-US" w:eastAsia="zh-CN"/>
              </w:rPr>
              <w:t>证书</w:t>
            </w:r>
            <w:r>
              <w:rPr>
                <w:rFonts w:hint="eastAsia" w:ascii="宋体" w:hAnsi="宋体" w:eastAsia="宋体" w:cs="宋体"/>
                <w:sz w:val="24"/>
                <w:szCs w:val="24"/>
              </w:rPr>
              <w:t>得</w:t>
            </w:r>
            <w:r>
              <w:rPr>
                <w:rFonts w:hint="eastAsia" w:ascii="宋体" w:hAnsi="宋体" w:eastAsia="宋体" w:cs="宋体"/>
                <w:sz w:val="24"/>
                <w:szCs w:val="24"/>
                <w:lang w:eastAsia="zh-CN"/>
              </w:rPr>
              <w:t xml:space="preserve"> </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分</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最高</w:t>
            </w:r>
            <w:r>
              <w:rPr>
                <w:rFonts w:hint="eastAsia" w:ascii="宋体" w:hAnsi="宋体" w:eastAsia="宋体" w:cs="宋体"/>
                <w:sz w:val="24"/>
                <w:szCs w:val="24"/>
                <w:lang w:val="en-US" w:eastAsia="zh-CN"/>
              </w:rPr>
              <w:t>8</w:t>
            </w:r>
            <w:r>
              <w:rPr>
                <w:rFonts w:hint="eastAsia" w:ascii="宋体" w:hAnsi="宋体" w:eastAsia="宋体" w:cs="宋体"/>
                <w:sz w:val="24"/>
                <w:szCs w:val="24"/>
              </w:rPr>
              <w:t>分（供应商须提供证书复印件并加盖公章，不提供不得分）</w:t>
            </w:r>
          </w:p>
          <w:p w14:paraId="67551AF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拟派入本项目的技术人员具有施工员、安全员C证、</w:t>
            </w:r>
            <w:r>
              <w:rPr>
                <w:rFonts w:hint="eastAsia" w:ascii="宋体" w:hAnsi="宋体" w:eastAsia="宋体" w:cs="宋体"/>
                <w:sz w:val="24"/>
                <w:szCs w:val="24"/>
                <w:lang w:val="en-US" w:eastAsia="zh-CN"/>
              </w:rPr>
              <w:t>质量员、</w:t>
            </w:r>
            <w:r>
              <w:rPr>
                <w:rFonts w:hint="eastAsia" w:ascii="宋体" w:hAnsi="宋体" w:eastAsia="宋体" w:cs="宋体"/>
                <w:sz w:val="24"/>
                <w:szCs w:val="24"/>
                <w:lang w:eastAsia="zh-CN"/>
              </w:rPr>
              <w:t>材料员、资料员每有一人得</w:t>
            </w:r>
            <w:r>
              <w:rPr>
                <w:rFonts w:hint="eastAsia" w:ascii="宋体" w:hAnsi="宋体" w:eastAsia="宋体" w:cs="宋体"/>
                <w:sz w:val="24"/>
                <w:szCs w:val="24"/>
                <w:lang w:val="en-US" w:eastAsia="zh-CN"/>
              </w:rPr>
              <w:t>1分，</w:t>
            </w:r>
            <w:r>
              <w:rPr>
                <w:rFonts w:hint="eastAsia" w:ascii="宋体" w:hAnsi="宋体" w:eastAsia="宋体" w:cs="宋体"/>
                <w:sz w:val="24"/>
                <w:szCs w:val="24"/>
              </w:rPr>
              <w:t>最高</w:t>
            </w:r>
            <w:r>
              <w:rPr>
                <w:rFonts w:hint="eastAsia" w:ascii="宋体" w:hAnsi="宋体" w:eastAsia="宋体" w:cs="宋体"/>
                <w:sz w:val="24"/>
                <w:szCs w:val="24"/>
                <w:lang w:val="en-US" w:eastAsia="zh-CN"/>
              </w:rPr>
              <w:t>5</w:t>
            </w:r>
            <w:r>
              <w:rPr>
                <w:rFonts w:hint="eastAsia" w:ascii="宋体" w:hAnsi="宋体" w:eastAsia="宋体" w:cs="宋体"/>
                <w:sz w:val="24"/>
                <w:szCs w:val="24"/>
              </w:rPr>
              <w:t>分（供应商须提供证书复印件并加盖公章，不提供不得分）</w:t>
            </w:r>
          </w:p>
          <w:p w14:paraId="5B6C705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拟派入本项目技术人员具有特种作业操作证：电缆作业；继电保护作业证每有一人得</w:t>
            </w:r>
            <w:r>
              <w:rPr>
                <w:rFonts w:hint="eastAsia" w:ascii="宋体" w:hAnsi="宋体" w:eastAsia="宋体" w:cs="宋体"/>
                <w:sz w:val="24"/>
                <w:szCs w:val="24"/>
                <w:lang w:val="en-US" w:eastAsia="zh-CN"/>
              </w:rPr>
              <w:t>1分，</w:t>
            </w:r>
            <w:r>
              <w:rPr>
                <w:rFonts w:hint="eastAsia" w:ascii="宋体" w:hAnsi="宋体" w:eastAsia="宋体" w:cs="宋体"/>
                <w:sz w:val="24"/>
                <w:szCs w:val="24"/>
              </w:rPr>
              <w:t>最高</w:t>
            </w:r>
            <w:r>
              <w:rPr>
                <w:rFonts w:hint="eastAsia" w:ascii="宋体" w:hAnsi="宋体" w:eastAsia="宋体" w:cs="宋体"/>
                <w:sz w:val="24"/>
                <w:szCs w:val="24"/>
                <w:lang w:val="en-US" w:eastAsia="zh-CN"/>
              </w:rPr>
              <w:t>2</w:t>
            </w:r>
            <w:r>
              <w:rPr>
                <w:rFonts w:hint="eastAsia" w:ascii="宋体" w:hAnsi="宋体" w:eastAsia="宋体" w:cs="宋体"/>
                <w:sz w:val="24"/>
                <w:szCs w:val="24"/>
              </w:rPr>
              <w:t>分（供应商须提供证书复印件并加盖公章，不提供不得分）</w:t>
            </w:r>
          </w:p>
          <w:p w14:paraId="14D1E21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lang w:eastAsia="zh-CN"/>
              </w:rPr>
              <w:t>注：1.以上人员不得重复得分，提供有效的资格证、职称证、操作证、作业证等相关证明文件的复印件，以上人员</w:t>
            </w:r>
            <w:r>
              <w:rPr>
                <w:rFonts w:hint="eastAsia" w:ascii="宋体" w:hAnsi="宋体" w:eastAsia="宋体" w:cs="宋体"/>
                <w:sz w:val="24"/>
                <w:szCs w:val="24"/>
                <w:lang w:val="en-US" w:eastAsia="zh-CN"/>
              </w:rPr>
              <w:t>提供本单位社保</w:t>
            </w:r>
            <w:r>
              <w:rPr>
                <w:rFonts w:hint="eastAsia" w:ascii="宋体" w:hAnsi="宋体" w:eastAsia="宋体" w:cs="宋体"/>
                <w:sz w:val="24"/>
                <w:szCs w:val="24"/>
                <w:lang w:eastAsia="zh-CN"/>
              </w:rPr>
              <w:t>证明材料，未提供者不得分。</w:t>
            </w:r>
          </w:p>
        </w:tc>
        <w:tc>
          <w:tcPr>
            <w:tcW w:w="943" w:type="dxa"/>
            <w:noWrap/>
            <w:vAlign w:val="center"/>
          </w:tcPr>
          <w:p w14:paraId="520D3F5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p>
        </w:tc>
      </w:tr>
      <w:tr w14:paraId="68EE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74BD7B7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5" w:type="dxa"/>
            <w:noWrap/>
            <w:vAlign w:val="center"/>
          </w:tcPr>
          <w:p w14:paraId="207A017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设计方案3%</w:t>
            </w:r>
          </w:p>
        </w:tc>
        <w:tc>
          <w:tcPr>
            <w:tcW w:w="1125" w:type="dxa"/>
            <w:noWrap/>
            <w:vAlign w:val="center"/>
          </w:tcPr>
          <w:p w14:paraId="356665F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设计方案内容</w:t>
            </w:r>
            <w:r>
              <w:rPr>
                <w:rFonts w:hint="eastAsia" w:ascii="宋体" w:hAnsi="宋体" w:eastAsia="宋体" w:cs="宋体"/>
                <w:sz w:val="24"/>
                <w:szCs w:val="24"/>
                <w:lang w:val="en-US" w:eastAsia="zh-CN"/>
              </w:rPr>
              <w:t>3</w:t>
            </w:r>
            <w:r>
              <w:rPr>
                <w:rFonts w:hint="eastAsia" w:ascii="宋体" w:hAnsi="宋体" w:eastAsia="宋体" w:cs="宋体"/>
                <w:sz w:val="24"/>
                <w:szCs w:val="24"/>
              </w:rPr>
              <w:t>分</w:t>
            </w:r>
          </w:p>
        </w:tc>
        <w:tc>
          <w:tcPr>
            <w:tcW w:w="5625" w:type="dxa"/>
            <w:noWrap/>
            <w:vAlign w:val="center"/>
          </w:tcPr>
          <w:p w14:paraId="5B625A6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投标人针对本项目制定设计方案，包括但不限于以下</w:t>
            </w:r>
            <w:r>
              <w:rPr>
                <w:rFonts w:hint="eastAsia" w:ascii="宋体" w:hAnsi="宋体" w:eastAsia="宋体" w:cs="宋体"/>
                <w:sz w:val="24"/>
                <w:szCs w:val="24"/>
                <w:lang w:val="en-US" w:eastAsia="zh-CN"/>
              </w:rPr>
              <w:t>6</w:t>
            </w:r>
            <w:r>
              <w:rPr>
                <w:rFonts w:hint="eastAsia" w:ascii="宋体" w:hAnsi="宋体" w:eastAsia="宋体" w:cs="宋体"/>
                <w:sz w:val="24"/>
                <w:szCs w:val="24"/>
              </w:rPr>
              <w:t>项内容要素：1</w:t>
            </w:r>
            <w:r>
              <w:rPr>
                <w:rFonts w:hint="eastAsia" w:ascii="宋体" w:hAnsi="宋体" w:eastAsia="宋体" w:cs="宋体"/>
                <w:sz w:val="24"/>
                <w:szCs w:val="24"/>
                <w:lang w:val="en-US" w:eastAsia="zh-CN"/>
              </w:rPr>
              <w:t>.</w:t>
            </w:r>
            <w:r>
              <w:rPr>
                <w:rFonts w:hint="eastAsia" w:ascii="宋体" w:hAnsi="宋体" w:eastAsia="宋体" w:cs="宋体"/>
                <w:sz w:val="24"/>
                <w:szCs w:val="24"/>
              </w:rPr>
              <w:t>项目理解及分析（至少包含：项目设计重点、难点分析，以及对应的解决措施）</w:t>
            </w: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满足招标文件以外的设计依据或规范或标准的整理</w:t>
            </w: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设计工作进度计划及保障措施</w:t>
            </w: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设计成果质量保障措施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5.项目实际情况</w:t>
            </w:r>
            <w:r>
              <w:rPr>
                <w:rFonts w:hint="eastAsia" w:ascii="宋体" w:hAnsi="宋体" w:eastAsia="宋体" w:cs="宋体"/>
                <w:sz w:val="24"/>
                <w:szCs w:val="24"/>
              </w:rPr>
              <w:t>用电</w:t>
            </w:r>
            <w:r>
              <w:rPr>
                <w:rFonts w:hint="eastAsia" w:ascii="宋体" w:hAnsi="宋体" w:eastAsia="宋体" w:cs="宋体"/>
                <w:sz w:val="24"/>
                <w:szCs w:val="24"/>
                <w:lang w:val="en-US" w:eastAsia="zh-CN"/>
              </w:rPr>
              <w:t>要求</w:t>
            </w:r>
            <w:r>
              <w:rPr>
                <w:rFonts w:hint="eastAsia" w:ascii="宋体" w:hAnsi="宋体" w:eastAsia="宋体" w:cs="宋体"/>
                <w:sz w:val="24"/>
                <w:szCs w:val="24"/>
              </w:rPr>
              <w:t>，便于</w:t>
            </w:r>
            <w:r>
              <w:rPr>
                <w:rFonts w:hint="eastAsia" w:ascii="宋体" w:hAnsi="宋体" w:eastAsia="宋体" w:cs="宋体"/>
                <w:sz w:val="24"/>
                <w:szCs w:val="24"/>
                <w:lang w:val="en-US" w:eastAsia="zh-CN"/>
              </w:rPr>
              <w:t>后续</w:t>
            </w:r>
            <w:r>
              <w:rPr>
                <w:rFonts w:hint="eastAsia" w:ascii="宋体" w:hAnsi="宋体" w:eastAsia="宋体" w:cs="宋体"/>
                <w:sz w:val="24"/>
                <w:szCs w:val="24"/>
              </w:rPr>
              <w:t>线路敷设及运行维护，其设计符合有关专业 、行业规定</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6.</w:t>
            </w:r>
            <w:r>
              <w:rPr>
                <w:rFonts w:hint="eastAsia" w:ascii="宋体" w:hAnsi="宋体" w:eastAsia="宋体" w:cs="宋体"/>
                <w:sz w:val="24"/>
                <w:szCs w:val="24"/>
              </w:rPr>
              <w:t>设计方案应合现行国家规范及电力行业设计技术标准，满足属地供电主管部门技术要求，并通过相关 部门技术审核。</w:t>
            </w:r>
          </w:p>
          <w:p w14:paraId="028DF813">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完全满足要求内容丰富且符合项目实际情况得</w:t>
            </w:r>
            <w:r>
              <w:rPr>
                <w:rFonts w:hint="eastAsia" w:ascii="宋体" w:hAnsi="宋体" w:eastAsia="宋体" w:cs="宋体"/>
                <w:sz w:val="24"/>
                <w:szCs w:val="24"/>
                <w:lang w:val="en-US" w:eastAsia="zh-CN"/>
              </w:rPr>
              <w:t>3</w:t>
            </w:r>
            <w:r>
              <w:rPr>
                <w:rFonts w:hint="eastAsia" w:ascii="宋体" w:hAnsi="宋体" w:eastAsia="宋体" w:cs="宋体"/>
                <w:sz w:val="24"/>
                <w:szCs w:val="24"/>
              </w:rPr>
              <w:t>分，每有一项缺漏或描述不完整或不满足实际情况的扣</w:t>
            </w:r>
            <w:r>
              <w:rPr>
                <w:rFonts w:hint="eastAsia" w:ascii="宋体" w:hAnsi="宋体" w:eastAsia="宋体" w:cs="宋体"/>
                <w:sz w:val="24"/>
                <w:szCs w:val="24"/>
                <w:lang w:val="en-US" w:eastAsia="zh-CN"/>
              </w:rPr>
              <w:t>0.5</w:t>
            </w:r>
            <w:r>
              <w:rPr>
                <w:rFonts w:hint="eastAsia" w:ascii="宋体" w:hAnsi="宋体" w:eastAsia="宋体" w:cs="宋体"/>
                <w:sz w:val="24"/>
                <w:szCs w:val="24"/>
              </w:rPr>
              <w:t>分，直到扣完为止。未提供不得分。</w:t>
            </w:r>
          </w:p>
          <w:p w14:paraId="4FD7A93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注：不完整指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292265D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提供设计方案</w:t>
            </w:r>
          </w:p>
        </w:tc>
      </w:tr>
      <w:tr w14:paraId="2E9BE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5444A51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1125" w:type="dxa"/>
            <w:noWrap/>
            <w:vAlign w:val="center"/>
          </w:tcPr>
          <w:p w14:paraId="25086CB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施工方案</w:t>
            </w:r>
            <w:r>
              <w:rPr>
                <w:rFonts w:hint="eastAsia" w:ascii="宋体" w:hAnsi="宋体" w:eastAsia="宋体" w:cs="宋体"/>
                <w:sz w:val="24"/>
                <w:szCs w:val="24"/>
                <w:lang w:val="en-US" w:eastAsia="zh-CN"/>
              </w:rPr>
              <w:t>20</w:t>
            </w:r>
            <w:r>
              <w:rPr>
                <w:rFonts w:hint="eastAsia" w:ascii="宋体" w:hAnsi="宋体" w:eastAsia="宋体" w:cs="宋体"/>
                <w:sz w:val="24"/>
                <w:szCs w:val="24"/>
              </w:rPr>
              <w:t>%</w:t>
            </w:r>
          </w:p>
        </w:tc>
        <w:tc>
          <w:tcPr>
            <w:tcW w:w="1125" w:type="dxa"/>
            <w:noWrap/>
            <w:vAlign w:val="center"/>
          </w:tcPr>
          <w:p w14:paraId="5DCF95D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lang w:val="en-US" w:eastAsia="zh-CN"/>
              </w:rPr>
              <w:t>20</w:t>
            </w:r>
            <w:r>
              <w:rPr>
                <w:rFonts w:hint="eastAsia" w:ascii="宋体" w:hAnsi="宋体" w:eastAsia="宋体" w:cs="宋体"/>
                <w:sz w:val="24"/>
                <w:szCs w:val="24"/>
              </w:rPr>
              <w:t>分</w:t>
            </w:r>
          </w:p>
        </w:tc>
        <w:tc>
          <w:tcPr>
            <w:tcW w:w="5625" w:type="dxa"/>
            <w:noWrap/>
            <w:vAlign w:val="center"/>
          </w:tcPr>
          <w:p w14:paraId="483D744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项目机构管理方案 根据供应商提供的项目机构管理方案进行综合评分： 供应商提供的项目机构管理方案包括项目机构设置、管理制度、职能职责。供应商内容表述清楚、逻辑清晰且符合项目实际情况的得 </w:t>
            </w:r>
            <w:r>
              <w:rPr>
                <w:rFonts w:hint="eastAsia" w:ascii="宋体" w:hAnsi="宋体" w:eastAsia="宋体" w:cs="宋体"/>
                <w:sz w:val="24"/>
                <w:szCs w:val="24"/>
                <w:lang w:val="en-US" w:eastAsia="zh-CN"/>
              </w:rPr>
              <w:t>3</w:t>
            </w:r>
            <w:r>
              <w:rPr>
                <w:rFonts w:hint="eastAsia" w:ascii="宋体" w:hAnsi="宋体" w:eastAsia="宋体" w:cs="宋体"/>
                <w:sz w:val="24"/>
                <w:szCs w:val="24"/>
              </w:rPr>
              <w:t>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 2</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施工组织与技术保障措施方案 根据供应商提供的施工组织与技术保障措施方案进行综合评分： 供应商提供的施工组织与技术保障措施方案包括项目建设重点难点分析、关键施工技术、各分部分项工程的关键工序。供应商内容表述清楚、逻辑清晰且符合项目实际情况的得 </w:t>
            </w:r>
            <w:r>
              <w:rPr>
                <w:rFonts w:hint="eastAsia" w:ascii="宋体" w:hAnsi="宋体" w:eastAsia="宋体" w:cs="宋体"/>
                <w:sz w:val="24"/>
                <w:szCs w:val="24"/>
                <w:lang w:val="en-US" w:eastAsia="zh-CN"/>
              </w:rPr>
              <w:t>3</w:t>
            </w:r>
            <w:r>
              <w:rPr>
                <w:rFonts w:hint="eastAsia" w:ascii="宋体" w:hAnsi="宋体" w:eastAsia="宋体" w:cs="宋体"/>
                <w:sz w:val="24"/>
                <w:szCs w:val="24"/>
              </w:rPr>
              <w:t>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 3</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质量保证措施方案 根据供应商提供的质量保证措施方案进行综合评分： 供应商提供的质量保证措施方案包括质量保证体系、质量保证措施、质量管理制度及检查制度。供应商内容表述清楚、逻辑清晰且符合项目实际情况的得 </w:t>
            </w:r>
            <w:r>
              <w:rPr>
                <w:rFonts w:hint="eastAsia" w:ascii="宋体" w:hAnsi="宋体" w:eastAsia="宋体" w:cs="宋体"/>
                <w:sz w:val="24"/>
                <w:szCs w:val="24"/>
                <w:lang w:val="en-US" w:eastAsia="zh-CN"/>
              </w:rPr>
              <w:t>3</w:t>
            </w:r>
            <w:r>
              <w:rPr>
                <w:rFonts w:hint="eastAsia" w:ascii="宋体" w:hAnsi="宋体" w:eastAsia="宋体" w:cs="宋体"/>
                <w:sz w:val="24"/>
                <w:szCs w:val="24"/>
              </w:rPr>
              <w:t>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 4</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工期保证措施方案 根据供应商提供的工期保证措施方案进行评分： 供应商提供的工期保证措施方案包括施工前期场地清理计划并能确保有效的实施、有施工进度计划、施工工序节点安排情况、工期进度保证措施。供应商内容表述清楚、逻辑清晰且符合项目实际情况的得 </w:t>
            </w:r>
            <w:r>
              <w:rPr>
                <w:rFonts w:hint="eastAsia" w:ascii="宋体" w:hAnsi="宋体" w:eastAsia="宋体" w:cs="宋体"/>
                <w:sz w:val="24"/>
                <w:szCs w:val="24"/>
                <w:lang w:val="en-US" w:eastAsia="zh-CN"/>
              </w:rPr>
              <w:t>4</w:t>
            </w:r>
            <w:r>
              <w:rPr>
                <w:rFonts w:hint="eastAsia" w:ascii="宋体" w:hAnsi="宋体" w:eastAsia="宋体" w:cs="宋体"/>
                <w:sz w:val="24"/>
                <w:szCs w:val="24"/>
              </w:rPr>
              <w:t>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 5</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安全保障措施及安全应急预案 根据供应商提供的安全保障措施及安全应急预案进行综合评分： 供应商提供的安全保障措施及安全应急预案中包括安全保障措施、安全应急预案、应急情况处理措施、现场安全施工措施。供应商内容表述清楚、逻辑清晰且符合项目实际情况的得 </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 6</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环境保护和文明施工措施方案 根据供应商提供的环境保护和文明施工措施方案进行评分： 供应商提供的环境保护和文明施工措施方案中包括环境保护管理体系、环境保护管理措施、文明施工管理措施。供应商内容表述清楚、逻辑清晰且符合项目实际情况的得 </w:t>
            </w:r>
            <w:r>
              <w:rPr>
                <w:rFonts w:hint="eastAsia" w:ascii="宋体" w:hAnsi="宋体" w:eastAsia="宋体" w:cs="宋体"/>
                <w:sz w:val="24"/>
                <w:szCs w:val="24"/>
                <w:lang w:val="en-US" w:eastAsia="zh-CN"/>
              </w:rPr>
              <w:t>3</w:t>
            </w:r>
            <w:r>
              <w:rPr>
                <w:rFonts w:hint="eastAsia" w:ascii="宋体" w:hAnsi="宋体" w:eastAsia="宋体" w:cs="宋体"/>
                <w:sz w:val="24"/>
                <w:szCs w:val="24"/>
              </w:rPr>
              <w:t>分；每缺一小项扣1分，每小项每有一处缺陷扣0.5 分，本小项扣完为止。未提供的不得分。 注：“缺陷”是指：包括但不限于数据、名称、专业术语及符号、文字表述错误与逻辑冲突等；存在项目名称、服务期限等描述错误的内容；方案中存在与本项目现场情况无关内容；描述有歧义或逻辑有漏洞或表述不清；内容不完整等。</w:t>
            </w:r>
          </w:p>
        </w:tc>
        <w:tc>
          <w:tcPr>
            <w:tcW w:w="943" w:type="dxa"/>
            <w:noWrap/>
            <w:vAlign w:val="center"/>
          </w:tcPr>
          <w:p w14:paraId="5DBC9B2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技术类评审因素</w:t>
            </w:r>
          </w:p>
        </w:tc>
      </w:tr>
      <w:tr w14:paraId="120B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569E240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1125" w:type="dxa"/>
            <w:noWrap/>
            <w:vAlign w:val="center"/>
          </w:tcPr>
          <w:p w14:paraId="52CD3D1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售后服务方案</w:t>
            </w:r>
            <w:r>
              <w:rPr>
                <w:rFonts w:hint="eastAsia" w:ascii="宋体" w:hAnsi="宋体" w:eastAsia="宋体" w:cs="宋体"/>
                <w:sz w:val="24"/>
                <w:szCs w:val="24"/>
                <w:lang w:val="en-US" w:eastAsia="zh-CN"/>
              </w:rPr>
              <w:t>2</w:t>
            </w:r>
            <w:r>
              <w:rPr>
                <w:rFonts w:hint="eastAsia" w:ascii="宋体" w:hAnsi="宋体" w:eastAsia="宋体" w:cs="宋体"/>
                <w:sz w:val="24"/>
                <w:szCs w:val="24"/>
              </w:rPr>
              <w:t>%</w:t>
            </w:r>
          </w:p>
        </w:tc>
        <w:tc>
          <w:tcPr>
            <w:tcW w:w="1125" w:type="dxa"/>
            <w:noWrap/>
            <w:vAlign w:val="center"/>
          </w:tcPr>
          <w:p w14:paraId="32E6FA39">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2分</w:t>
            </w:r>
          </w:p>
        </w:tc>
        <w:tc>
          <w:tcPr>
            <w:tcW w:w="5625" w:type="dxa"/>
            <w:noWrap/>
            <w:vAlign w:val="center"/>
          </w:tcPr>
          <w:p w14:paraId="38333974">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rPr>
              <w:t>供应商提供项目售后服务方案，内容包括: ①售后响应时间；②售后问题解决措施；③质量保证措施；④后期服务负责人员配置</w:t>
            </w:r>
            <w:r>
              <w:rPr>
                <w:rFonts w:hint="eastAsia" w:ascii="宋体" w:hAnsi="宋体" w:eastAsia="宋体" w:cs="宋体"/>
                <w:sz w:val="24"/>
                <w:szCs w:val="24"/>
                <w:lang w:eastAsia="zh-CN"/>
              </w:rPr>
              <w:t>。</w:t>
            </w:r>
          </w:p>
          <w:p w14:paraId="0EDEA9B6">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方案具备以上全部内容且内容详细可行、具有针对性、完全满足采购人需求得</w:t>
            </w:r>
            <w:r>
              <w:rPr>
                <w:rFonts w:hint="eastAsia" w:ascii="宋体" w:hAnsi="宋体" w:eastAsia="宋体" w:cs="宋体"/>
                <w:sz w:val="24"/>
                <w:szCs w:val="24"/>
                <w:lang w:val="en-US" w:eastAsia="zh-CN"/>
              </w:rPr>
              <w:t>2</w:t>
            </w:r>
            <w:r>
              <w:rPr>
                <w:rFonts w:hint="eastAsia" w:ascii="宋体" w:hAnsi="宋体" w:eastAsia="宋体" w:cs="宋体"/>
                <w:sz w:val="24"/>
                <w:szCs w:val="24"/>
              </w:rPr>
              <w:t>分，若方案内容不完善或描述简单、无针对性或不能满足采购人需求、缺少一项或存在其他不足之处的，每有一处扣</w:t>
            </w:r>
            <w:r>
              <w:rPr>
                <w:rFonts w:hint="eastAsia" w:ascii="宋体" w:hAnsi="宋体" w:eastAsia="宋体" w:cs="宋体"/>
                <w:sz w:val="24"/>
                <w:szCs w:val="24"/>
                <w:lang w:val="en-US" w:eastAsia="zh-CN"/>
              </w:rPr>
              <w:t>0.5</w:t>
            </w:r>
            <w:r>
              <w:rPr>
                <w:rFonts w:hint="eastAsia" w:ascii="宋体" w:hAnsi="宋体" w:eastAsia="宋体" w:cs="宋体"/>
                <w:sz w:val="24"/>
                <w:szCs w:val="24"/>
              </w:rPr>
              <w:t>分，扣完为止。</w:t>
            </w:r>
            <w:r>
              <w:rPr>
                <w:rFonts w:hint="eastAsia" w:ascii="宋体" w:hAnsi="宋体" w:eastAsia="宋体" w:cs="宋体"/>
                <w:sz w:val="24"/>
                <w:szCs w:val="24"/>
              </w:rPr>
              <w:br w:type="textWrapping"/>
            </w:r>
            <w:r>
              <w:rPr>
                <w:rFonts w:hint="eastAsia" w:ascii="宋体" w:hAnsi="宋体" w:eastAsia="宋体" w:cs="宋体"/>
                <w:sz w:val="24"/>
                <w:szCs w:val="24"/>
              </w:rPr>
              <w:t>注：其他不足之处是指内容套用或错用、照搬照抄、凭空编造、科学原理错误以及不可能实现的夸大情形等。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p w14:paraId="43044F5E">
            <w:pPr>
              <w:pStyle w:val="2"/>
              <w:rPr>
                <w:rFonts w:hint="eastAsia" w:ascii="宋体" w:hAnsi="宋体" w:eastAsia="宋体" w:cs="宋体"/>
                <w:sz w:val="24"/>
                <w:szCs w:val="24"/>
              </w:rPr>
            </w:pPr>
          </w:p>
        </w:tc>
        <w:tc>
          <w:tcPr>
            <w:tcW w:w="943" w:type="dxa"/>
            <w:noWrap/>
            <w:vAlign w:val="center"/>
          </w:tcPr>
          <w:p w14:paraId="57DB8B2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技术类评审因素</w:t>
            </w:r>
          </w:p>
        </w:tc>
      </w:tr>
      <w:tr w14:paraId="33464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3AC704B4">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6</w:t>
            </w:r>
          </w:p>
        </w:tc>
        <w:tc>
          <w:tcPr>
            <w:tcW w:w="1125" w:type="dxa"/>
            <w:noWrap/>
            <w:vAlign w:val="center"/>
          </w:tcPr>
          <w:p w14:paraId="6E87C718">
            <w:pPr>
              <w:pStyle w:val="2"/>
              <w:numPr>
                <w:ilvl w:val="4"/>
                <w:numId w:val="0"/>
              </w:numPr>
              <w:rPr>
                <w:rFonts w:hint="eastAsia" w:ascii="宋体" w:hAnsi="宋体" w:eastAsia="宋体" w:cs="宋体"/>
                <w:sz w:val="24"/>
                <w:szCs w:val="24"/>
              </w:rPr>
            </w:pPr>
          </w:p>
          <w:p w14:paraId="0FECAD6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安全应急预案</w:t>
            </w:r>
            <w:r>
              <w:rPr>
                <w:rFonts w:hint="eastAsia" w:ascii="宋体" w:hAnsi="宋体" w:eastAsia="宋体" w:cs="宋体"/>
                <w:sz w:val="24"/>
                <w:szCs w:val="24"/>
                <w:lang w:val="en-US" w:eastAsia="zh-CN"/>
              </w:rPr>
              <w:t>5</w:t>
            </w:r>
            <w:r>
              <w:rPr>
                <w:rFonts w:hint="eastAsia" w:ascii="宋体" w:hAnsi="宋体" w:eastAsia="宋体" w:cs="宋体"/>
                <w:sz w:val="24"/>
                <w:szCs w:val="24"/>
              </w:rPr>
              <w:t>%</w:t>
            </w:r>
          </w:p>
        </w:tc>
        <w:tc>
          <w:tcPr>
            <w:tcW w:w="1125" w:type="dxa"/>
            <w:noWrap/>
            <w:vAlign w:val="center"/>
          </w:tcPr>
          <w:p w14:paraId="787F0E29">
            <w:pPr>
              <w:keepNext w:val="0"/>
              <w:keepLines w:val="0"/>
              <w:pageBreakBefore w:val="0"/>
              <w:widowControl/>
              <w:kinsoku/>
              <w:overflowPunct/>
              <w:topLinePunct w:val="0"/>
              <w:bidi w:val="0"/>
              <w:spacing w:line="360" w:lineRule="auto"/>
              <w:jc w:val="left"/>
              <w:rPr>
                <w:rFonts w:hint="eastAsia" w:ascii="宋体" w:hAnsi="宋体" w:eastAsia="宋体" w:cs="宋体"/>
                <w:sz w:val="24"/>
                <w:szCs w:val="24"/>
                <w:lang w:val="en-US" w:eastAsia="zh-CN"/>
              </w:rPr>
            </w:pPr>
          </w:p>
          <w:p w14:paraId="38C04D4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分</w:t>
            </w:r>
          </w:p>
        </w:tc>
        <w:tc>
          <w:tcPr>
            <w:tcW w:w="5625" w:type="dxa"/>
            <w:noWrap/>
            <w:vAlign w:val="top"/>
          </w:tcPr>
          <w:p w14:paraId="3DB3667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供应商提供安全应急预案，内容包括: ①现场可能出现的紧急情况分析； ②安装后可能出现的紧急情况分析；③应急组织结构和管理办法； ④应急保障； ⑤应急响应时效与应急响应管理。</w:t>
            </w:r>
          </w:p>
          <w:p w14:paraId="1DEC70D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方案具备以上全部内容且内容详细可行、具有针对性、完全满足采购人需求得</w:t>
            </w:r>
            <w:r>
              <w:rPr>
                <w:rFonts w:hint="eastAsia" w:ascii="宋体" w:hAnsi="宋体" w:eastAsia="宋体" w:cs="宋体"/>
                <w:sz w:val="24"/>
                <w:szCs w:val="24"/>
                <w:lang w:val="en-US" w:eastAsia="zh-CN"/>
              </w:rPr>
              <w:t>5</w:t>
            </w:r>
            <w:r>
              <w:rPr>
                <w:rFonts w:hint="eastAsia" w:ascii="宋体" w:hAnsi="宋体" w:eastAsia="宋体" w:cs="宋体"/>
                <w:sz w:val="24"/>
                <w:szCs w:val="24"/>
              </w:rPr>
              <w:t>分，若方案内容不完善或描述简单、无针对性或不能满足采购人需求、缺少一项或存在其他不足之处的，每有一处扣</w:t>
            </w:r>
            <w:r>
              <w:rPr>
                <w:rFonts w:hint="eastAsia" w:ascii="宋体" w:hAnsi="宋体" w:eastAsia="宋体" w:cs="宋体"/>
                <w:sz w:val="24"/>
                <w:szCs w:val="24"/>
                <w:lang w:val="en-US" w:eastAsia="zh-CN"/>
              </w:rPr>
              <w:t>1</w:t>
            </w:r>
            <w:r>
              <w:rPr>
                <w:rFonts w:hint="eastAsia" w:ascii="宋体" w:hAnsi="宋体" w:eastAsia="宋体" w:cs="宋体"/>
                <w:sz w:val="24"/>
                <w:szCs w:val="24"/>
              </w:rPr>
              <w:t>分，扣完为止。</w:t>
            </w:r>
            <w:r>
              <w:rPr>
                <w:rFonts w:hint="eastAsia" w:ascii="宋体" w:hAnsi="宋体" w:eastAsia="宋体" w:cs="宋体"/>
                <w:sz w:val="24"/>
                <w:szCs w:val="24"/>
              </w:rPr>
              <w:br w:type="textWrapping"/>
            </w:r>
            <w:r>
              <w:rPr>
                <w:rFonts w:hint="eastAsia" w:ascii="宋体" w:hAnsi="宋体" w:eastAsia="宋体" w:cs="宋体"/>
                <w:sz w:val="24"/>
                <w:szCs w:val="24"/>
              </w:rPr>
              <w:t>注：其他不足之处是指内容套用或错用、照搬照抄、凭空编造、科学原理错误以及不可能实现的夸大情形等。内容具有明显缺陷，只有单纯的文字描述，前后内容无法连贯；方案内容矛盾；仅有框架或标题；明显复制其他项目内容；不满足实际情况指内容脱离了实际情况不具备实施的可能性或套用其他项目方案或引用科学原理错误或前后内容互相矛盾或存在与本项目无关的内容。</w:t>
            </w:r>
          </w:p>
        </w:tc>
        <w:tc>
          <w:tcPr>
            <w:tcW w:w="943" w:type="dxa"/>
            <w:noWrap/>
            <w:vAlign w:val="center"/>
          </w:tcPr>
          <w:p w14:paraId="6BCCA45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技术类评审因素</w:t>
            </w:r>
          </w:p>
        </w:tc>
      </w:tr>
      <w:tr w14:paraId="7414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9" w:type="dxa"/>
            <w:noWrap/>
            <w:vAlign w:val="center"/>
          </w:tcPr>
          <w:p w14:paraId="14EF33D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1125" w:type="dxa"/>
            <w:noWrap/>
            <w:vAlign w:val="center"/>
          </w:tcPr>
          <w:p w14:paraId="623C60E4">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rPr>
              <w:t>节能、环境标志</w:t>
            </w:r>
            <w:r>
              <w:rPr>
                <w:rFonts w:hint="eastAsia" w:ascii="宋体" w:hAnsi="宋体" w:eastAsia="宋体" w:cs="宋体"/>
                <w:sz w:val="24"/>
                <w:szCs w:val="24"/>
                <w:lang w:val="en-US" w:eastAsia="zh-CN"/>
              </w:rPr>
              <w:t>6%</w:t>
            </w:r>
          </w:p>
        </w:tc>
        <w:tc>
          <w:tcPr>
            <w:tcW w:w="1125" w:type="dxa"/>
            <w:noWrap/>
            <w:vAlign w:val="center"/>
          </w:tcPr>
          <w:p w14:paraId="5B25CAB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分</w:t>
            </w:r>
          </w:p>
        </w:tc>
        <w:tc>
          <w:tcPr>
            <w:tcW w:w="5625" w:type="dxa"/>
            <w:noWrap/>
            <w:vAlign w:val="center"/>
          </w:tcPr>
          <w:p w14:paraId="51C54D3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投标产品中，每有一项认定为优先采购节能产品或者政府采购环境标志产品的得</w:t>
            </w:r>
            <w:r>
              <w:rPr>
                <w:rFonts w:hint="eastAsia" w:ascii="宋体" w:hAnsi="宋体" w:eastAsia="宋体" w:cs="宋体"/>
                <w:sz w:val="24"/>
                <w:szCs w:val="24"/>
                <w:lang w:val="en-US" w:eastAsia="zh-CN"/>
              </w:rPr>
              <w:t>1</w:t>
            </w:r>
            <w:r>
              <w:rPr>
                <w:rFonts w:hint="eastAsia" w:ascii="宋体" w:hAnsi="宋体" w:eastAsia="宋体" w:cs="宋体"/>
                <w:sz w:val="24"/>
                <w:szCs w:val="24"/>
              </w:rPr>
              <w:t>分，最多得</w:t>
            </w:r>
            <w:r>
              <w:rPr>
                <w:rFonts w:hint="eastAsia" w:ascii="宋体" w:hAnsi="宋体" w:eastAsia="宋体" w:cs="宋体"/>
                <w:sz w:val="24"/>
                <w:szCs w:val="24"/>
                <w:lang w:val="en-US" w:eastAsia="zh-CN"/>
              </w:rPr>
              <w:t>6</w:t>
            </w:r>
            <w:r>
              <w:rPr>
                <w:rFonts w:hint="eastAsia" w:ascii="宋体" w:hAnsi="宋体" w:eastAsia="宋体" w:cs="宋体"/>
                <w:sz w:val="24"/>
                <w:szCs w:val="24"/>
              </w:rPr>
              <w:t>分。非政府采购节能、环境标志产品的、无线局域网认证产品的不得分。</w:t>
            </w:r>
          </w:p>
          <w:p w14:paraId="58D9B24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注：优先采购节能产品或政府采购环境标志产品属于品目清单范围的，投标人应提供依据国家确定的认证机构出具的、处于有效期之内的节能产品或政府采购环境标志产品认证证书，并加盖投标人公章。</w:t>
            </w:r>
          </w:p>
        </w:tc>
        <w:tc>
          <w:tcPr>
            <w:tcW w:w="943" w:type="dxa"/>
            <w:noWrap/>
            <w:vAlign w:val="center"/>
          </w:tcPr>
          <w:p w14:paraId="7EB94F1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rPr>
            </w:pPr>
            <w:r>
              <w:rPr>
                <w:rFonts w:hint="eastAsia" w:ascii="宋体" w:hAnsi="宋体" w:eastAsia="宋体" w:cs="宋体"/>
                <w:sz w:val="24"/>
                <w:szCs w:val="24"/>
              </w:rPr>
              <w:t>共同评分因素</w:t>
            </w:r>
          </w:p>
        </w:tc>
      </w:tr>
    </w:tbl>
    <w:p w14:paraId="302BAA7C">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p>
    <w:p w14:paraId="6837B0C0">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p>
    <w:p w14:paraId="0B636368">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九、最后报价</w:t>
      </w:r>
    </w:p>
    <w:p w14:paraId="3608C091">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磋商结束后，评审小组可以根据磋商情况要求所有实质性响应的供应商在规定时间内提交最后报价。</w:t>
      </w:r>
    </w:p>
    <w:p w14:paraId="42980224">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1、供应商在未提高响应文件中承诺的标准情况下，其最后报价不得高于对该项目之前的报价，否则，评审小组将对其响应文件作无效处理，并通过交易系统告知供应商，说明理由。</w:t>
      </w:r>
    </w:p>
    <w:p w14:paraId="399627A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2、供应商未按磋商小组要求在规定时间内提交报价的，视为无效响应，由供应商自行承担不利后果。</w:t>
      </w:r>
    </w:p>
    <w:p w14:paraId="50CA47A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3、最后报价提交后，供应商不得以任何理由撤回。</w:t>
      </w:r>
    </w:p>
    <w:p w14:paraId="41ACB1D5">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4、最后报价为有效报价应符合下列条件：</w:t>
      </w:r>
    </w:p>
    <w:p w14:paraId="6367CAD9">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（一）供应商所提供的最后报价是在规定的时间内提交。</w:t>
      </w:r>
    </w:p>
    <w:p w14:paraId="014EFDB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（二）供应商的最后报价应法定代表人或授权代表签字。</w:t>
      </w:r>
    </w:p>
    <w:p w14:paraId="3CB98D4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（三）供应商的最后报价应符合采购文件的要求。</w:t>
      </w:r>
    </w:p>
    <w:p w14:paraId="4E9C247F">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（四）最后报价唯一，且不高于最高限价。</w:t>
      </w:r>
    </w:p>
    <w:p w14:paraId="33B5CF1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5、最后报价出现下列情况的，除采购文件另有规定外，按以下原则处理：</w:t>
      </w:r>
    </w:p>
    <w:p w14:paraId="5CEE6F8B">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（一）报价中的大写金额和小写金额不一致的，以大写金额为准，但大写金额出现文字错误，导致金额无法判断的除外；</w:t>
      </w:r>
    </w:p>
    <w:p w14:paraId="1C29406A">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（二）单价金额小数点或者百分比有明显错位的，应以总价为准，并修改单价；</w:t>
      </w:r>
    </w:p>
    <w:p w14:paraId="7B3EFCA7">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（三）总价金额与按单价汇总金额不一致的，以单价汇总金额计算结果为准；</w:t>
      </w:r>
    </w:p>
    <w:p w14:paraId="4DF654D2">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6、同时出现两种以上不一致的，按照前款规定的顺序修正。修正后的最后报价由供应商经加盖供应商单位印章后产生约束力，供应商不确认的，作无效响应处理。</w:t>
      </w:r>
    </w:p>
    <w:p w14:paraId="1CDBBE3D">
      <w:pPr>
        <w:keepNext w:val="0"/>
        <w:keepLines w:val="0"/>
        <w:pageBreakBefore w:val="0"/>
        <w:widowControl/>
        <w:kinsoku/>
        <w:overflowPunct/>
        <w:topLinePunct w:val="0"/>
        <w:bidi w:val="0"/>
        <w:spacing w:line="360" w:lineRule="auto"/>
        <w:ind w:firstLine="566"/>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在评审过程中，评审小组认为供应商响应报价明显低于其他通过符合性审查供应商的响应报价，有可能影响产品质量或者不能诚信履约的，评审小组应当要求其在合理的时间内进行书面说明、提交相关证明材料，并加盖供应商单位印章。供应商拒绝或者变相拒绝提供有效书面说明或者书面说明不能证明其报价合理性的，评审小组应当将其响应文件作为无效响应处理。（注：供应商报价低于最高限价85%或者低于其他有效供应商报价算术平均价90%的，磋商小组可以认为该供应商“报价明显低于其他实质性响应的供应商报价”。）</w:t>
      </w:r>
    </w:p>
    <w:p w14:paraId="6D62DDCF">
      <w:pPr>
        <w:pStyle w:val="5"/>
        <w:keepNext w:val="0"/>
        <w:keepLines w:val="0"/>
        <w:pageBreakBefore w:val="0"/>
        <w:numPr>
          <w:ilvl w:val="0"/>
          <w:numId w:val="0"/>
        </w:numPr>
        <w:kinsoku/>
        <w:overflowPunct/>
        <w:topLinePunct w:val="0"/>
        <w:bidi w:val="0"/>
        <w:spacing w:line="360" w:lineRule="auto"/>
        <w:rPr>
          <w:rFonts w:hint="eastAsia" w:ascii="宋体" w:hAnsi="宋体" w:eastAsia="宋体" w:cs="宋体"/>
          <w:sz w:val="24"/>
          <w:szCs w:val="24"/>
          <w:lang w:val="en-US" w:eastAsia="zh-CN"/>
        </w:rPr>
      </w:pPr>
    </w:p>
    <w:p w14:paraId="3C746A6F">
      <w:pPr>
        <w:keepNext w:val="0"/>
        <w:keepLines w:val="0"/>
        <w:pageBreakBefore w:val="0"/>
        <w:widowControl/>
        <w:kinsoku/>
        <w:overflowPunct/>
        <w:topLinePunct w:val="0"/>
        <w:bidi w:val="0"/>
        <w:spacing w:line="360" w:lineRule="auto"/>
        <w:ind w:firstLine="566"/>
        <w:jc w:val="left"/>
        <w:rPr>
          <w:rFonts w:hint="eastAsia" w:ascii="宋体" w:hAnsi="宋体" w:eastAsia="宋体" w:cs="宋体"/>
          <w:b/>
          <w:bCs/>
          <w:sz w:val="24"/>
          <w:szCs w:val="24"/>
        </w:rPr>
      </w:pPr>
    </w:p>
    <w:p w14:paraId="2181D114">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152E2D36">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4ECD54E7">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49F48EBB">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1CD7B50B">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491E6B84">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33443F49">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612871D3">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382EFFDC">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764A1955">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04ADC16B">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1CFBF692">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5A963AEE">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32B8C188">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7F403238">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6F8110E6">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25A47055">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3832C46B">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415B8B6A">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07D4F42D">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3EDB2B38">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496E10B0">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1C00752C">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67C39CC9">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542D967E">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1756EB57">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24A5F6C5">
      <w:pPr>
        <w:keepNext w:val="0"/>
        <w:keepLines w:val="0"/>
        <w:pageBreakBefore w:val="0"/>
        <w:kinsoku/>
        <w:wordWrap/>
        <w:overflowPunct/>
        <w:topLinePunct w:val="0"/>
        <w:autoSpaceDE/>
        <w:autoSpaceDN/>
        <w:bidi w:val="0"/>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rPr>
        <w:t>附件</w:t>
      </w:r>
      <w:r>
        <w:rPr>
          <w:rFonts w:hint="eastAsia" w:ascii="宋体" w:hAnsi="宋体" w:eastAsia="宋体" w:cs="宋体"/>
          <w:b/>
          <w:bCs/>
          <w:i w:val="0"/>
          <w:caps w:val="0"/>
          <w:color w:val="auto"/>
          <w:spacing w:val="0"/>
          <w:w w:val="100"/>
          <w:sz w:val="24"/>
          <w:szCs w:val="24"/>
          <w:highlight w:val="none"/>
          <w:lang w:val="en-US" w:eastAsia="zh-CN"/>
        </w:rPr>
        <w:t>2 主要表格格式</w:t>
      </w:r>
    </w:p>
    <w:p w14:paraId="30AE2EA1">
      <w:pPr>
        <w:pStyle w:val="19"/>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i w:val="0"/>
          <w:caps w:val="0"/>
          <w:color w:val="auto"/>
          <w:spacing w:val="0"/>
          <w:w w:val="100"/>
          <w:sz w:val="24"/>
          <w:szCs w:val="24"/>
          <w:highlight w:val="none"/>
          <w:lang w:val="en-US" w:eastAsia="zh-CN"/>
        </w:rPr>
        <w:t>2-1</w:t>
      </w:r>
    </w:p>
    <w:p w14:paraId="5EC92B00">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lang w:val="en-US" w:eastAsia="zh-CN"/>
        </w:rPr>
        <w:t>XXX</w:t>
      </w:r>
      <w:r>
        <w:rPr>
          <w:rFonts w:hint="eastAsia" w:ascii="宋体" w:hAnsi="宋体" w:eastAsia="宋体" w:cs="宋体"/>
          <w:color w:val="auto"/>
          <w:kern w:val="0"/>
          <w:sz w:val="24"/>
          <w:szCs w:val="24"/>
          <w:highlight w:val="none"/>
          <w:lang w:val="en-US" w:eastAsia="zh-CN"/>
        </w:rPr>
        <w:t>采购项目</w:t>
      </w:r>
    </w:p>
    <w:p w14:paraId="208EC805">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报价一览表</w:t>
      </w:r>
    </w:p>
    <w:p w14:paraId="506E5C83">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 xml:space="preserve"> </w:t>
      </w:r>
    </w:p>
    <w:tbl>
      <w:tblPr>
        <w:tblStyle w:val="15"/>
        <w:tblW w:w="0" w:type="auto"/>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43"/>
        <w:gridCol w:w="1918"/>
        <w:gridCol w:w="1418"/>
        <w:gridCol w:w="1977"/>
        <w:gridCol w:w="1203"/>
      </w:tblGrid>
      <w:tr w14:paraId="25AA44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143"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D1B33E5">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序号</w:t>
            </w:r>
          </w:p>
        </w:tc>
        <w:tc>
          <w:tcPr>
            <w:tcW w:w="1918"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74DC5533">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项目名称</w:t>
            </w:r>
          </w:p>
        </w:tc>
        <w:tc>
          <w:tcPr>
            <w:tcW w:w="1418"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060A7AA4">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类别</w:t>
            </w:r>
          </w:p>
        </w:tc>
        <w:tc>
          <w:tcPr>
            <w:tcW w:w="1977"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313F49CA">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报价（万元）</w:t>
            </w:r>
          </w:p>
        </w:tc>
        <w:tc>
          <w:tcPr>
            <w:tcW w:w="1203" w:type="dxa"/>
            <w:tcBorders>
              <w:top w:val="single" w:color="auto" w:sz="8"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2C5BE4C2">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备注</w:t>
            </w:r>
          </w:p>
        </w:tc>
      </w:tr>
      <w:tr w14:paraId="60BB034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143" w:type="dxa"/>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74C1D453">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9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45B6EEE7">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33AE5048">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sz w:val="24"/>
                <w:szCs w:val="24"/>
                <w:lang w:val="en-US" w:eastAsia="zh-CN"/>
              </w:rPr>
              <w:t>勘察设计费</w:t>
            </w:r>
          </w:p>
        </w:tc>
        <w:tc>
          <w:tcPr>
            <w:tcW w:w="1977"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07572922">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203"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1D455178">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r>
      <w:tr w14:paraId="261EF5C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1143" w:type="dxa"/>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0831FD89">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19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1DD5DA74">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418"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2367B65A">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sz w:val="24"/>
                <w:szCs w:val="24"/>
                <w:lang w:val="en-US" w:eastAsia="zh-CN"/>
              </w:rPr>
              <w:t>建安工程费</w:t>
            </w:r>
          </w:p>
        </w:tc>
        <w:tc>
          <w:tcPr>
            <w:tcW w:w="1977"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0585A1CD">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c>
          <w:tcPr>
            <w:tcW w:w="1203"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5715B5C3">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p>
        </w:tc>
      </w:tr>
      <w:tr w14:paraId="527A7BC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5" w:hRule="atLeast"/>
          <w:jc w:val="center"/>
        </w:trPr>
        <w:tc>
          <w:tcPr>
            <w:tcW w:w="4479" w:type="dxa"/>
            <w:gridSpan w:val="3"/>
            <w:tcBorders>
              <w:top w:val="outset" w:color="000000" w:sz="2"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8CDAE36">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1977"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5927D2D3">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tc>
        <w:tc>
          <w:tcPr>
            <w:tcW w:w="1203" w:type="dxa"/>
            <w:tcBorders>
              <w:top w:val="outset" w:color="000000" w:sz="2" w:space="0"/>
              <w:left w:val="outset" w:color="000000" w:sz="2" w:space="0"/>
              <w:bottom w:val="single" w:color="auto" w:sz="8" w:space="0"/>
              <w:right w:val="single" w:color="auto" w:sz="8" w:space="0"/>
            </w:tcBorders>
            <w:noWrap w:val="0"/>
            <w:tcMar>
              <w:top w:w="0" w:type="dxa"/>
              <w:left w:w="108" w:type="dxa"/>
              <w:bottom w:w="0" w:type="dxa"/>
              <w:right w:w="108" w:type="dxa"/>
            </w:tcMar>
            <w:vAlign w:val="center"/>
          </w:tcPr>
          <w:p w14:paraId="2324C25F">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tc>
      </w:tr>
    </w:tbl>
    <w:p w14:paraId="10EEF04B">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1.报价应是最终用户验收合格后的总价，此报价含税，含运费，含安装费等各项费用</w:t>
      </w:r>
      <w:r>
        <w:rPr>
          <w:rFonts w:hint="eastAsia" w:ascii="宋体" w:hAnsi="宋体" w:eastAsia="宋体" w:cs="宋体"/>
          <w:color w:val="auto"/>
          <w:kern w:val="0"/>
          <w:sz w:val="24"/>
          <w:szCs w:val="24"/>
          <w:highlight w:val="none"/>
          <w:lang w:eastAsia="zh-CN"/>
        </w:rPr>
        <w:t>以及</w:t>
      </w:r>
      <w:r>
        <w:rPr>
          <w:rFonts w:hint="eastAsia" w:ascii="宋体" w:hAnsi="宋体" w:eastAsia="宋体" w:cs="宋体"/>
          <w:color w:val="auto"/>
          <w:kern w:val="0"/>
          <w:sz w:val="24"/>
          <w:szCs w:val="24"/>
          <w:highlight w:val="none"/>
        </w:rPr>
        <w:t>采购文件规定的其它费用。</w:t>
      </w:r>
    </w:p>
    <w:p w14:paraId="350CED69">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2.“报价一览表”为多页的，每页均需由法定代表人或授权代表签字并盖投标人印章。</w:t>
      </w:r>
    </w:p>
    <w:p w14:paraId="61A806F4">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3.“报价一览表”需单独密封。</w:t>
      </w:r>
    </w:p>
    <w:p w14:paraId="42FD8583">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供应商名称（盖章）：        </w:t>
      </w:r>
    </w:p>
    <w:p w14:paraId="4469641A">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法定代表人或授权代表（签字）：     </w:t>
      </w:r>
    </w:p>
    <w:p w14:paraId="141D2C26">
      <w:pPr>
        <w:keepNext w:val="0"/>
        <w:keepLines w:val="0"/>
        <w:pageBreakBefore w:val="0"/>
        <w:widowControl/>
        <w:kinsoku/>
        <w:wordWrap/>
        <w:overflowPunct/>
        <w:topLinePunct w:val="0"/>
        <w:autoSpaceDE/>
        <w:autoSpaceDN/>
        <w:bidi w:val="0"/>
        <w:snapToGrid/>
        <w:spacing w:beforeAutospacing="0" w:afterAutospacing="0" w:line="360" w:lineRule="auto"/>
        <w:ind w:firstLine="48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w:t>
      </w:r>
    </w:p>
    <w:p w14:paraId="05B18B82">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w:t>
      </w:r>
    </w:p>
    <w:p w14:paraId="03959002">
      <w:pPr>
        <w:keepNext w:val="0"/>
        <w:keepLines w:val="0"/>
        <w:pageBreakBefore w:val="0"/>
        <w:widowControl/>
        <w:kinsoku/>
        <w:wordWrap/>
        <w:overflowPunct/>
        <w:topLinePunct w:val="0"/>
        <w:autoSpaceDE/>
        <w:autoSpaceDN/>
        <w:bidi w:val="0"/>
        <w:snapToGrid/>
        <w:spacing w:beforeAutospacing="0" w:afterAutospacing="0" w:line="360" w:lineRule="auto"/>
        <w:jc w:val="center"/>
        <w:textAlignment w:val="auto"/>
        <w:rPr>
          <w:rFonts w:hint="eastAsia" w:ascii="宋体" w:hAnsi="宋体" w:eastAsia="宋体" w:cs="宋体"/>
          <w:color w:val="auto"/>
          <w:kern w:val="0"/>
          <w:sz w:val="24"/>
          <w:szCs w:val="24"/>
          <w:highlight w:val="none"/>
        </w:rPr>
      </w:pPr>
    </w:p>
    <w:p w14:paraId="70B5D014">
      <w:pPr>
        <w:keepNext w:val="0"/>
        <w:keepLines w:val="0"/>
        <w:pageBreakBefore w:val="0"/>
        <w:widowControl/>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b/>
          <w:bCs w:val="0"/>
          <w:color w:val="auto"/>
          <w:sz w:val="24"/>
          <w:szCs w:val="24"/>
          <w:highlight w:val="none"/>
          <w:lang w:val="zh-CN"/>
        </w:rPr>
      </w:pPr>
    </w:p>
    <w:p w14:paraId="4EC5C087">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val="0"/>
          <w:color w:val="auto"/>
          <w:sz w:val="24"/>
          <w:szCs w:val="24"/>
          <w:highlight w:val="none"/>
          <w:lang w:val="zh-CN"/>
        </w:rPr>
      </w:pPr>
    </w:p>
    <w:p w14:paraId="5325B467">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val="0"/>
          <w:color w:val="auto"/>
          <w:sz w:val="24"/>
          <w:szCs w:val="24"/>
          <w:highlight w:val="none"/>
          <w:lang w:val="zh-CN"/>
        </w:rPr>
      </w:pPr>
    </w:p>
    <w:p w14:paraId="002547C0">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14:paraId="3595AC3C">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14:paraId="00D6213C">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14:paraId="4B6B0794">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14:paraId="5C274D70">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p>
    <w:p w14:paraId="3D4A2AD6">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jc w:val="left"/>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2-2</w:t>
      </w:r>
    </w:p>
    <w:p w14:paraId="718AB2ED">
      <w:pPr>
        <w:pStyle w:val="4"/>
        <w:keepNext w:val="0"/>
        <w:keepLines w:val="0"/>
        <w:pageBreakBefore w:val="0"/>
        <w:tabs>
          <w:tab w:val="left" w:pos="540"/>
        </w:tabs>
        <w:kinsoku/>
        <w:wordWrap/>
        <w:overflowPunct/>
        <w:topLinePunct w:val="0"/>
        <w:autoSpaceDE/>
        <w:autoSpaceDN/>
        <w:bidi w:val="0"/>
        <w:snapToGrid/>
        <w:spacing w:beforeAutospacing="0" w:afterAutospacing="0" w:line="360" w:lineRule="auto"/>
        <w:ind w:left="720" w:hanging="720"/>
        <w:jc w:val="center"/>
        <w:textAlignment w:val="auto"/>
        <w:rPr>
          <w:rFonts w:hint="eastAsia" w:ascii="宋体" w:hAnsi="宋体" w:eastAsia="宋体" w:cs="宋体"/>
          <w:b/>
          <w:bCs w:val="0"/>
          <w:color w:val="auto"/>
          <w:sz w:val="24"/>
          <w:szCs w:val="24"/>
          <w:highlight w:val="none"/>
          <w:lang w:val="zh-CN"/>
        </w:rPr>
      </w:pPr>
      <w:r>
        <w:rPr>
          <w:rFonts w:hint="eastAsia" w:ascii="宋体" w:hAnsi="宋体" w:eastAsia="宋体" w:cs="宋体"/>
          <w:b/>
          <w:bCs w:val="0"/>
          <w:color w:val="auto"/>
          <w:sz w:val="24"/>
          <w:szCs w:val="24"/>
          <w:highlight w:val="none"/>
          <w:lang w:val="zh-CN"/>
        </w:rPr>
        <w:t>法定代表人身份授权书</w:t>
      </w:r>
    </w:p>
    <w:p w14:paraId="1DDD538C">
      <w:pPr>
        <w:keepNext w:val="0"/>
        <w:keepLines w:val="0"/>
        <w:pageBreakBefore w:val="0"/>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lang w:val="zh-CN"/>
        </w:rPr>
      </w:pPr>
    </w:p>
    <w:p w14:paraId="2789A430">
      <w:pPr>
        <w:keepNext w:val="0"/>
        <w:keepLines w:val="0"/>
        <w:pageBreakBefore w:val="0"/>
        <w:tabs>
          <w:tab w:val="left" w:pos="6300"/>
        </w:tabs>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u w:val="single"/>
          <w:lang w:val="en-US" w:eastAsia="zh-CN"/>
        </w:rPr>
        <w:t xml:space="preserve">四川省妇幼保健院 </w:t>
      </w:r>
      <w:r>
        <w:rPr>
          <w:rFonts w:hint="eastAsia" w:ascii="宋体" w:hAnsi="宋体" w:eastAsia="宋体" w:cs="宋体"/>
          <w:color w:val="auto"/>
          <w:sz w:val="24"/>
          <w:szCs w:val="24"/>
          <w:highlight w:val="none"/>
          <w:lang w:val="zh-CN"/>
        </w:rPr>
        <w:t>：</w:t>
      </w:r>
    </w:p>
    <w:p w14:paraId="2521DA37">
      <w:pPr>
        <w:keepNext w:val="0"/>
        <w:keepLines w:val="0"/>
        <w:pageBreakBefore w:val="0"/>
        <w:tabs>
          <w:tab w:val="left" w:pos="720"/>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u w:val="single"/>
          <w:lang w:val="zh-CN"/>
        </w:rPr>
      </w:pPr>
      <w:r>
        <w:rPr>
          <w:rFonts w:hint="eastAsia" w:ascii="宋体" w:hAnsi="宋体" w:eastAsia="宋体" w:cs="宋体"/>
          <w:color w:val="auto"/>
          <w:sz w:val="24"/>
          <w:szCs w:val="24"/>
          <w:highlight w:val="none"/>
          <w:lang w:val="zh-CN"/>
        </w:rPr>
        <w:t xml:space="preserve">   本授权声明：</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（投标人名称）</w:t>
      </w:r>
      <w:r>
        <w:rPr>
          <w:rFonts w:hint="eastAsia" w:ascii="宋体" w:hAnsi="宋体" w:eastAsia="宋体" w:cs="宋体"/>
          <w:color w:val="auto"/>
          <w:sz w:val="24"/>
          <w:szCs w:val="24"/>
          <w:highlight w:val="none"/>
          <w:u w:val="single"/>
          <w:lang w:val="zh-CN"/>
        </w:rPr>
        <w:t xml:space="preserve">           </w:t>
      </w:r>
    </w:p>
    <w:p w14:paraId="4467F440">
      <w:pPr>
        <w:keepNext w:val="0"/>
        <w:keepLines w:val="0"/>
        <w:pageBreakBefore w:val="0"/>
        <w:tabs>
          <w:tab w:val="left" w:pos="720"/>
          <w:tab w:val="left" w:pos="6300"/>
        </w:tabs>
        <w:kinsoku/>
        <w:wordWrap/>
        <w:overflowPunct/>
        <w:topLinePunct w:val="0"/>
        <w:autoSpaceDE/>
        <w:autoSpaceDN/>
        <w:bidi w:val="0"/>
        <w:snapToGrid/>
        <w:spacing w:beforeAutospacing="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（法定代表人姓名、职务）授权</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lang w:val="zh-CN"/>
        </w:rPr>
        <w:t>（被授权人姓名、职务）为我方</w:t>
      </w:r>
      <w:r>
        <w:rPr>
          <w:rFonts w:hint="eastAsia" w:ascii="宋体" w:hAnsi="宋体" w:eastAsia="宋体" w:cs="宋体"/>
          <w:color w:val="auto"/>
          <w:sz w:val="24"/>
          <w:szCs w:val="24"/>
          <w:highlight w:val="none"/>
          <w:u w:val="single"/>
          <w:lang w:val="zh-CN"/>
        </w:rPr>
        <w:t xml:space="preserve"> “                                          ”</w:t>
      </w:r>
      <w:r>
        <w:rPr>
          <w:rFonts w:hint="eastAsia" w:ascii="宋体" w:hAnsi="宋体" w:eastAsia="宋体" w:cs="宋体"/>
          <w:color w:val="auto"/>
          <w:sz w:val="24"/>
          <w:szCs w:val="24"/>
          <w:highlight w:val="none"/>
          <w:lang w:val="zh-CN"/>
        </w:rPr>
        <w:t>项目投标活动的合法代表，以我方名义全权处理该项目有关投标、签订合同以及执行合同等一切事宜。</w:t>
      </w:r>
    </w:p>
    <w:p w14:paraId="3331988D">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特此声明。</w:t>
      </w:r>
    </w:p>
    <w:p w14:paraId="6841DEAF">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p>
    <w:p w14:paraId="3123E8A3">
      <w:pPr>
        <w:keepNext w:val="0"/>
        <w:keepLines w:val="0"/>
        <w:pageBreakBefore w:val="0"/>
        <w:tabs>
          <w:tab w:val="left" w:pos="6300"/>
        </w:tabs>
        <w:kinsoku/>
        <w:wordWrap/>
        <w:overflowPunct/>
        <w:topLinePunct w:val="0"/>
        <w:autoSpaceDE/>
        <w:autoSpaceDN/>
        <w:bidi w:val="0"/>
        <w:snapToGrid/>
        <w:spacing w:beforeAutospacing="0" w:afterAutospacing="0" w:line="360" w:lineRule="auto"/>
        <w:ind w:firstLine="573"/>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rPr>
        <w:t>签字</w:t>
      </w:r>
      <w:r>
        <w:rPr>
          <w:rFonts w:hint="eastAsia" w:ascii="宋体" w:hAnsi="宋体" w:eastAsia="宋体" w:cs="宋体"/>
          <w:color w:val="auto"/>
          <w:sz w:val="24"/>
          <w:szCs w:val="24"/>
          <w:highlight w:val="none"/>
          <w:lang w:val="en-US" w:eastAsia="zh-CN"/>
        </w:rPr>
        <w:t>或盖章</w:t>
      </w:r>
      <w:r>
        <w:rPr>
          <w:rFonts w:hint="eastAsia" w:ascii="宋体" w:hAnsi="宋体" w:eastAsia="宋体" w:cs="宋体"/>
          <w:color w:val="auto"/>
          <w:sz w:val="24"/>
          <w:szCs w:val="24"/>
          <w:highlight w:val="none"/>
        </w:rPr>
        <w:t>：</w:t>
      </w:r>
    </w:p>
    <w:p w14:paraId="60D2F8F9">
      <w:pPr>
        <w:keepNext w:val="0"/>
        <w:keepLines w:val="0"/>
        <w:pageBreakBefore w:val="0"/>
        <w:kinsoku/>
        <w:wordWrap/>
        <w:overflowPunct/>
        <w:topLinePunct w:val="0"/>
        <w:autoSpaceDE/>
        <w:autoSpaceDN/>
        <w:bidi w:val="0"/>
        <w:snapToGrid/>
        <w:spacing w:beforeAutospacing="0" w:after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（加盖公章）</w:t>
      </w:r>
    </w:p>
    <w:p w14:paraId="15CFEA00">
      <w:pPr>
        <w:keepNext w:val="0"/>
        <w:keepLines w:val="0"/>
        <w:pageBreakBefore w:val="0"/>
        <w:kinsoku/>
        <w:wordWrap/>
        <w:overflowPunct/>
        <w:topLinePunct w:val="0"/>
        <w:autoSpaceDE/>
        <w:autoSpaceDN/>
        <w:bidi w:val="0"/>
        <w:snapToGrid/>
        <w:spacing w:beforeAutospacing="0" w:afterAutospacing="0" w:line="360" w:lineRule="auto"/>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8460DE">
      <w:pPr>
        <w:keepNext w:val="0"/>
        <w:keepLines w:val="0"/>
        <w:pageBreakBefore w:val="0"/>
        <w:numPr>
          <w:ilvl w:val="0"/>
          <w:numId w:val="3"/>
        </w:numPr>
        <w:tabs>
          <w:tab w:val="left" w:pos="6300"/>
        </w:tabs>
        <w:kinsoku/>
        <w:wordWrap/>
        <w:overflowPunct/>
        <w:topLinePunct w:val="0"/>
        <w:autoSpaceDE/>
        <w:autoSpaceDN/>
        <w:bidi w:val="0"/>
        <w:snapToGrid/>
        <w:spacing w:beforeAutospacing="0" w:after="0" w:after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说明：上述证明文件</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附法定代表人、被授权代表身份证复印件（加盖公章）时才能生效。</w:t>
      </w:r>
    </w:p>
    <w:p w14:paraId="507D3D41">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p>
    <w:p w14:paraId="0ABD71F2">
      <w:pPr>
        <w:keepNext w:val="0"/>
        <w:keepLines w:val="0"/>
        <w:pageBreakBefore w:val="0"/>
        <w:widowControl/>
        <w:kinsoku/>
        <w:wordWrap/>
        <w:overflowPunct/>
        <w:topLinePunct w:val="0"/>
        <w:autoSpaceDE/>
        <w:autoSpaceDN/>
        <w:bidi w:val="0"/>
        <w:snapToGrid/>
        <w:spacing w:beforeAutospacing="0" w:afterAutospacing="0" w:line="360" w:lineRule="auto"/>
        <w:ind w:firstLine="640"/>
        <w:jc w:val="left"/>
        <w:textAlignment w:val="auto"/>
        <w:rPr>
          <w:rFonts w:hint="eastAsia" w:ascii="宋体" w:hAnsi="宋体" w:eastAsia="宋体" w:cs="宋体"/>
          <w:color w:val="auto"/>
          <w:kern w:val="0"/>
          <w:sz w:val="24"/>
          <w:szCs w:val="24"/>
          <w:highlight w:val="none"/>
        </w:rPr>
      </w:pPr>
    </w:p>
    <w:p w14:paraId="56F590BE">
      <w:pPr>
        <w:pStyle w:val="8"/>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14:paraId="0470EBA5">
      <w:pPr>
        <w:pStyle w:val="8"/>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14:paraId="7F0BEDC5">
      <w:pPr>
        <w:pStyle w:val="8"/>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kern w:val="0"/>
          <w:sz w:val="24"/>
          <w:szCs w:val="24"/>
          <w:highlight w:val="none"/>
        </w:rPr>
      </w:pPr>
    </w:p>
    <w:p w14:paraId="6E562113">
      <w:pPr>
        <w:pStyle w:val="6"/>
        <w:keepNext w:val="0"/>
        <w:keepLines w:val="0"/>
        <w:pageBreakBefore w:val="0"/>
        <w:kinsoku/>
        <w:wordWrap/>
        <w:overflowPunct/>
        <w:topLinePunct w:val="0"/>
        <w:autoSpaceDE/>
        <w:autoSpaceDN/>
        <w:bidi w:val="0"/>
        <w:spacing w:beforeAutospacing="0" w:afterAutospacing="0" w:line="360" w:lineRule="auto"/>
        <w:jc w:val="both"/>
        <w:rPr>
          <w:rFonts w:hint="eastAsia" w:ascii="宋体" w:hAnsi="宋体" w:eastAsia="宋体" w:cs="宋体"/>
          <w:b/>
          <w:bCs/>
          <w:color w:val="auto"/>
          <w:sz w:val="24"/>
          <w:szCs w:val="24"/>
          <w:highlight w:val="none"/>
          <w:lang w:val="en-US" w:eastAsia="zh-CN"/>
        </w:rPr>
      </w:pPr>
    </w:p>
    <w:p w14:paraId="30154046">
      <w:pPr>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296E2132">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1DCF1BAA">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1EE54C7B">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2F333834">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01F85574">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020FB747">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b/>
          <w:bCs/>
          <w:color w:val="auto"/>
          <w:sz w:val="24"/>
          <w:szCs w:val="24"/>
          <w:highlight w:val="none"/>
          <w:lang w:val="en-US" w:eastAsia="zh-CN"/>
        </w:rPr>
      </w:pPr>
    </w:p>
    <w:p w14:paraId="114027A6">
      <w:pPr>
        <w:pStyle w:val="6"/>
        <w:keepNext w:val="0"/>
        <w:keepLines w:val="0"/>
        <w:pageBreakBefore w:val="0"/>
        <w:kinsoku/>
        <w:wordWrap/>
        <w:overflowPunct/>
        <w:topLinePunct w:val="0"/>
        <w:autoSpaceDE/>
        <w:autoSpaceDN/>
        <w:bidi w:val="0"/>
        <w:spacing w:beforeAutospacing="0" w:afterAutospacing="0" w:line="360" w:lineRule="auto"/>
        <w:jc w:val="left"/>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2-3</w:t>
      </w:r>
    </w:p>
    <w:p w14:paraId="2DFEC7B4">
      <w:pPr>
        <w:pStyle w:val="6"/>
        <w:keepNext w:val="0"/>
        <w:keepLines w:val="0"/>
        <w:pageBreakBefore w:val="0"/>
        <w:kinsoku/>
        <w:wordWrap/>
        <w:overflowPunct/>
        <w:topLinePunct w:val="0"/>
        <w:autoSpaceDE/>
        <w:autoSpaceDN/>
        <w:bidi w:val="0"/>
        <w:spacing w:beforeAutospacing="0" w:afterAutospacing="0"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无围标、串标行为承诺书</w:t>
      </w:r>
    </w:p>
    <w:p w14:paraId="6D868C3B">
      <w:pPr>
        <w:keepNext w:val="0"/>
        <w:keepLines w:val="0"/>
        <w:pageBreakBefore w:val="0"/>
        <w:kinsoku/>
        <w:wordWrap/>
        <w:overflowPunct/>
        <w:topLinePunct w:val="0"/>
        <w:autoSpaceDE/>
        <w:autoSpaceDN/>
        <w:bidi w:val="0"/>
        <w:spacing w:beforeAutospacing="0" w:afterAutospacing="0" w:line="360" w:lineRule="auto"/>
        <w:ind w:firstLine="64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本公司郑重承诺：我公司自觉遵守《中华人民共和国政府采购法》和《中华人民共和国政府采购法实施条例》的有关规定，我公司在参加本次项目（项目名称：XXXXXXX）采购活动中，无以下围标、串标行为：</w:t>
      </w:r>
    </w:p>
    <w:p w14:paraId="67EA51CD">
      <w:pPr>
        <w:pStyle w:val="6"/>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1.不同供应商的投标文件由同一单位或者个人编制；</w:t>
      </w:r>
    </w:p>
    <w:p w14:paraId="2263A3F2">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2.不同供应商委托同一单位或者个人办理投标事宜；</w:t>
      </w:r>
    </w:p>
    <w:p w14:paraId="06D8CB5A">
      <w:pPr>
        <w:pStyle w:val="6"/>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3.不同供应商的投标文件载明的项目管理成员或者联系人员为同一人；</w:t>
      </w:r>
    </w:p>
    <w:p w14:paraId="38352405">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4.不同供应商的投标文件异常一致或者投标报价呈规律性差异；</w:t>
      </w:r>
    </w:p>
    <w:p w14:paraId="3EE6D4C3">
      <w:pPr>
        <w:pStyle w:val="6"/>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5.不同供应商的投标文件相互混装；</w:t>
      </w:r>
    </w:p>
    <w:p w14:paraId="3B41914A">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6.不同供应商的投标保证金从同一单位或者个人的账户转出；</w:t>
      </w:r>
    </w:p>
    <w:p w14:paraId="5976B251">
      <w:pPr>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7.不同供应商的董事、监事、高管、单位负责人为同一人或者存在控股、管理关系的不同单位参加同一采购项目；</w:t>
      </w:r>
    </w:p>
    <w:p w14:paraId="353389D8">
      <w:pPr>
        <w:pStyle w:val="6"/>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8.供应商之间事先约定由某一特定供应商中标、成交；</w:t>
      </w:r>
    </w:p>
    <w:p w14:paraId="66B82C86">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9.供应商之间商定部分供应商放弃参加采购活动或者放弃中标、成交；</w:t>
      </w:r>
    </w:p>
    <w:p w14:paraId="55415941">
      <w:pPr>
        <w:pStyle w:val="6"/>
        <w:keepNext w:val="0"/>
        <w:keepLines w:val="0"/>
        <w:pageBreakBefore w:val="0"/>
        <w:widowControl w:val="0"/>
        <w:numPr>
          <w:ilvl w:val="0"/>
          <w:numId w:val="4"/>
        </w:numPr>
        <w:kinsoku/>
        <w:wordWrap/>
        <w:overflowPunct/>
        <w:topLinePunct w:val="0"/>
        <w:autoSpaceDE/>
        <w:autoSpaceDN/>
        <w:bidi w:val="0"/>
        <w:adjustRightInd/>
        <w:snapToGrid/>
        <w:spacing w:beforeAutospacing="0" w:afterAutospacing="0" w:line="360" w:lineRule="auto"/>
        <w:ind w:left="420" w:leftChars="0" w:hanging="420" w:firstLine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10.法律法规界定的其他围标串标行为。</w:t>
      </w:r>
    </w:p>
    <w:p w14:paraId="4EBF8C2A">
      <w:pPr>
        <w:keepNext w:val="0"/>
        <w:keepLines w:val="0"/>
        <w:pageBreakBefore w:val="0"/>
        <w:numPr>
          <w:ilvl w:val="0"/>
          <w:numId w:val="4"/>
        </w:numPr>
        <w:kinsoku/>
        <w:wordWrap/>
        <w:overflowPunct/>
        <w:topLinePunct w:val="0"/>
        <w:autoSpaceDE/>
        <w:autoSpaceDN/>
        <w:bidi w:val="0"/>
        <w:spacing w:beforeAutospacing="0" w:afterAutospacing="0" w:line="360" w:lineRule="auto"/>
        <w:ind w:left="420" w:leftChars="0" w:hanging="42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我公司承诺在本项目采购活动中，与采购人不存在关联关系，与其他投标单位不存在关联关系。如被查实在本项目采购活动中存在围标、串标的，本公司将承担法律责任，接受相应的法律法规处罚。</w:t>
      </w:r>
    </w:p>
    <w:p w14:paraId="2E75DD59">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lang w:val="en-US" w:eastAsia="zh-CN"/>
        </w:rPr>
      </w:pPr>
    </w:p>
    <w:p w14:paraId="5FA65271">
      <w:pPr>
        <w:pStyle w:val="6"/>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投标供应商法人代表或委托代理人（承诺人） ：</w:t>
      </w:r>
    </w:p>
    <w:p w14:paraId="7631F56E">
      <w:pPr>
        <w:pStyle w:val="6"/>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投标供应商：（公章）  </w:t>
      </w:r>
    </w:p>
    <w:p w14:paraId="50AA9A57">
      <w:pPr>
        <w:pStyle w:val="6"/>
        <w:keepNext w:val="0"/>
        <w:keepLines w:val="0"/>
        <w:pageBreakBefore w:val="0"/>
        <w:kinsoku/>
        <w:wordWrap/>
        <w:overflowPunct/>
        <w:topLinePunct w:val="0"/>
        <w:autoSpaceDE/>
        <w:autoSpaceDN/>
        <w:bidi w:val="0"/>
        <w:spacing w:beforeAutospacing="0" w:afterAutospacing="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   年    月    日</w:t>
      </w:r>
    </w:p>
    <w:p w14:paraId="5DD83C07">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14:paraId="0E0E2D4F">
      <w:pPr>
        <w:pStyle w:val="8"/>
        <w:keepNext w:val="0"/>
        <w:keepLines w:val="0"/>
        <w:pageBreakBefore w:val="0"/>
        <w:kinsoku/>
        <w:overflowPunct/>
        <w:topLinePunct w:val="0"/>
        <w:bidi w:val="0"/>
        <w:spacing w:line="360" w:lineRule="auto"/>
        <w:rPr>
          <w:rFonts w:hint="eastAsia" w:ascii="宋体" w:hAnsi="宋体" w:eastAsia="宋体" w:cs="宋体"/>
          <w:b/>
          <w:bCs/>
          <w:color w:val="auto"/>
          <w:sz w:val="24"/>
          <w:szCs w:val="24"/>
          <w:highlight w:val="none"/>
        </w:rPr>
      </w:pPr>
    </w:p>
    <w:p w14:paraId="7D0B2099">
      <w:pPr>
        <w:pStyle w:val="8"/>
        <w:keepNext w:val="0"/>
        <w:keepLines w:val="0"/>
        <w:pageBreakBefore w:val="0"/>
        <w:kinsoku/>
        <w:overflowPunct/>
        <w:topLinePunct w:val="0"/>
        <w:bidi w:val="0"/>
        <w:spacing w:line="360" w:lineRule="auto"/>
        <w:rPr>
          <w:rFonts w:hint="eastAsia" w:ascii="宋体" w:hAnsi="宋体" w:eastAsia="宋体" w:cs="宋体"/>
          <w:b/>
          <w:bCs/>
          <w:color w:val="auto"/>
          <w:sz w:val="24"/>
          <w:szCs w:val="24"/>
          <w:highlight w:val="none"/>
        </w:rPr>
      </w:pPr>
    </w:p>
    <w:p w14:paraId="2A7E122A">
      <w:pPr>
        <w:pStyle w:val="8"/>
        <w:keepNext w:val="0"/>
        <w:keepLines w:val="0"/>
        <w:pageBreakBefore w:val="0"/>
        <w:kinsoku/>
        <w:overflowPunct/>
        <w:topLinePunct w:val="0"/>
        <w:bidi w:val="0"/>
        <w:spacing w:line="360" w:lineRule="auto"/>
        <w:rPr>
          <w:rFonts w:hint="eastAsia" w:ascii="宋体" w:hAnsi="宋体" w:eastAsia="宋体" w:cs="宋体"/>
          <w:b/>
          <w:bCs/>
          <w:color w:val="auto"/>
          <w:sz w:val="24"/>
          <w:szCs w:val="24"/>
          <w:highlight w:val="none"/>
        </w:rPr>
      </w:pPr>
    </w:p>
    <w:p w14:paraId="225D5081">
      <w:pPr>
        <w:pStyle w:val="8"/>
        <w:keepNext w:val="0"/>
        <w:keepLines w:val="0"/>
        <w:pageBreakBefore w:val="0"/>
        <w:kinsoku/>
        <w:overflowPunct/>
        <w:topLinePunct w:val="0"/>
        <w:bidi w:val="0"/>
        <w:spacing w:line="360" w:lineRule="auto"/>
        <w:rPr>
          <w:rFonts w:hint="eastAsia" w:ascii="宋体" w:hAnsi="宋体" w:eastAsia="宋体" w:cs="宋体"/>
          <w:b/>
          <w:bCs/>
          <w:color w:val="auto"/>
          <w:sz w:val="24"/>
          <w:szCs w:val="24"/>
          <w:highlight w:val="none"/>
        </w:rPr>
      </w:pPr>
    </w:p>
    <w:p w14:paraId="1BB81887">
      <w:pPr>
        <w:pStyle w:val="8"/>
        <w:keepNext w:val="0"/>
        <w:keepLines w:val="0"/>
        <w:pageBreakBefore w:val="0"/>
        <w:kinsoku/>
        <w:overflowPunct/>
        <w:topLinePunct w:val="0"/>
        <w:bidi w:val="0"/>
        <w:spacing w:line="360" w:lineRule="auto"/>
        <w:ind w:left="0" w:leftChars="0" w:firstLine="0" w:firstLineChars="0"/>
        <w:rPr>
          <w:rFonts w:hint="eastAsia" w:ascii="宋体" w:hAnsi="宋体" w:eastAsia="宋体" w:cs="宋体"/>
          <w:b/>
          <w:bCs/>
          <w:color w:val="auto"/>
          <w:sz w:val="24"/>
          <w:szCs w:val="24"/>
          <w:highlight w:val="none"/>
          <w:lang w:val="en-US" w:eastAsia="zh-CN"/>
        </w:rPr>
      </w:pPr>
    </w:p>
    <w:p w14:paraId="05D36FC0">
      <w:pPr>
        <w:pStyle w:val="20"/>
        <w:keepNext w:val="0"/>
        <w:keepLines w:val="0"/>
        <w:pageBreakBefore w:val="0"/>
        <w:kinsoku/>
        <w:overflowPunct/>
        <w:topLinePunct w:val="0"/>
        <w:autoSpaceDE/>
        <w:autoSpaceDN/>
        <w:bidi w:val="0"/>
        <w:snapToGrid w:val="0"/>
        <w:spacing w:before="156" w:beforeLines="50" w:after="312" w:afterLines="100" w:line="360" w:lineRule="auto"/>
        <w:ind w:firstLine="0" w:firstLineChars="0"/>
        <w:jc w:val="left"/>
        <w:textAlignment w:val="auto"/>
        <w:rPr>
          <w:rFonts w:hint="eastAsia" w:ascii="宋体" w:hAnsi="宋体" w:eastAsia="宋体" w:cs="宋体"/>
          <w:b/>
          <w:bCs/>
          <w:sz w:val="24"/>
          <w:szCs w:val="24"/>
          <w:shd w:val="clear" w:color="auto" w:fill="FFFFFF"/>
          <w:lang w:val="en-US" w:eastAsia="zh-CN"/>
        </w:rPr>
      </w:pPr>
      <w:r>
        <w:rPr>
          <w:rFonts w:hint="eastAsia" w:ascii="宋体" w:hAnsi="宋体" w:eastAsia="宋体" w:cs="宋体"/>
          <w:b/>
          <w:bCs/>
          <w:sz w:val="24"/>
          <w:szCs w:val="24"/>
          <w:shd w:val="clear" w:color="auto" w:fill="FFFFFF"/>
          <w:lang w:val="en-US" w:eastAsia="zh-CN"/>
        </w:rPr>
        <w:t>2-4</w:t>
      </w:r>
    </w:p>
    <w:p w14:paraId="4CB1D8BE">
      <w:pPr>
        <w:pStyle w:val="20"/>
        <w:keepNext w:val="0"/>
        <w:keepLines w:val="0"/>
        <w:pageBreakBefore w:val="0"/>
        <w:kinsoku/>
        <w:overflowPunct/>
        <w:topLinePunct w:val="0"/>
        <w:autoSpaceDE/>
        <w:autoSpaceDN/>
        <w:bidi w:val="0"/>
        <w:snapToGrid w:val="0"/>
        <w:spacing w:before="156" w:beforeLines="50" w:after="312" w:afterLines="100" w:line="360" w:lineRule="auto"/>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shd w:val="clear" w:color="auto" w:fill="FFFFFF"/>
        </w:rPr>
        <w:t>承诺函</w:t>
      </w:r>
    </w:p>
    <w:p w14:paraId="042814EF">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四川省妇幼保健院：</w:t>
      </w:r>
    </w:p>
    <w:p w14:paraId="7743EA30">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本供应商</w:t>
      </w:r>
      <w:r>
        <w:rPr>
          <w:rFonts w:hint="eastAsia" w:ascii="宋体" w:hAnsi="宋体" w:eastAsia="宋体" w:cs="宋体"/>
          <w:sz w:val="24"/>
          <w:szCs w:val="24"/>
          <w:u w:val="single"/>
        </w:rPr>
        <w:t xml:space="preserve">      （供应商全称）        </w:t>
      </w:r>
      <w:r>
        <w:rPr>
          <w:rFonts w:hint="eastAsia" w:ascii="宋体" w:hAnsi="宋体" w:eastAsia="宋体" w:cs="宋体"/>
          <w:sz w:val="24"/>
          <w:szCs w:val="24"/>
        </w:rPr>
        <w:t>参加</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rPr>
        <w:t>）的</w:t>
      </w:r>
      <w:r>
        <w:rPr>
          <w:rFonts w:hint="eastAsia" w:ascii="宋体" w:hAnsi="宋体" w:eastAsia="宋体" w:cs="宋体"/>
          <w:sz w:val="24"/>
          <w:szCs w:val="24"/>
          <w:lang w:val="en-US" w:eastAsia="zh-CN"/>
        </w:rPr>
        <w:t>评审</w:t>
      </w:r>
      <w:r>
        <w:rPr>
          <w:rFonts w:hint="eastAsia" w:ascii="宋体" w:hAnsi="宋体" w:eastAsia="宋体" w:cs="宋体"/>
          <w:sz w:val="24"/>
          <w:szCs w:val="24"/>
        </w:rPr>
        <w:t>活动，现郑重承诺：</w:t>
      </w:r>
    </w:p>
    <w:p w14:paraId="3FA2EB89">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一、具备本项目规定的条件：</w:t>
      </w:r>
    </w:p>
    <w:p w14:paraId="65A1F425">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（一）具有独立承担民事责任的能力； </w:t>
      </w:r>
    </w:p>
    <w:p w14:paraId="09FFF5D3">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（二）具有良好的商业信誉和健全的财务会计制度； </w:t>
      </w:r>
    </w:p>
    <w:p w14:paraId="7087C13C">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（三）具有履行合同所必需的设备和专业技术能力； </w:t>
      </w:r>
    </w:p>
    <w:p w14:paraId="7C164FF6">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（四）有依法缴纳税收和社会保障资金的良好记录； </w:t>
      </w:r>
    </w:p>
    <w:p w14:paraId="7938B699">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（五）参加采购活动前三年内，在经营活动中没有重大违法记录；</w:t>
      </w:r>
    </w:p>
    <w:p w14:paraId="3BC44A65">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（六）法律、行政法规规定的其他条件；</w:t>
      </w:r>
    </w:p>
    <w:p w14:paraId="390EE1FC">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完全接受和满足本项目磋商文件中规定的实质性要求，如对磋商文件有异议，已经在磋商截止时间届满前依法进行维权救济，不存在对磋商文件有异议的同时又参加磋商以求侥幸成交或者为实现其他非法目的的行为。承诺成交后签订合同前按采购人要求提交技术参数相关佐证材料。</w:t>
      </w:r>
    </w:p>
    <w:p w14:paraId="07A0C9C1">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参加本次磋商采购活动，不存在与单位负责人为同一人或者存在直接控股、管理关系的其他供应商参与同一合同项下的采购活动的行为。本单位未参与本采购项目前期咨询论证，不属于禁止参加本项目磋商的供应商。</w:t>
      </w:r>
    </w:p>
    <w:p w14:paraId="2BCDB391">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四、参加本次磋商采购活动，不存在和其他供应商在同一合同项下的采购项目中，同时委托同一个自然人、同一家庭的人员、同一单位的人员作为代理人的行为。</w:t>
      </w:r>
    </w:p>
    <w:p w14:paraId="58BB398F">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五、本单位未被对列入按财库[2016]125号规定的失信被执行人、重大税收违法案件当事人名单、政府采购严重违法失信行为记录名单及其他不符合《中华人民共和国政府采购法》第二十二条规定条件的供应商。</w:t>
      </w:r>
    </w:p>
    <w:p w14:paraId="695A0BC9">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六、国家或行业主管部门对采购产品的技术标准、质量标准和资格资质条件等有强制性规定的，我方承诺符合其要求。</w:t>
      </w:r>
    </w:p>
    <w:p w14:paraId="24289912">
      <w:pPr>
        <w:keepNext w:val="0"/>
        <w:keepLines w:val="0"/>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本公司对上述承诺的内容事项真实性负责。如经查实上述承诺的内容事项存在虚假，本单位愿意接受以提供虚假材料谋取成交追究法律责任。</w:t>
      </w:r>
      <w:r>
        <w:rPr>
          <w:rFonts w:hint="eastAsia" w:ascii="宋体" w:hAnsi="宋体" w:eastAsia="宋体" w:cs="宋体"/>
          <w:sz w:val="24"/>
          <w:szCs w:val="24"/>
        </w:rPr>
        <w:tab/>
      </w:r>
      <w:r>
        <w:rPr>
          <w:rFonts w:hint="eastAsia" w:ascii="宋体" w:hAnsi="宋体" w:eastAsia="宋体" w:cs="宋体"/>
          <w:sz w:val="24"/>
          <w:szCs w:val="24"/>
        </w:rPr>
        <w:tab/>
      </w:r>
    </w:p>
    <w:p w14:paraId="549B83FE">
      <w:pPr>
        <w:keepNext w:val="0"/>
        <w:keepLines w:val="0"/>
        <w:pageBreakBefore w:val="0"/>
        <w:kinsoku/>
        <w:overflowPunct/>
        <w:topLinePunct w:val="0"/>
        <w:autoSpaceDE/>
        <w:autoSpaceDN/>
        <w:bidi w:val="0"/>
        <w:adjustRightInd w:val="0"/>
        <w:snapToGrid w:val="0"/>
        <w:spacing w:line="360" w:lineRule="auto"/>
        <w:textAlignment w:val="auto"/>
        <w:rPr>
          <w:rFonts w:hint="eastAsia" w:ascii="宋体" w:hAnsi="宋体" w:eastAsia="宋体" w:cs="宋体"/>
          <w:sz w:val="24"/>
          <w:szCs w:val="24"/>
        </w:rPr>
      </w:pPr>
    </w:p>
    <w:p w14:paraId="1ACA105C">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供应商名称：        （盖章）</w:t>
      </w:r>
    </w:p>
    <w:p w14:paraId="67B5C1CF">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sz w:val="24"/>
          <w:szCs w:val="24"/>
          <w:u w:val="single"/>
        </w:rPr>
        <w:t>签字或盖章</w:t>
      </w:r>
      <w:r>
        <w:rPr>
          <w:rFonts w:hint="eastAsia" w:ascii="宋体" w:hAnsi="宋体" w:eastAsia="宋体" w:cs="宋体"/>
          <w:sz w:val="24"/>
          <w:szCs w:val="24"/>
        </w:rPr>
        <w:t>）：</w:t>
      </w:r>
    </w:p>
    <w:p w14:paraId="658F7F74">
      <w:pPr>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日 期：</w:t>
      </w:r>
    </w:p>
    <w:p w14:paraId="3E34161A">
      <w:pPr>
        <w:pStyle w:val="8"/>
        <w:keepNext w:val="0"/>
        <w:keepLines w:val="0"/>
        <w:pageBreakBefore w:val="0"/>
        <w:kinsoku/>
        <w:overflowPunct/>
        <w:topLinePunct w:val="0"/>
        <w:autoSpaceDE/>
        <w:autoSpaceDN/>
        <w:bidi w:val="0"/>
        <w:spacing w:line="360" w:lineRule="auto"/>
        <w:textAlignment w:val="auto"/>
        <w:rPr>
          <w:rFonts w:hint="eastAsia" w:ascii="宋体" w:hAnsi="宋体" w:eastAsia="宋体" w:cs="宋体"/>
          <w:sz w:val="24"/>
          <w:szCs w:val="24"/>
        </w:rPr>
      </w:pPr>
    </w:p>
    <w:p w14:paraId="3D1E0A31">
      <w:pPr>
        <w:pStyle w:val="19"/>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4724BC89">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05E7A4D5">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00EEA3AB">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6113BA03">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39926E3F">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396FE501">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3D64D354">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4D474678">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5C633ADD">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1B0BCF10">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05BBBC2C">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4A8A8EF2">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28886ED3">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5ED5A9F0">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6DB9B7DD">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7D36A708">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3321803A">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59C4B574">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7C82C888">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2FFAA2E8">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24F29C40">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3ED6FD1B">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2A0B6240">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p>
    <w:p w14:paraId="5C5A62ED">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2-5</w:t>
      </w:r>
    </w:p>
    <w:p w14:paraId="4E907A75">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color w:val="auto"/>
          <w:kern w:val="0"/>
          <w:sz w:val="24"/>
          <w:szCs w:val="24"/>
          <w:highlight w:val="none"/>
        </w:rPr>
      </w:pPr>
    </w:p>
    <w:p w14:paraId="47B98C8C">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center"/>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sz w:val="24"/>
          <w:szCs w:val="24"/>
          <w:highlight w:val="none"/>
        </w:rPr>
        <w:t>（20</w:t>
      </w:r>
      <w:r>
        <w:rPr>
          <w:rFonts w:hint="eastAsia" w:ascii="宋体" w:hAnsi="宋体" w:eastAsia="宋体" w:cs="宋体"/>
          <w:b w:val="0"/>
          <w:bCs w:val="0"/>
          <w:sz w:val="24"/>
          <w:szCs w:val="24"/>
          <w:highlight w:val="none"/>
          <w:lang w:val="en-US" w:eastAsia="zh-CN"/>
        </w:rPr>
        <w:t>22</w:t>
      </w:r>
      <w:r>
        <w:rPr>
          <w:rFonts w:hint="eastAsia" w:ascii="宋体" w:hAnsi="宋体" w:eastAsia="宋体" w:cs="宋体"/>
          <w:b w:val="0"/>
          <w:bCs w:val="0"/>
          <w:sz w:val="24"/>
          <w:szCs w:val="24"/>
          <w:highlight w:val="none"/>
        </w:rPr>
        <w:t>年</w:t>
      </w:r>
      <w:r>
        <w:rPr>
          <w:rFonts w:hint="eastAsia" w:ascii="宋体" w:hAnsi="宋体" w:eastAsia="宋体" w:cs="宋体"/>
          <w:b w:val="0"/>
          <w:bCs w:val="0"/>
          <w:sz w:val="24"/>
          <w:szCs w:val="24"/>
          <w:highlight w:val="none"/>
          <w:lang w:val="en-US" w:eastAsia="zh-CN"/>
        </w:rPr>
        <w:t>1月1日</w:t>
      </w:r>
      <w:r>
        <w:rPr>
          <w:rFonts w:hint="eastAsia" w:ascii="宋体" w:hAnsi="宋体" w:eastAsia="宋体" w:cs="宋体"/>
          <w:b w:val="0"/>
          <w:bCs w:val="0"/>
          <w:sz w:val="24"/>
          <w:szCs w:val="24"/>
          <w:highlight w:val="none"/>
        </w:rPr>
        <w:t>至今）</w:t>
      </w:r>
      <w:r>
        <w:rPr>
          <w:rFonts w:hint="eastAsia" w:ascii="宋体" w:hAnsi="宋体" w:eastAsia="宋体" w:cs="宋体"/>
          <w:b w:val="0"/>
          <w:bCs w:val="0"/>
          <w:sz w:val="24"/>
          <w:szCs w:val="24"/>
          <w:highlight w:val="none"/>
          <w:lang w:val="en-US" w:eastAsia="zh-CN"/>
        </w:rPr>
        <w:t>类似业绩</w:t>
      </w:r>
      <w:r>
        <w:rPr>
          <w:rFonts w:hint="eastAsia" w:ascii="宋体" w:hAnsi="宋体" w:eastAsia="宋体" w:cs="宋体"/>
          <w:b w:val="0"/>
          <w:bCs w:val="0"/>
          <w:sz w:val="24"/>
          <w:szCs w:val="24"/>
          <w:highlight w:val="none"/>
        </w:rPr>
        <w:t>一览表</w:t>
      </w:r>
    </w:p>
    <w:tbl>
      <w:tblPr>
        <w:tblStyle w:val="15"/>
        <w:tblW w:w="8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926"/>
        <w:gridCol w:w="1669"/>
        <w:gridCol w:w="1387"/>
        <w:gridCol w:w="1411"/>
        <w:gridCol w:w="1650"/>
      </w:tblGrid>
      <w:tr w14:paraId="05DC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16" w:type="dxa"/>
            <w:noWrap/>
            <w:vAlign w:val="center"/>
          </w:tcPr>
          <w:p w14:paraId="59F45483">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6" w:type="dxa"/>
            <w:noWrap/>
            <w:vAlign w:val="center"/>
          </w:tcPr>
          <w:p w14:paraId="2A247A3D">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用户</w:t>
            </w:r>
            <w:r>
              <w:rPr>
                <w:rFonts w:hint="eastAsia" w:ascii="宋体" w:hAnsi="宋体" w:eastAsia="宋体" w:cs="宋体"/>
                <w:sz w:val="24"/>
                <w:szCs w:val="24"/>
                <w:highlight w:val="none"/>
              </w:rPr>
              <w:t>名称</w:t>
            </w:r>
          </w:p>
        </w:tc>
        <w:tc>
          <w:tcPr>
            <w:tcW w:w="1669" w:type="dxa"/>
            <w:noWrap/>
            <w:vAlign w:val="center"/>
          </w:tcPr>
          <w:p w14:paraId="6B2ED7BC">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1387" w:type="dxa"/>
            <w:noWrap/>
            <w:vAlign w:val="center"/>
          </w:tcPr>
          <w:p w14:paraId="5BC33B91">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合同金额</w:t>
            </w:r>
          </w:p>
        </w:tc>
        <w:tc>
          <w:tcPr>
            <w:tcW w:w="1411" w:type="dxa"/>
            <w:noWrap/>
            <w:vAlign w:val="center"/>
          </w:tcPr>
          <w:p w14:paraId="22587D54">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签订时间</w:t>
            </w:r>
          </w:p>
        </w:tc>
        <w:tc>
          <w:tcPr>
            <w:tcW w:w="1650" w:type="dxa"/>
            <w:noWrap/>
            <w:vAlign w:val="center"/>
          </w:tcPr>
          <w:p w14:paraId="11654EE5">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23D6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43968B74">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2FEAB4A4">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6876DD1D">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701408E2">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411" w:type="dxa"/>
            <w:noWrap/>
            <w:vAlign w:val="center"/>
          </w:tcPr>
          <w:p w14:paraId="787F6FD9">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6B1F7AA3">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r>
      <w:tr w14:paraId="6B6A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7FECB4E1">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23358F70">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2CAB8672">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3CF367AC">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411" w:type="dxa"/>
            <w:noWrap/>
            <w:vAlign w:val="center"/>
          </w:tcPr>
          <w:p w14:paraId="2AFE9408">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7DA40B5F">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r>
      <w:tr w14:paraId="66B5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587616D1">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7947E5D0">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0C50DF54">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1C0C87EF">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411" w:type="dxa"/>
            <w:noWrap/>
            <w:vAlign w:val="center"/>
          </w:tcPr>
          <w:p w14:paraId="36B7BB11">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78C42EE8">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r>
      <w:tr w14:paraId="1D03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35D5A393">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167DF2FB">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006773CD">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70D5D53D">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411" w:type="dxa"/>
            <w:noWrap/>
            <w:vAlign w:val="center"/>
          </w:tcPr>
          <w:p w14:paraId="0E943445">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162EA7FC">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r>
      <w:tr w14:paraId="2BE7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exact"/>
          <w:jc w:val="center"/>
        </w:trPr>
        <w:tc>
          <w:tcPr>
            <w:tcW w:w="716" w:type="dxa"/>
            <w:noWrap/>
            <w:vAlign w:val="center"/>
          </w:tcPr>
          <w:p w14:paraId="0ED6F8C5">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12642836">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0FFB16A8">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1E0CAA05">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411" w:type="dxa"/>
            <w:noWrap/>
            <w:vAlign w:val="center"/>
          </w:tcPr>
          <w:p w14:paraId="34B77ACA">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50AE07F5">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r>
      <w:tr w14:paraId="6BC0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6E2DF435">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14F25E98">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536DB71D">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70D86DAB">
            <w:pPr>
              <w:keepNext w:val="0"/>
              <w:keepLines w:val="0"/>
              <w:pageBreakBefore w:val="0"/>
              <w:kinsoku/>
              <w:overflowPunct/>
              <w:topLinePunct w:val="0"/>
              <w:bidi w:val="0"/>
              <w:spacing w:line="360" w:lineRule="auto"/>
              <w:ind w:left="-80" w:leftChars="-38"/>
              <w:jc w:val="center"/>
              <w:rPr>
                <w:rFonts w:hint="eastAsia" w:ascii="宋体" w:hAnsi="宋体" w:eastAsia="宋体" w:cs="宋体"/>
                <w:sz w:val="24"/>
                <w:szCs w:val="24"/>
                <w:highlight w:val="none"/>
              </w:rPr>
            </w:pPr>
          </w:p>
        </w:tc>
        <w:tc>
          <w:tcPr>
            <w:tcW w:w="1411" w:type="dxa"/>
            <w:noWrap/>
            <w:vAlign w:val="center"/>
          </w:tcPr>
          <w:p w14:paraId="3BAE1E8F">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34416D46">
            <w:pPr>
              <w:pStyle w:val="10"/>
              <w:keepNext w:val="0"/>
              <w:keepLines w:val="0"/>
              <w:pageBreakBefore w:val="0"/>
              <w:pBdr>
                <w:bottom w:val="none" w:color="auto" w:sz="0" w:space="0"/>
              </w:pBdr>
              <w:tabs>
                <w:tab w:val="left" w:pos="420"/>
              </w:tabs>
              <w:kinsoku/>
              <w:overflowPunct/>
              <w:topLinePunct w:val="0"/>
              <w:bidi w:val="0"/>
              <w:snapToGrid/>
              <w:spacing w:line="360" w:lineRule="auto"/>
              <w:rPr>
                <w:rFonts w:hint="eastAsia" w:ascii="宋体" w:hAnsi="宋体" w:eastAsia="宋体" w:cs="宋体"/>
                <w:sz w:val="24"/>
                <w:szCs w:val="24"/>
                <w:highlight w:val="none"/>
              </w:rPr>
            </w:pPr>
          </w:p>
        </w:tc>
      </w:tr>
      <w:tr w14:paraId="0AA3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03E06DEF">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209577A1">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062055DC">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63720F6F">
            <w:pPr>
              <w:keepNext w:val="0"/>
              <w:keepLines w:val="0"/>
              <w:pageBreakBefore w:val="0"/>
              <w:kinsoku/>
              <w:overflowPunct/>
              <w:topLinePunct w:val="0"/>
              <w:bidi w:val="0"/>
              <w:spacing w:line="360" w:lineRule="auto"/>
              <w:ind w:left="-80" w:leftChars="-38"/>
              <w:jc w:val="center"/>
              <w:rPr>
                <w:rFonts w:hint="eastAsia" w:ascii="宋体" w:hAnsi="宋体" w:eastAsia="宋体" w:cs="宋体"/>
                <w:sz w:val="24"/>
                <w:szCs w:val="24"/>
                <w:highlight w:val="none"/>
              </w:rPr>
            </w:pPr>
          </w:p>
        </w:tc>
        <w:tc>
          <w:tcPr>
            <w:tcW w:w="1411" w:type="dxa"/>
            <w:noWrap/>
            <w:vAlign w:val="center"/>
          </w:tcPr>
          <w:p w14:paraId="22EE5954">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72F94B55">
            <w:pPr>
              <w:pStyle w:val="10"/>
              <w:keepNext w:val="0"/>
              <w:keepLines w:val="0"/>
              <w:pageBreakBefore w:val="0"/>
              <w:pBdr>
                <w:bottom w:val="none" w:color="auto" w:sz="0" w:space="0"/>
              </w:pBdr>
              <w:tabs>
                <w:tab w:val="left" w:pos="420"/>
              </w:tabs>
              <w:kinsoku/>
              <w:overflowPunct/>
              <w:topLinePunct w:val="0"/>
              <w:bidi w:val="0"/>
              <w:snapToGrid/>
              <w:spacing w:line="360" w:lineRule="auto"/>
              <w:rPr>
                <w:rFonts w:hint="eastAsia" w:ascii="宋体" w:hAnsi="宋体" w:eastAsia="宋体" w:cs="宋体"/>
                <w:sz w:val="24"/>
                <w:szCs w:val="24"/>
                <w:highlight w:val="none"/>
              </w:rPr>
            </w:pPr>
          </w:p>
        </w:tc>
      </w:tr>
      <w:tr w14:paraId="184E8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5A7831CA">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4CB39D87">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21D70418">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3AB8883E">
            <w:pPr>
              <w:keepNext w:val="0"/>
              <w:keepLines w:val="0"/>
              <w:pageBreakBefore w:val="0"/>
              <w:kinsoku/>
              <w:overflowPunct/>
              <w:topLinePunct w:val="0"/>
              <w:bidi w:val="0"/>
              <w:spacing w:line="360" w:lineRule="auto"/>
              <w:ind w:left="-80" w:leftChars="-38"/>
              <w:jc w:val="center"/>
              <w:rPr>
                <w:rFonts w:hint="eastAsia" w:ascii="宋体" w:hAnsi="宋体" w:eastAsia="宋体" w:cs="宋体"/>
                <w:sz w:val="24"/>
                <w:szCs w:val="24"/>
                <w:highlight w:val="none"/>
              </w:rPr>
            </w:pPr>
          </w:p>
        </w:tc>
        <w:tc>
          <w:tcPr>
            <w:tcW w:w="1411" w:type="dxa"/>
            <w:noWrap/>
            <w:vAlign w:val="center"/>
          </w:tcPr>
          <w:p w14:paraId="62843146">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577825C3">
            <w:pPr>
              <w:pStyle w:val="10"/>
              <w:keepNext w:val="0"/>
              <w:keepLines w:val="0"/>
              <w:pageBreakBefore w:val="0"/>
              <w:pBdr>
                <w:bottom w:val="none" w:color="auto" w:sz="0" w:space="0"/>
              </w:pBdr>
              <w:tabs>
                <w:tab w:val="left" w:pos="420"/>
              </w:tabs>
              <w:kinsoku/>
              <w:overflowPunct/>
              <w:topLinePunct w:val="0"/>
              <w:bidi w:val="0"/>
              <w:snapToGrid/>
              <w:spacing w:line="360" w:lineRule="auto"/>
              <w:rPr>
                <w:rFonts w:hint="eastAsia" w:ascii="宋体" w:hAnsi="宋体" w:eastAsia="宋体" w:cs="宋体"/>
                <w:sz w:val="24"/>
                <w:szCs w:val="24"/>
                <w:highlight w:val="none"/>
              </w:rPr>
            </w:pPr>
          </w:p>
        </w:tc>
      </w:tr>
      <w:tr w14:paraId="78DAA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exact"/>
          <w:jc w:val="center"/>
        </w:trPr>
        <w:tc>
          <w:tcPr>
            <w:tcW w:w="716" w:type="dxa"/>
            <w:noWrap/>
            <w:vAlign w:val="center"/>
          </w:tcPr>
          <w:p w14:paraId="4DBF7B10">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926" w:type="dxa"/>
            <w:noWrap/>
            <w:vAlign w:val="center"/>
          </w:tcPr>
          <w:p w14:paraId="0FA62A46">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669" w:type="dxa"/>
            <w:noWrap/>
            <w:vAlign w:val="center"/>
          </w:tcPr>
          <w:p w14:paraId="4394DEBF">
            <w:pPr>
              <w:keepNext w:val="0"/>
              <w:keepLines w:val="0"/>
              <w:pageBreakBefore w:val="0"/>
              <w:kinsoku/>
              <w:overflowPunct/>
              <w:topLinePunct w:val="0"/>
              <w:bidi w:val="0"/>
              <w:spacing w:line="360" w:lineRule="auto"/>
              <w:rPr>
                <w:rFonts w:hint="eastAsia" w:ascii="宋体" w:hAnsi="宋体" w:eastAsia="宋体" w:cs="宋体"/>
                <w:sz w:val="24"/>
                <w:szCs w:val="24"/>
                <w:highlight w:val="none"/>
              </w:rPr>
            </w:pPr>
          </w:p>
        </w:tc>
        <w:tc>
          <w:tcPr>
            <w:tcW w:w="1387" w:type="dxa"/>
            <w:noWrap/>
            <w:vAlign w:val="center"/>
          </w:tcPr>
          <w:p w14:paraId="5DDE7C16">
            <w:pPr>
              <w:keepNext w:val="0"/>
              <w:keepLines w:val="0"/>
              <w:pageBreakBefore w:val="0"/>
              <w:kinsoku/>
              <w:overflowPunct/>
              <w:topLinePunct w:val="0"/>
              <w:bidi w:val="0"/>
              <w:spacing w:line="360" w:lineRule="auto"/>
              <w:ind w:left="-80" w:leftChars="-38"/>
              <w:jc w:val="center"/>
              <w:rPr>
                <w:rFonts w:hint="eastAsia" w:ascii="宋体" w:hAnsi="宋体" w:eastAsia="宋体" w:cs="宋体"/>
                <w:sz w:val="24"/>
                <w:szCs w:val="24"/>
                <w:highlight w:val="none"/>
              </w:rPr>
            </w:pPr>
          </w:p>
        </w:tc>
        <w:tc>
          <w:tcPr>
            <w:tcW w:w="1411" w:type="dxa"/>
            <w:noWrap/>
            <w:vAlign w:val="center"/>
          </w:tcPr>
          <w:p w14:paraId="1363DAD6">
            <w:pPr>
              <w:keepNext w:val="0"/>
              <w:keepLines w:val="0"/>
              <w:pageBreakBefore w:val="0"/>
              <w:kinsoku/>
              <w:overflowPunct/>
              <w:topLinePunct w:val="0"/>
              <w:bidi w:val="0"/>
              <w:spacing w:line="360" w:lineRule="auto"/>
              <w:jc w:val="center"/>
              <w:rPr>
                <w:rFonts w:hint="eastAsia" w:ascii="宋体" w:hAnsi="宋体" w:eastAsia="宋体" w:cs="宋体"/>
                <w:sz w:val="24"/>
                <w:szCs w:val="24"/>
                <w:highlight w:val="none"/>
              </w:rPr>
            </w:pPr>
          </w:p>
        </w:tc>
        <w:tc>
          <w:tcPr>
            <w:tcW w:w="1650" w:type="dxa"/>
            <w:noWrap/>
            <w:vAlign w:val="center"/>
          </w:tcPr>
          <w:p w14:paraId="33A9D8F0">
            <w:pPr>
              <w:pStyle w:val="10"/>
              <w:keepNext w:val="0"/>
              <w:keepLines w:val="0"/>
              <w:pageBreakBefore w:val="0"/>
              <w:pBdr>
                <w:bottom w:val="none" w:color="auto" w:sz="0" w:space="0"/>
              </w:pBdr>
              <w:tabs>
                <w:tab w:val="left" w:pos="420"/>
              </w:tabs>
              <w:kinsoku/>
              <w:overflowPunct/>
              <w:topLinePunct w:val="0"/>
              <w:bidi w:val="0"/>
              <w:snapToGrid/>
              <w:spacing w:line="360" w:lineRule="auto"/>
              <w:rPr>
                <w:rFonts w:hint="eastAsia" w:ascii="宋体" w:hAnsi="宋体" w:eastAsia="宋体" w:cs="宋体"/>
                <w:sz w:val="24"/>
                <w:szCs w:val="24"/>
                <w:highlight w:val="none"/>
              </w:rPr>
            </w:pPr>
          </w:p>
        </w:tc>
      </w:tr>
    </w:tbl>
    <w:p w14:paraId="720D5C4D">
      <w:pPr>
        <w:pStyle w:val="12"/>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18E74236">
      <w:pPr>
        <w:pStyle w:val="12"/>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1C8D94F5">
      <w:pPr>
        <w:pStyle w:val="12"/>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【说明】</w:t>
      </w:r>
    </w:p>
    <w:p w14:paraId="78115451">
      <w:pPr>
        <w:keepNext w:val="0"/>
        <w:keepLines w:val="0"/>
        <w:pageBreakBefore w:val="0"/>
        <w:kinsoku/>
        <w:overflowPunct/>
        <w:topLinePunct w:val="0"/>
        <w:bidi w:val="0"/>
        <w:spacing w:line="360" w:lineRule="auto"/>
        <w:rPr>
          <w:rFonts w:hint="eastAsia" w:ascii="宋体" w:hAnsi="宋体" w:eastAsia="宋体" w:cs="宋体"/>
          <w:b/>
          <w:sz w:val="24"/>
          <w:szCs w:val="24"/>
          <w:highlight w:val="none"/>
        </w:rPr>
      </w:pPr>
      <w:r>
        <w:rPr>
          <w:rFonts w:hint="eastAsia" w:ascii="宋体" w:hAnsi="宋体" w:eastAsia="宋体" w:cs="宋体"/>
          <w:b/>
          <w:sz w:val="24"/>
          <w:szCs w:val="24"/>
          <w:highlight w:val="none"/>
        </w:rPr>
        <w:t>注：须后附类似业绩须提供合同扫描件、竣工验收报告复印件并加盖公章。</w:t>
      </w:r>
    </w:p>
    <w:p w14:paraId="1A324593">
      <w:pPr>
        <w:keepNext w:val="0"/>
        <w:keepLines w:val="0"/>
        <w:pageBreakBefore w:val="0"/>
        <w:widowControl/>
        <w:shd w:val="clear" w:color="auto" w:fill="FFFFFF"/>
        <w:kinsoku/>
        <w:wordWrap w:val="0"/>
        <w:overflowPunct/>
        <w:topLinePunct w:val="0"/>
        <w:bidi w:val="0"/>
        <w:spacing w:line="360" w:lineRule="auto"/>
        <w:jc w:val="left"/>
        <w:rPr>
          <w:rFonts w:hint="eastAsia" w:ascii="宋体" w:hAnsi="宋体" w:eastAsia="宋体" w:cs="宋体"/>
          <w:color w:val="auto"/>
          <w:sz w:val="24"/>
          <w:szCs w:val="24"/>
          <w:highlight w:val="none"/>
        </w:rPr>
      </w:pPr>
    </w:p>
    <w:p w14:paraId="2F22A9E6">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14:paraId="5513F368">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14:paraId="0DC3C13B">
      <w:pPr>
        <w:pStyle w:val="19"/>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759A7B1">
      <w:pPr>
        <w:keepNext w:val="0"/>
        <w:keepLines w:val="0"/>
        <w:pageBreakBefore w:val="0"/>
        <w:kinsoku/>
        <w:overflowPunct/>
        <w:topLinePunct w:val="0"/>
        <w:bidi w:val="0"/>
        <w:snapToGrid w:val="0"/>
        <w:spacing w:line="360" w:lineRule="auto"/>
        <w:textAlignment w:val="baseline"/>
        <w:rPr>
          <w:rFonts w:hint="eastAsia" w:ascii="宋体" w:hAnsi="宋体" w:eastAsia="宋体" w:cs="宋体"/>
          <w:color w:val="auto"/>
          <w:sz w:val="24"/>
          <w:szCs w:val="24"/>
          <w:highlight w:val="none"/>
        </w:rPr>
      </w:pPr>
    </w:p>
    <w:p w14:paraId="7EF2A8EF">
      <w:pPr>
        <w:pStyle w:val="8"/>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25257A6C">
      <w:pPr>
        <w:keepNext w:val="0"/>
        <w:keepLines w:val="0"/>
        <w:pageBreakBefore w:val="0"/>
        <w:widowControl/>
        <w:shd w:val="clear" w:color="auto" w:fill="FFFFFF"/>
        <w:kinsoku/>
        <w:wordWrap w:val="0"/>
        <w:overflowPunct/>
        <w:topLinePunct w:val="0"/>
        <w:autoSpaceDE/>
        <w:autoSpaceDN/>
        <w:bidi w:val="0"/>
        <w:adjustRightInd/>
        <w:snapToGrid/>
        <w:spacing w:line="360" w:lineRule="auto"/>
        <w:ind w:right="-92" w:rightChars="-44"/>
        <w:jc w:val="left"/>
        <w:textAlignment w:val="auto"/>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2-6</w:t>
      </w:r>
    </w:p>
    <w:p w14:paraId="6840BE5E">
      <w:pPr>
        <w:pStyle w:val="4"/>
        <w:keepNext w:val="0"/>
        <w:keepLines w:val="0"/>
        <w:pageBreakBefore w:val="0"/>
        <w:tabs>
          <w:tab w:val="left" w:pos="720"/>
        </w:tabs>
        <w:kinsoku/>
        <w:overflowPunct/>
        <w:topLinePunct w:val="0"/>
        <w:bidi w:val="0"/>
        <w:spacing w:before="312" w:beforeLines="100" w:after="312" w:afterLines="100" w:line="360" w:lineRule="auto"/>
        <w:jc w:val="center"/>
        <w:rPr>
          <w:rFonts w:hint="eastAsia" w:ascii="宋体" w:hAnsi="宋体" w:eastAsia="宋体" w:cs="宋体"/>
          <w:sz w:val="24"/>
          <w:szCs w:val="24"/>
        </w:rPr>
      </w:pPr>
      <w:r>
        <w:rPr>
          <w:rFonts w:hint="eastAsia" w:ascii="宋体" w:hAnsi="宋体" w:eastAsia="宋体" w:cs="宋体"/>
          <w:sz w:val="24"/>
          <w:szCs w:val="24"/>
        </w:rPr>
        <w:t>拟任本项目人员配置情况</w:t>
      </w:r>
    </w:p>
    <w:p w14:paraId="7E32A9B1">
      <w:pPr>
        <w:keepNext w:val="0"/>
        <w:keepLines w:val="0"/>
        <w:pageBreakBefore w:val="0"/>
        <w:kinsoku/>
        <w:overflowPunct/>
        <w:topLinePunct w:val="0"/>
        <w:bidi w:val="0"/>
        <w:spacing w:line="360" w:lineRule="auto"/>
        <w:ind w:firstLine="46" w:firstLineChars="19"/>
        <w:rPr>
          <w:rFonts w:hint="eastAsia" w:ascii="宋体" w:hAnsi="宋体" w:eastAsia="宋体" w:cs="宋体"/>
          <w:b/>
          <w:bCs/>
          <w:sz w:val="24"/>
          <w:szCs w:val="24"/>
        </w:rPr>
      </w:pPr>
      <w:r>
        <w:rPr>
          <w:rFonts w:hint="eastAsia" w:ascii="宋体" w:hAnsi="宋体" w:eastAsia="宋体" w:cs="宋体"/>
          <w:b/>
          <w:bCs/>
          <w:sz w:val="24"/>
          <w:szCs w:val="24"/>
        </w:rPr>
        <w:t xml:space="preserve">  </w:t>
      </w:r>
    </w:p>
    <w:p w14:paraId="49154901">
      <w:pPr>
        <w:keepNext w:val="0"/>
        <w:keepLines w:val="0"/>
        <w:pageBreakBefore w:val="0"/>
        <w:kinsoku/>
        <w:overflowPunct/>
        <w:topLinePunct w:val="0"/>
        <w:bidi w:val="0"/>
        <w:spacing w:line="360" w:lineRule="auto"/>
        <w:ind w:firstLine="46" w:firstLineChars="19"/>
        <w:rPr>
          <w:rFonts w:hint="eastAsia" w:ascii="宋体" w:hAnsi="宋体" w:eastAsia="宋体" w:cs="宋体"/>
          <w:b/>
          <w:bCs/>
          <w:sz w:val="24"/>
          <w:szCs w:val="24"/>
        </w:rPr>
      </w:pPr>
      <w:r>
        <w:rPr>
          <w:rFonts w:hint="eastAsia" w:ascii="宋体" w:hAnsi="宋体" w:eastAsia="宋体" w:cs="宋体"/>
          <w:b/>
          <w:bCs/>
          <w:sz w:val="24"/>
          <w:szCs w:val="24"/>
        </w:rPr>
        <w:t xml:space="preserve">                         </w:t>
      </w:r>
    </w:p>
    <w:tbl>
      <w:tblPr>
        <w:tblStyle w:val="15"/>
        <w:tblW w:w="92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923"/>
        <w:gridCol w:w="921"/>
        <w:gridCol w:w="923"/>
        <w:gridCol w:w="922"/>
        <w:gridCol w:w="1436"/>
        <w:gridCol w:w="1022"/>
        <w:gridCol w:w="1232"/>
        <w:gridCol w:w="1229"/>
      </w:tblGrid>
      <w:tr w14:paraId="6470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43" w:type="dxa"/>
            <w:vMerge w:val="restart"/>
            <w:noWrap w:val="0"/>
            <w:vAlign w:val="center"/>
          </w:tcPr>
          <w:p w14:paraId="418C7EE6">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类别</w:t>
            </w:r>
          </w:p>
        </w:tc>
        <w:tc>
          <w:tcPr>
            <w:tcW w:w="923" w:type="dxa"/>
            <w:vMerge w:val="restart"/>
            <w:noWrap w:val="0"/>
            <w:vAlign w:val="center"/>
          </w:tcPr>
          <w:p w14:paraId="1B8A17E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职务</w:t>
            </w:r>
          </w:p>
        </w:tc>
        <w:tc>
          <w:tcPr>
            <w:tcW w:w="921" w:type="dxa"/>
            <w:vMerge w:val="restart"/>
            <w:noWrap w:val="0"/>
            <w:vAlign w:val="center"/>
          </w:tcPr>
          <w:p w14:paraId="6C00ACA5">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姓名</w:t>
            </w:r>
          </w:p>
        </w:tc>
        <w:tc>
          <w:tcPr>
            <w:tcW w:w="923" w:type="dxa"/>
            <w:vMerge w:val="restart"/>
            <w:noWrap w:val="0"/>
            <w:vAlign w:val="center"/>
          </w:tcPr>
          <w:p w14:paraId="150B73D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职称</w:t>
            </w:r>
          </w:p>
        </w:tc>
        <w:tc>
          <w:tcPr>
            <w:tcW w:w="922" w:type="dxa"/>
            <w:vMerge w:val="restart"/>
            <w:noWrap w:val="0"/>
            <w:vAlign w:val="center"/>
          </w:tcPr>
          <w:p w14:paraId="01DB3DB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常住地</w:t>
            </w:r>
          </w:p>
        </w:tc>
        <w:tc>
          <w:tcPr>
            <w:tcW w:w="4919" w:type="dxa"/>
            <w:gridSpan w:val="4"/>
            <w:noWrap w:val="0"/>
            <w:vAlign w:val="center"/>
          </w:tcPr>
          <w:p w14:paraId="483068B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资格证明(附复印件)</w:t>
            </w:r>
          </w:p>
        </w:tc>
      </w:tr>
      <w:tr w14:paraId="13B41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43" w:type="dxa"/>
            <w:vMerge w:val="continue"/>
            <w:noWrap w:val="0"/>
            <w:vAlign w:val="center"/>
          </w:tcPr>
          <w:p w14:paraId="7233551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vMerge w:val="continue"/>
            <w:noWrap w:val="0"/>
            <w:vAlign w:val="center"/>
          </w:tcPr>
          <w:p w14:paraId="53FDA05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vMerge w:val="continue"/>
            <w:noWrap w:val="0"/>
            <w:vAlign w:val="center"/>
          </w:tcPr>
          <w:p w14:paraId="5A2760DE">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vMerge w:val="continue"/>
            <w:noWrap w:val="0"/>
            <w:vAlign w:val="center"/>
          </w:tcPr>
          <w:p w14:paraId="57502D2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vMerge w:val="continue"/>
            <w:noWrap w:val="0"/>
            <w:vAlign w:val="center"/>
          </w:tcPr>
          <w:p w14:paraId="7F340AA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center"/>
          </w:tcPr>
          <w:p w14:paraId="190291AE">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证书名称</w:t>
            </w:r>
          </w:p>
        </w:tc>
        <w:tc>
          <w:tcPr>
            <w:tcW w:w="1022" w:type="dxa"/>
            <w:noWrap w:val="0"/>
            <w:vAlign w:val="center"/>
          </w:tcPr>
          <w:p w14:paraId="363F4A9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级别</w:t>
            </w:r>
          </w:p>
        </w:tc>
        <w:tc>
          <w:tcPr>
            <w:tcW w:w="1232" w:type="dxa"/>
            <w:noWrap w:val="0"/>
            <w:vAlign w:val="center"/>
          </w:tcPr>
          <w:p w14:paraId="1C51FFE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证号</w:t>
            </w:r>
          </w:p>
        </w:tc>
        <w:tc>
          <w:tcPr>
            <w:tcW w:w="1229" w:type="dxa"/>
            <w:noWrap w:val="0"/>
            <w:vAlign w:val="center"/>
          </w:tcPr>
          <w:p w14:paraId="4ED848F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专业</w:t>
            </w:r>
          </w:p>
        </w:tc>
      </w:tr>
      <w:tr w14:paraId="6B4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643" w:type="dxa"/>
            <w:vMerge w:val="restart"/>
            <w:noWrap w:val="0"/>
            <w:vAlign w:val="top"/>
          </w:tcPr>
          <w:p w14:paraId="7B5BE6A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管</w:t>
            </w:r>
          </w:p>
          <w:p w14:paraId="7F69463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理</w:t>
            </w:r>
          </w:p>
          <w:p w14:paraId="559B22C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人</w:t>
            </w:r>
          </w:p>
          <w:p w14:paraId="7FCB365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员</w:t>
            </w:r>
          </w:p>
        </w:tc>
        <w:tc>
          <w:tcPr>
            <w:tcW w:w="923" w:type="dxa"/>
            <w:noWrap w:val="0"/>
            <w:vAlign w:val="top"/>
          </w:tcPr>
          <w:p w14:paraId="76AAD592">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5159BCD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67074F3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378947E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6C1EEC85">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159FC69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1543A4E7">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37638BF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1E6E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1" w:hRule="atLeast"/>
          <w:jc w:val="center"/>
        </w:trPr>
        <w:tc>
          <w:tcPr>
            <w:tcW w:w="643" w:type="dxa"/>
            <w:vMerge w:val="continue"/>
            <w:noWrap w:val="0"/>
            <w:vAlign w:val="top"/>
          </w:tcPr>
          <w:p w14:paraId="74FB7A16">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41BFBF7E">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78DC1B22">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33CC9A5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018D828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3B55185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4AA37BC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6703155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278D427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7DBB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43" w:type="dxa"/>
            <w:vMerge w:val="continue"/>
            <w:noWrap w:val="0"/>
            <w:vAlign w:val="top"/>
          </w:tcPr>
          <w:p w14:paraId="24CE08B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5E80058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7890E9F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657EFE2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2FAEB2D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7B8BC35E">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7F77C5B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6D30504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091D22A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0DDD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643" w:type="dxa"/>
            <w:vMerge w:val="restart"/>
            <w:noWrap w:val="0"/>
            <w:vAlign w:val="top"/>
          </w:tcPr>
          <w:p w14:paraId="1132A0D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技</w:t>
            </w:r>
          </w:p>
          <w:p w14:paraId="433AF32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术</w:t>
            </w:r>
          </w:p>
          <w:p w14:paraId="7DA8838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人</w:t>
            </w:r>
          </w:p>
          <w:p w14:paraId="24DFE7E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员</w:t>
            </w:r>
          </w:p>
        </w:tc>
        <w:tc>
          <w:tcPr>
            <w:tcW w:w="923" w:type="dxa"/>
            <w:noWrap w:val="0"/>
            <w:vAlign w:val="top"/>
          </w:tcPr>
          <w:p w14:paraId="1ABF8C0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68199E3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5D9836A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50928BC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657E8AF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65C15BE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2F23E916">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2787D97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6F463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643" w:type="dxa"/>
            <w:vMerge w:val="continue"/>
            <w:noWrap w:val="0"/>
            <w:vAlign w:val="top"/>
          </w:tcPr>
          <w:p w14:paraId="12C75507">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18DBCDCE">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4866A07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4B71000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6FD2EB02">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3A67CE20">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11B567D9">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7467637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232F1F5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6F6A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643" w:type="dxa"/>
            <w:vMerge w:val="continue"/>
            <w:noWrap w:val="0"/>
            <w:vAlign w:val="top"/>
          </w:tcPr>
          <w:p w14:paraId="3462327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014A5FB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446790B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6B772814">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740482C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1C9FAE0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2401233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2E36BA72">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426D9AA2">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5116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43" w:type="dxa"/>
            <w:vMerge w:val="restart"/>
            <w:noWrap w:val="0"/>
            <w:vAlign w:val="center"/>
          </w:tcPr>
          <w:p w14:paraId="5A9DC15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w:t>
            </w:r>
          </w:p>
          <w:p w14:paraId="6AFD9878">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服务</w:t>
            </w:r>
          </w:p>
          <w:p w14:paraId="190F1FA7">
            <w:pPr>
              <w:keepNext w:val="0"/>
              <w:keepLines w:val="0"/>
              <w:pageBreakBefore w:val="0"/>
              <w:kinsoku/>
              <w:overflowPunct/>
              <w:topLinePunct w:val="0"/>
              <w:bidi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人员</w:t>
            </w:r>
          </w:p>
        </w:tc>
        <w:tc>
          <w:tcPr>
            <w:tcW w:w="923" w:type="dxa"/>
            <w:noWrap w:val="0"/>
            <w:vAlign w:val="top"/>
          </w:tcPr>
          <w:p w14:paraId="4E4A9346">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246DD2B1">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29761C7A">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2" w:type="dxa"/>
            <w:noWrap w:val="0"/>
            <w:vAlign w:val="top"/>
          </w:tcPr>
          <w:p w14:paraId="252AD76D">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436" w:type="dxa"/>
            <w:noWrap w:val="0"/>
            <w:vAlign w:val="top"/>
          </w:tcPr>
          <w:p w14:paraId="49512127">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022" w:type="dxa"/>
            <w:noWrap w:val="0"/>
            <w:vAlign w:val="top"/>
          </w:tcPr>
          <w:p w14:paraId="57698B73">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32" w:type="dxa"/>
            <w:noWrap w:val="0"/>
            <w:vAlign w:val="top"/>
          </w:tcPr>
          <w:p w14:paraId="4CE863A5">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1229" w:type="dxa"/>
            <w:noWrap w:val="0"/>
            <w:vAlign w:val="top"/>
          </w:tcPr>
          <w:p w14:paraId="730D4477">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r>
      <w:tr w14:paraId="4932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643" w:type="dxa"/>
            <w:vMerge w:val="continue"/>
            <w:noWrap w:val="0"/>
            <w:vAlign w:val="top"/>
          </w:tcPr>
          <w:p w14:paraId="73C937C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7A6D4ACB">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73B68390">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923" w:type="dxa"/>
            <w:noWrap w:val="0"/>
            <w:vAlign w:val="top"/>
          </w:tcPr>
          <w:p w14:paraId="56924A95">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922" w:type="dxa"/>
            <w:noWrap w:val="0"/>
            <w:vAlign w:val="top"/>
          </w:tcPr>
          <w:p w14:paraId="65167C68">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436" w:type="dxa"/>
            <w:noWrap w:val="0"/>
            <w:vAlign w:val="top"/>
          </w:tcPr>
          <w:p w14:paraId="7E0F2BE6">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022" w:type="dxa"/>
            <w:noWrap w:val="0"/>
            <w:vAlign w:val="top"/>
          </w:tcPr>
          <w:p w14:paraId="5C734798">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232" w:type="dxa"/>
            <w:noWrap w:val="0"/>
            <w:vAlign w:val="top"/>
          </w:tcPr>
          <w:p w14:paraId="64638A77">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229" w:type="dxa"/>
            <w:noWrap w:val="0"/>
            <w:vAlign w:val="top"/>
          </w:tcPr>
          <w:p w14:paraId="709C8CE8">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r>
      <w:tr w14:paraId="0A89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643" w:type="dxa"/>
            <w:vMerge w:val="continue"/>
            <w:noWrap w:val="0"/>
            <w:vAlign w:val="top"/>
          </w:tcPr>
          <w:p w14:paraId="2CC3B52F">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3" w:type="dxa"/>
            <w:noWrap w:val="0"/>
            <w:vAlign w:val="top"/>
          </w:tcPr>
          <w:p w14:paraId="4F22968C">
            <w:pPr>
              <w:keepNext w:val="0"/>
              <w:keepLines w:val="0"/>
              <w:pageBreakBefore w:val="0"/>
              <w:kinsoku/>
              <w:overflowPunct/>
              <w:topLinePunct w:val="0"/>
              <w:bidi w:val="0"/>
              <w:spacing w:line="360" w:lineRule="auto"/>
              <w:jc w:val="center"/>
              <w:rPr>
                <w:rFonts w:hint="eastAsia" w:ascii="宋体" w:hAnsi="宋体" w:eastAsia="宋体" w:cs="宋体"/>
                <w:sz w:val="24"/>
                <w:szCs w:val="24"/>
              </w:rPr>
            </w:pPr>
          </w:p>
        </w:tc>
        <w:tc>
          <w:tcPr>
            <w:tcW w:w="921" w:type="dxa"/>
            <w:noWrap w:val="0"/>
            <w:vAlign w:val="top"/>
          </w:tcPr>
          <w:p w14:paraId="5B16AC03">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923" w:type="dxa"/>
            <w:noWrap w:val="0"/>
            <w:vAlign w:val="top"/>
          </w:tcPr>
          <w:p w14:paraId="08CDBB70">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922" w:type="dxa"/>
            <w:noWrap w:val="0"/>
            <w:vAlign w:val="top"/>
          </w:tcPr>
          <w:p w14:paraId="1AF777BE">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436" w:type="dxa"/>
            <w:noWrap w:val="0"/>
            <w:vAlign w:val="top"/>
          </w:tcPr>
          <w:p w14:paraId="14DC0D94">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022" w:type="dxa"/>
            <w:noWrap w:val="0"/>
            <w:vAlign w:val="top"/>
          </w:tcPr>
          <w:p w14:paraId="3760668D">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232" w:type="dxa"/>
            <w:noWrap w:val="0"/>
            <w:vAlign w:val="top"/>
          </w:tcPr>
          <w:p w14:paraId="187D3A37">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c>
          <w:tcPr>
            <w:tcW w:w="1229" w:type="dxa"/>
            <w:noWrap w:val="0"/>
            <w:vAlign w:val="top"/>
          </w:tcPr>
          <w:p w14:paraId="013F67D7">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tc>
      </w:tr>
    </w:tbl>
    <w:p w14:paraId="59F61EE6">
      <w:pPr>
        <w:keepNext w:val="0"/>
        <w:keepLines w:val="0"/>
        <w:pageBreakBefore w:val="0"/>
        <w:kinsoku/>
        <w:overflowPunct/>
        <w:topLinePunct w:val="0"/>
        <w:bidi w:val="0"/>
        <w:adjustRightInd w:val="0"/>
        <w:spacing w:line="360" w:lineRule="auto"/>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注：投标人根据自身实际情况填写，对不涉及的内容可填写“/”。</w:t>
      </w:r>
    </w:p>
    <w:p w14:paraId="0871478F">
      <w:pPr>
        <w:keepNext w:val="0"/>
        <w:keepLines w:val="0"/>
        <w:pageBreakBefore w:val="0"/>
        <w:kinsoku/>
        <w:overflowPunct/>
        <w:topLinePunct w:val="0"/>
        <w:bidi w:val="0"/>
        <w:spacing w:line="360" w:lineRule="auto"/>
        <w:rPr>
          <w:rFonts w:hint="eastAsia" w:ascii="宋体" w:hAnsi="宋体" w:eastAsia="宋体" w:cs="宋体"/>
          <w:bCs/>
          <w:sz w:val="24"/>
          <w:szCs w:val="24"/>
        </w:rPr>
      </w:pPr>
    </w:p>
    <w:p w14:paraId="75E48BF7">
      <w:pPr>
        <w:keepNext w:val="0"/>
        <w:keepLines w:val="0"/>
        <w:pageBreakBefore w:val="0"/>
        <w:kinsoku/>
        <w:overflowPunct/>
        <w:topLinePunct w:val="0"/>
        <w:bidi w:val="0"/>
        <w:spacing w:line="360" w:lineRule="auto"/>
        <w:jc w:val="center"/>
        <w:rPr>
          <w:rFonts w:hint="eastAsia" w:ascii="宋体" w:hAnsi="宋体" w:eastAsia="宋体" w:cs="宋体"/>
          <w:bCs/>
          <w:sz w:val="24"/>
          <w:szCs w:val="24"/>
        </w:rPr>
      </w:pPr>
    </w:p>
    <w:p w14:paraId="5522B2F6">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sz w:val="24"/>
          <w:szCs w:val="24"/>
        </w:rPr>
        <w:t>供</w:t>
      </w:r>
      <w:r>
        <w:rPr>
          <w:rFonts w:hint="eastAsia" w:ascii="宋体" w:hAnsi="宋体" w:eastAsia="宋体" w:cs="宋体"/>
          <w:color w:val="auto"/>
          <w:sz w:val="24"/>
          <w:szCs w:val="24"/>
          <w:highlight w:val="none"/>
        </w:rPr>
        <w:t>投标人名称：</w:t>
      </w:r>
      <w:r>
        <w:rPr>
          <w:rFonts w:hint="eastAsia" w:ascii="宋体" w:hAnsi="宋体" w:eastAsia="宋体" w:cs="宋体"/>
          <w:color w:val="auto"/>
          <w:sz w:val="24"/>
          <w:szCs w:val="24"/>
          <w:highlight w:val="none"/>
          <w:u w:val="single"/>
        </w:rPr>
        <w:t xml:space="preserve">  （投标人全称）  </w:t>
      </w:r>
      <w:r>
        <w:rPr>
          <w:rFonts w:hint="eastAsia" w:ascii="宋体" w:hAnsi="宋体" w:eastAsia="宋体" w:cs="宋体"/>
          <w:color w:val="auto"/>
          <w:sz w:val="24"/>
          <w:szCs w:val="24"/>
          <w:highlight w:val="none"/>
        </w:rPr>
        <w:t>（加盖公章）</w:t>
      </w:r>
    </w:p>
    <w:p w14:paraId="4CA05C4E">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法定代表人或授权代表：</w:t>
      </w:r>
      <w:r>
        <w:rPr>
          <w:rFonts w:hint="eastAsia" w:ascii="宋体" w:hAnsi="宋体" w:eastAsia="宋体" w:cs="宋体"/>
          <w:color w:val="auto"/>
          <w:sz w:val="24"/>
          <w:szCs w:val="24"/>
          <w:highlight w:val="none"/>
          <w:u w:val="single"/>
        </w:rPr>
        <w:t xml:space="preserve">    （签</w:t>
      </w:r>
      <w:r>
        <w:rPr>
          <w:rFonts w:hint="eastAsia" w:ascii="宋体" w:hAnsi="宋体" w:eastAsia="宋体" w:cs="宋体"/>
          <w:color w:val="auto"/>
          <w:sz w:val="24"/>
          <w:szCs w:val="24"/>
          <w:highlight w:val="none"/>
          <w:u w:val="single"/>
          <w:lang w:val="en-US" w:eastAsia="zh-CN"/>
        </w:rPr>
        <w:t>字</w:t>
      </w:r>
      <w:r>
        <w:rPr>
          <w:rFonts w:hint="eastAsia" w:ascii="宋体" w:hAnsi="宋体" w:eastAsia="宋体" w:cs="宋体"/>
          <w:color w:val="auto"/>
          <w:sz w:val="24"/>
          <w:szCs w:val="24"/>
          <w:highlight w:val="none"/>
          <w:u w:val="single"/>
        </w:rPr>
        <w:t xml:space="preserve">或盖章）   </w:t>
      </w:r>
    </w:p>
    <w:p w14:paraId="359A7717">
      <w:pPr>
        <w:pStyle w:val="19"/>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883C26D">
      <w:pPr>
        <w:keepNext w:val="0"/>
        <w:keepLines w:val="0"/>
        <w:pageBreakBefore w:val="0"/>
        <w:kinsoku/>
        <w:overflowPunct/>
        <w:topLinePunct w:val="0"/>
        <w:bidi w:val="0"/>
        <w:spacing w:line="360" w:lineRule="auto"/>
        <w:ind w:firstLine="420" w:firstLineChars="175"/>
        <w:rPr>
          <w:rFonts w:hint="eastAsia" w:ascii="宋体" w:hAnsi="宋体" w:eastAsia="宋体" w:cs="宋体"/>
          <w:bCs/>
          <w:sz w:val="24"/>
          <w:szCs w:val="24"/>
        </w:rPr>
      </w:pPr>
    </w:p>
    <w:p w14:paraId="1B931782">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p>
    <w:p w14:paraId="0668881E">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附件</w:t>
      </w:r>
      <w:r>
        <w:rPr>
          <w:rFonts w:hint="eastAsia" w:ascii="宋体" w:hAnsi="宋体" w:eastAsia="宋体" w:cs="宋体"/>
          <w:b/>
          <w:bCs/>
          <w:color w:val="auto"/>
          <w:sz w:val="24"/>
          <w:szCs w:val="24"/>
          <w:highlight w:val="none"/>
          <w:lang w:val="en-US" w:eastAsia="zh-CN"/>
        </w:rPr>
        <w:t xml:space="preserve">3 </w:t>
      </w:r>
      <w:r>
        <w:rPr>
          <w:rFonts w:hint="eastAsia" w:ascii="宋体" w:hAnsi="宋体" w:eastAsia="宋体" w:cs="宋体"/>
          <w:b/>
          <w:bCs/>
          <w:color w:val="auto"/>
          <w:sz w:val="24"/>
          <w:szCs w:val="24"/>
          <w:highlight w:val="none"/>
        </w:rPr>
        <w:t>投标文件装订顺序</w:t>
      </w:r>
    </w:p>
    <w:p w14:paraId="09CC741A">
      <w:pPr>
        <w:pStyle w:val="6"/>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color w:val="auto"/>
          <w:sz w:val="24"/>
          <w:szCs w:val="24"/>
          <w:highlight w:val="none"/>
          <w:lang w:val="en-US" w:eastAsia="zh-CN"/>
        </w:rPr>
      </w:pPr>
    </w:p>
    <w:p w14:paraId="30CA95EF">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pacing w:val="8"/>
          <w:sz w:val="24"/>
          <w:szCs w:val="24"/>
          <w:highlight w:val="none"/>
        </w:rPr>
      </w:pPr>
      <w:r>
        <w:rPr>
          <w:rFonts w:hint="eastAsia" w:ascii="宋体" w:hAnsi="宋体" w:eastAsia="宋体" w:cs="宋体"/>
          <w:bCs/>
          <w:color w:val="auto"/>
          <w:spacing w:val="8"/>
          <w:sz w:val="24"/>
          <w:szCs w:val="24"/>
          <w:highlight w:val="none"/>
        </w:rPr>
        <w:t>1</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bCs/>
          <w:color w:val="auto"/>
          <w:spacing w:val="8"/>
          <w:sz w:val="24"/>
          <w:szCs w:val="24"/>
          <w:highlight w:val="none"/>
        </w:rPr>
        <w:t>封面（公司、项目、联系人、联系方式）</w:t>
      </w:r>
    </w:p>
    <w:p w14:paraId="0053E3BA">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pacing w:val="8"/>
          <w:sz w:val="24"/>
          <w:szCs w:val="24"/>
          <w:highlight w:val="none"/>
        </w:rPr>
      </w:pPr>
      <w:r>
        <w:rPr>
          <w:rFonts w:hint="eastAsia" w:ascii="宋体" w:hAnsi="宋体" w:eastAsia="宋体" w:cs="宋体"/>
          <w:bCs/>
          <w:color w:val="auto"/>
          <w:spacing w:val="8"/>
          <w:sz w:val="24"/>
          <w:szCs w:val="24"/>
          <w:highlight w:val="none"/>
        </w:rPr>
        <w:t>2</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bCs/>
          <w:color w:val="auto"/>
          <w:spacing w:val="8"/>
          <w:sz w:val="24"/>
          <w:szCs w:val="24"/>
          <w:highlight w:val="none"/>
        </w:rPr>
        <w:t>目录</w:t>
      </w:r>
    </w:p>
    <w:p w14:paraId="6B62CCB6">
      <w:pPr>
        <w:keepNext w:val="0"/>
        <w:keepLines w:val="0"/>
        <w:pageBreakBefore w:val="0"/>
        <w:numPr>
          <w:ilvl w:val="0"/>
          <w:numId w:val="5"/>
        </w:numPr>
        <w:kinsoku/>
        <w:wordWrap/>
        <w:overflowPunct/>
        <w:topLinePunct w:val="0"/>
        <w:autoSpaceDE/>
        <w:autoSpaceDN/>
        <w:bidi w:val="0"/>
        <w:adjustRightInd w:val="0"/>
        <w:spacing w:beforeAutospacing="0" w:afterAutospacing="0" w:line="360" w:lineRule="auto"/>
        <w:ind w:left="420" w:leftChars="0" w:hanging="420" w:firstLineChars="0"/>
        <w:jc w:val="both"/>
        <w:rPr>
          <w:rFonts w:hint="eastAsia" w:ascii="宋体" w:hAnsi="宋体" w:eastAsia="宋体" w:cs="宋体"/>
          <w:b/>
          <w:color w:val="auto"/>
          <w:sz w:val="24"/>
          <w:szCs w:val="24"/>
          <w:highlight w:val="none"/>
        </w:rPr>
      </w:pPr>
      <w:r>
        <w:rPr>
          <w:rFonts w:hint="eastAsia" w:ascii="宋体" w:hAnsi="宋体" w:eastAsia="宋体" w:cs="宋体"/>
          <w:bCs/>
          <w:color w:val="auto"/>
          <w:spacing w:val="8"/>
          <w:sz w:val="24"/>
          <w:szCs w:val="24"/>
          <w:highlight w:val="none"/>
        </w:rPr>
        <w:t>3</w:t>
      </w:r>
      <w:r>
        <w:rPr>
          <w:rFonts w:hint="eastAsia" w:ascii="宋体" w:hAnsi="宋体" w:eastAsia="宋体" w:cs="宋体"/>
          <w:bCs/>
          <w:color w:val="auto"/>
          <w:spacing w:val="8"/>
          <w:sz w:val="24"/>
          <w:szCs w:val="24"/>
          <w:highlight w:val="none"/>
          <w:lang w:val="en-US" w:eastAsia="zh-CN"/>
        </w:rPr>
        <w:t>.</w:t>
      </w:r>
      <w:r>
        <w:rPr>
          <w:rFonts w:hint="eastAsia" w:ascii="宋体" w:hAnsi="宋体" w:eastAsia="宋体" w:cs="宋体"/>
          <w:color w:val="auto"/>
          <w:sz w:val="24"/>
          <w:szCs w:val="24"/>
          <w:highlight w:val="none"/>
        </w:rPr>
        <w:t>报价一览表</w:t>
      </w:r>
    </w:p>
    <w:p w14:paraId="738C01AC">
      <w:pPr>
        <w:keepNext w:val="0"/>
        <w:keepLines w:val="0"/>
        <w:pageBreakBefore w:val="0"/>
        <w:numPr>
          <w:ilvl w:val="0"/>
          <w:numId w:val="5"/>
        </w:numPr>
        <w:kinsoku/>
        <w:wordWrap/>
        <w:overflowPunct/>
        <w:topLinePunct w:val="0"/>
        <w:autoSpaceDE/>
        <w:autoSpaceDN/>
        <w:bidi w:val="0"/>
        <w:adjustRightInd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企业营业执照（复印件）</w:t>
      </w:r>
    </w:p>
    <w:p w14:paraId="6566393E">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.企业</w:t>
      </w:r>
      <w:r>
        <w:rPr>
          <w:rFonts w:hint="eastAsia" w:ascii="宋体" w:hAnsi="宋体" w:eastAsia="宋体" w:cs="宋体"/>
          <w:color w:val="auto"/>
          <w:sz w:val="24"/>
          <w:szCs w:val="24"/>
          <w:highlight w:val="none"/>
        </w:rPr>
        <w:t>资质</w:t>
      </w:r>
      <w:r>
        <w:rPr>
          <w:rFonts w:hint="eastAsia" w:ascii="宋体" w:hAnsi="宋体" w:eastAsia="宋体" w:cs="宋体"/>
          <w:color w:val="auto"/>
          <w:sz w:val="24"/>
          <w:szCs w:val="24"/>
          <w:highlight w:val="none"/>
          <w:lang w:val="en-US" w:eastAsia="zh-CN"/>
        </w:rPr>
        <w:t>文件及相关承诺函</w:t>
      </w:r>
    </w:p>
    <w:p w14:paraId="5CA29FB4">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lang w:eastAsia="zh-CN"/>
        </w:rPr>
      </w:pPr>
      <w:r>
        <w:rPr>
          <w:rFonts w:hint="eastAsia" w:ascii="宋体" w:hAnsi="宋体" w:eastAsia="宋体" w:cs="宋体"/>
          <w:bCs/>
          <w:color w:val="auto"/>
          <w:sz w:val="24"/>
          <w:szCs w:val="24"/>
          <w:highlight w:val="none"/>
          <w:lang w:val="en-US" w:eastAsia="zh-CN"/>
        </w:rPr>
        <w:t>6.本项目中任职的人员简历表</w:t>
      </w:r>
    </w:p>
    <w:p w14:paraId="1CB553D4">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bCs/>
          <w:color w:val="auto"/>
          <w:spacing w:val="8"/>
          <w:sz w:val="24"/>
          <w:szCs w:val="24"/>
          <w:highlight w:val="none"/>
        </w:rPr>
        <w:t>售后</w:t>
      </w:r>
      <w:r>
        <w:rPr>
          <w:rFonts w:hint="eastAsia" w:ascii="宋体" w:hAnsi="宋体" w:eastAsia="宋体" w:cs="宋体"/>
          <w:bCs/>
          <w:color w:val="auto"/>
          <w:sz w:val="24"/>
          <w:szCs w:val="24"/>
          <w:highlight w:val="none"/>
        </w:rPr>
        <w:t>服务承诺</w:t>
      </w:r>
    </w:p>
    <w:p w14:paraId="1CEB7F80">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sz w:val="24"/>
          <w:szCs w:val="24"/>
          <w:lang w:val="en-US" w:eastAsia="zh-CN"/>
        </w:rPr>
      </w:pPr>
      <w:r>
        <w:rPr>
          <w:rFonts w:hint="eastAsia" w:ascii="宋体" w:hAnsi="宋体" w:eastAsia="宋体" w:cs="宋体"/>
          <w:bCs/>
          <w:color w:val="auto"/>
          <w:sz w:val="24"/>
          <w:szCs w:val="24"/>
          <w:highlight w:val="none"/>
          <w:lang w:val="en-US" w:eastAsia="zh-CN"/>
        </w:rPr>
        <w:t>8.投标人认为需要提供的其它文件</w:t>
      </w:r>
    </w:p>
    <w:p w14:paraId="16CE40BD">
      <w:pPr>
        <w:keepNext w:val="0"/>
        <w:keepLines w:val="0"/>
        <w:pageBreakBefore w:val="0"/>
        <w:numPr>
          <w:ilvl w:val="0"/>
          <w:numId w:val="5"/>
        </w:numPr>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9.联合体协议书（如涉及）</w:t>
      </w:r>
    </w:p>
    <w:p w14:paraId="5370D263">
      <w:pPr>
        <w:keepNext w:val="0"/>
        <w:keepLines w:val="0"/>
        <w:pageBreakBefore w:val="0"/>
        <w:numPr>
          <w:ilvl w:val="0"/>
          <w:numId w:val="5"/>
        </w:numPr>
        <w:tabs>
          <w:tab w:val="left" w:pos="0"/>
        </w:tabs>
        <w:kinsoku/>
        <w:wordWrap/>
        <w:overflowPunct/>
        <w:topLinePunct w:val="0"/>
        <w:autoSpaceDE/>
        <w:autoSpaceDN/>
        <w:bidi w:val="0"/>
        <w:spacing w:beforeAutospacing="0" w:afterAutospacing="0" w:line="360" w:lineRule="auto"/>
        <w:ind w:left="420" w:leftChars="0" w:hanging="420" w:firstLineChars="0"/>
        <w:jc w:val="both"/>
        <w:rPr>
          <w:rFonts w:hint="eastAsia" w:ascii="宋体" w:hAnsi="宋体" w:eastAsia="宋体" w:cs="宋体"/>
          <w:bCs/>
          <w:color w:val="auto"/>
          <w:sz w:val="24"/>
          <w:szCs w:val="24"/>
          <w:highlight w:val="none"/>
        </w:rPr>
      </w:pPr>
      <w:r>
        <w:rPr>
          <w:rFonts w:hint="eastAsia" w:ascii="宋体" w:hAnsi="宋体" w:eastAsia="宋体" w:cs="宋体"/>
          <w:bCs/>
          <w:color w:val="auto"/>
          <w:spacing w:val="8"/>
          <w:sz w:val="24"/>
          <w:szCs w:val="24"/>
          <w:highlight w:val="none"/>
          <w:lang w:val="en-US" w:eastAsia="zh-CN"/>
        </w:rPr>
        <w:t>10.</w:t>
      </w:r>
      <w:r>
        <w:rPr>
          <w:rFonts w:hint="eastAsia" w:ascii="宋体" w:hAnsi="宋体" w:eastAsia="宋体" w:cs="宋体"/>
          <w:bCs/>
          <w:color w:val="auto"/>
          <w:spacing w:val="8"/>
          <w:sz w:val="24"/>
          <w:szCs w:val="24"/>
          <w:highlight w:val="none"/>
        </w:rPr>
        <w:t>封底</w:t>
      </w:r>
    </w:p>
    <w:p w14:paraId="645D714C">
      <w:pPr>
        <w:keepNext w:val="0"/>
        <w:keepLines w:val="0"/>
        <w:pageBreakBefore w:val="0"/>
        <w:kinsoku/>
        <w:wordWrap/>
        <w:overflowPunct/>
        <w:topLinePunct w:val="0"/>
        <w:autoSpaceDE/>
        <w:autoSpaceDN/>
        <w:bidi w:val="0"/>
        <w:spacing w:beforeAutospacing="0" w:after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注：请务必按以上顺序装订资料，如有非中文资料，请同时提供中文翻译件。</w:t>
      </w:r>
    </w:p>
    <w:p w14:paraId="5423FD30">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7" w:firstLineChars="202"/>
        <w:jc w:val="both"/>
        <w:textAlignment w:val="baseline"/>
        <w:rPr>
          <w:rFonts w:hint="eastAsia" w:ascii="宋体" w:hAnsi="宋体" w:eastAsia="宋体" w:cs="宋体"/>
          <w:b/>
          <w:bCs/>
          <w:i w:val="0"/>
          <w:caps w:val="0"/>
          <w:color w:val="auto"/>
          <w:spacing w:val="0"/>
          <w:w w:val="100"/>
          <w:sz w:val="24"/>
          <w:szCs w:val="24"/>
          <w:highlight w:val="none"/>
        </w:rPr>
      </w:pPr>
    </w:p>
    <w:p w14:paraId="75A1FD60">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6CA1CCB4">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23607AFC">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32F61054">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3AD4CADB">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35A4F6A5">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p>
    <w:p w14:paraId="05ED56CC">
      <w:pPr>
        <w:pStyle w:val="11"/>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614A56D3">
      <w:pPr>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512F0566">
      <w:pPr>
        <w:pStyle w:val="11"/>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4843A152">
      <w:pPr>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4D2D3072">
      <w:pPr>
        <w:pStyle w:val="11"/>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23BF5608">
      <w:pPr>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2C0F3C9A">
      <w:pPr>
        <w:pStyle w:val="11"/>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318F3037">
      <w:pPr>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5837157A">
      <w:pPr>
        <w:pStyle w:val="11"/>
        <w:keepNext w:val="0"/>
        <w:keepLines w:val="0"/>
        <w:pageBreakBefore w:val="0"/>
        <w:kinsoku/>
        <w:overflowPunct/>
        <w:topLinePunct w:val="0"/>
        <w:bidi w:val="0"/>
        <w:spacing w:line="360" w:lineRule="auto"/>
        <w:rPr>
          <w:rFonts w:hint="eastAsia" w:ascii="宋体" w:hAnsi="宋体" w:eastAsia="宋体" w:cs="宋体"/>
          <w:b w:val="0"/>
          <w:i w:val="0"/>
          <w:caps w:val="0"/>
          <w:color w:val="auto"/>
          <w:spacing w:val="0"/>
          <w:w w:val="100"/>
          <w:sz w:val="24"/>
          <w:szCs w:val="24"/>
          <w:highlight w:val="none"/>
        </w:rPr>
      </w:pPr>
    </w:p>
    <w:p w14:paraId="79FD7ADA">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p>
    <w:p w14:paraId="222CBF11">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bCs/>
          <w:i w:val="0"/>
          <w:caps w:val="0"/>
          <w:color w:val="auto"/>
          <w:spacing w:val="0"/>
          <w:w w:val="100"/>
          <w:sz w:val="24"/>
          <w:szCs w:val="24"/>
          <w:highlight w:val="none"/>
        </w:rPr>
      </w:pPr>
      <w:r>
        <w:rPr>
          <w:rFonts w:hint="eastAsia" w:ascii="宋体" w:hAnsi="宋体" w:eastAsia="宋体" w:cs="宋体"/>
          <w:b/>
          <w:bCs/>
          <w:i w:val="0"/>
          <w:caps w:val="0"/>
          <w:color w:val="auto"/>
          <w:spacing w:val="0"/>
          <w:w w:val="100"/>
          <w:sz w:val="24"/>
          <w:szCs w:val="24"/>
          <w:highlight w:val="none"/>
        </w:rPr>
        <w:t>附件4</w:t>
      </w:r>
    </w:p>
    <w:p w14:paraId="445C7C8A">
      <w:pPr>
        <w:keepNext w:val="0"/>
        <w:keepLines w:val="0"/>
        <w:pageBreakBefore w:val="0"/>
        <w:widowControl w:val="0"/>
        <w:tabs>
          <w:tab w:val="left" w:pos="6645"/>
        </w:tabs>
        <w:kinsoku/>
        <w:wordWrap/>
        <w:overflowPunct/>
        <w:topLinePunct w:val="0"/>
        <w:autoSpaceDE/>
        <w:autoSpaceDN/>
        <w:bidi w:val="0"/>
        <w:adjustRightInd/>
        <w:snapToGrid w:val="0"/>
        <w:spacing w:before="0" w:beforeAutospacing="0" w:after="0" w:afterAutospacing="0" w:line="360" w:lineRule="auto"/>
        <w:jc w:val="center"/>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反商业贿赂承诺书</w:t>
      </w:r>
    </w:p>
    <w:p w14:paraId="7437E803">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为维护卫生行业的整体形象，保证药品、医疗器械、仪器设备、物资、基建工程招投标工作以及药品、试剂销售等工作的合法开展，维护贵院医疗、管理工作的正常秩序，保障广大患者的健康和利益，本厂家、商家、公司特郑重承诺如下：</w:t>
      </w:r>
    </w:p>
    <w:p w14:paraId="34A43653">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一、严格按照《招标投标法》、《药品管理法》、《反不正当竞争法》等有关法律、法规、规章、政策的规定，规范本厂家、商家、公司的药品、医疗器械、设备、物资、基建工程竞标工作以及药品准入贵院以后的销售等工作，保证做到合法竞标、正当竞争、廉洁经营。</w:t>
      </w:r>
    </w:p>
    <w:p w14:paraId="2B4CDAFD">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二、本厂家、商家、公司保证在药品、医疗器械、设备、物资、基建工程竞标工作及药品、试剂销售等工作中承诺做到：</w:t>
      </w:r>
    </w:p>
    <w:p w14:paraId="73EC0ADD">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1</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不与其他投标人相互串通投标报价，损害贵院的合法权益；</w:t>
      </w:r>
    </w:p>
    <w:p w14:paraId="1D045EA6">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2</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不与招标人串通投标，损害国家利益、社会公共利益或他人的合法权益；</w:t>
      </w:r>
    </w:p>
    <w:p w14:paraId="40376B84">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3</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不以向招标人或者评标委员会成员行贿的手段谋取中标；</w:t>
      </w:r>
    </w:p>
    <w:p w14:paraId="3A2CC894">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4</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竞标报价不违反相关法律的规定，也不以他人名义投标或者以其他方式弄虚作假，骗取中标；</w:t>
      </w:r>
    </w:p>
    <w:p w14:paraId="678B002F">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5</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保证不以其他任何方式扰乱贵院的招标工作；</w:t>
      </w:r>
    </w:p>
    <w:p w14:paraId="1765EF18">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6</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保证不在药品销售、医疗器械、设备、物资、基建工程竞标中采取账外暗中给予回扣的手段腐蚀、贿赂医护、药剂人员、干部等其他相关人员；</w:t>
      </w:r>
    </w:p>
    <w:p w14:paraId="13D3B993">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7</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保证不以任何名义包括以宣传费、临床促销费、开单费、处方费、广告费、免费度假、考察旅游、房屋装修等任何名义给予贵院采购人员、药剂人员、医护人员、干部等有关人员以财物或者其他利益；</w:t>
      </w:r>
    </w:p>
    <w:p w14:paraId="26551AB0">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8</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保证不让贵院临床科室、药剂部门以及有关人员登记、统计医生处方或为此提供方便，干扰贵院的正常工作秩序；</w:t>
      </w:r>
    </w:p>
    <w:p w14:paraId="5EEED49F">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9</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保证不以其他任何不正当竞争手段推销药品、医疗器械、设备、物资。</w:t>
      </w:r>
    </w:p>
    <w:p w14:paraId="36164C7F">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三、 本厂家、商家、公司保证竭力维护贵院的声誉，不做任何有损贵院形象的事情。</w:t>
      </w:r>
    </w:p>
    <w:p w14:paraId="1792FC87">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四、 本厂家、商家、公司保证加强对竞标、促销等工作的领导、监督和检查；加强对本厂家、商家、公司工作人员进行相关法律、法规、规章、政策等的教育工作，切实要求本厂家、商家、公司相关工作人员不得采取各类回扣手段腐蚀、贿赂采购、药剂、医护、干部等相关人员。</w:t>
      </w:r>
    </w:p>
    <w:p w14:paraId="259B21A8">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五、</w:t>
      </w:r>
      <w:r>
        <w:rPr>
          <w:rFonts w:hint="eastAsia" w:ascii="宋体" w:hAnsi="宋体" w:eastAsia="宋体" w:cs="宋体"/>
          <w:b w:val="0"/>
          <w:i w:val="0"/>
          <w:caps w:val="0"/>
          <w:color w:val="auto"/>
          <w:spacing w:val="0"/>
          <w:w w:val="100"/>
          <w:sz w:val="24"/>
          <w:szCs w:val="24"/>
          <w:highlight w:val="none"/>
          <w:lang w:val="en-US" w:eastAsia="zh-CN"/>
        </w:rPr>
        <w:t xml:space="preserve"> </w:t>
      </w:r>
      <w:r>
        <w:rPr>
          <w:rFonts w:hint="eastAsia" w:ascii="宋体" w:hAnsi="宋体" w:eastAsia="宋体" w:cs="宋体"/>
          <w:b w:val="0"/>
          <w:i w:val="0"/>
          <w:caps w:val="0"/>
          <w:color w:val="auto"/>
          <w:spacing w:val="0"/>
          <w:w w:val="100"/>
          <w:sz w:val="24"/>
          <w:szCs w:val="24"/>
          <w:highlight w:val="none"/>
        </w:rPr>
        <w:t>对本厂家、商家、公司及本厂家、商家、公司工作人员采取以上手段竞标、促销等，干扰贵院正常工作秩序，损害贵院形象的，本厂家、商家、公司保证：</w:t>
      </w:r>
    </w:p>
    <w:p w14:paraId="354F6D12">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1</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对尚处在竞标阶段的，贵院有权取消本厂家、商家、公司的竞标资格；已经中标的，贵院有权取消中标；对已经获得准入资格的，贵院有权随时取消本厂家、商家、公司的准入资格；</w:t>
      </w:r>
    </w:p>
    <w:p w14:paraId="25314268">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2</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对本厂家、商家、公司相关工作人员作出严肃处理；</w:t>
      </w:r>
    </w:p>
    <w:p w14:paraId="340E2E5F">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3</w:t>
      </w:r>
      <w:r>
        <w:rPr>
          <w:rFonts w:hint="eastAsia" w:ascii="宋体" w:hAnsi="宋体" w:eastAsia="宋体" w:cs="宋体"/>
          <w:b w:val="0"/>
          <w:i w:val="0"/>
          <w:caps w:val="0"/>
          <w:color w:val="auto"/>
          <w:spacing w:val="0"/>
          <w:w w:val="100"/>
          <w:sz w:val="24"/>
          <w:szCs w:val="24"/>
          <w:highlight w:val="none"/>
          <w:lang w:val="en-US" w:eastAsia="zh-CN"/>
        </w:rPr>
        <w:t>.</w:t>
      </w:r>
      <w:r>
        <w:rPr>
          <w:rFonts w:hint="eastAsia" w:ascii="宋体" w:hAnsi="宋体" w:eastAsia="宋体" w:cs="宋体"/>
          <w:b w:val="0"/>
          <w:i w:val="0"/>
          <w:caps w:val="0"/>
          <w:color w:val="auto"/>
          <w:spacing w:val="0"/>
          <w:w w:val="100"/>
          <w:sz w:val="24"/>
          <w:szCs w:val="24"/>
          <w:highlight w:val="none"/>
        </w:rPr>
        <w:t>对由于本厂家、商家、公司或本厂家、商家、公司工作人员的上述行为给贵院造成经济或名誉损失的，由本厂家、商家、公司负责，并愿意承担全部民事赔偿责任。</w:t>
      </w:r>
    </w:p>
    <w:p w14:paraId="6E8E1D97">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 xml:space="preserve">六、 采购物资名称：                                   </w:t>
      </w:r>
    </w:p>
    <w:p w14:paraId="35900DDA">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本《承诺书》一式</w:t>
      </w:r>
      <w:r>
        <w:rPr>
          <w:rFonts w:hint="eastAsia" w:ascii="宋体" w:hAnsi="宋体" w:eastAsia="宋体" w:cs="宋体"/>
          <w:b w:val="0"/>
          <w:i w:val="0"/>
          <w:caps w:val="0"/>
          <w:color w:val="auto"/>
          <w:spacing w:val="0"/>
          <w:w w:val="100"/>
          <w:sz w:val="24"/>
          <w:szCs w:val="24"/>
          <w:highlight w:val="none"/>
          <w:lang w:val="en-US" w:eastAsia="zh-CN"/>
        </w:rPr>
        <w:t>二</w:t>
      </w:r>
      <w:r>
        <w:rPr>
          <w:rFonts w:hint="eastAsia" w:ascii="宋体" w:hAnsi="宋体" w:eastAsia="宋体" w:cs="宋体"/>
          <w:b w:val="0"/>
          <w:i w:val="0"/>
          <w:caps w:val="0"/>
          <w:color w:val="auto"/>
          <w:spacing w:val="0"/>
          <w:w w:val="100"/>
          <w:sz w:val="24"/>
          <w:szCs w:val="24"/>
          <w:highlight w:val="none"/>
        </w:rPr>
        <w:t>份（一份由承诺人自存；一份随竞价书传递）</w:t>
      </w:r>
    </w:p>
    <w:p w14:paraId="2CAAC3A7">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baseline"/>
        <w:rPr>
          <w:rFonts w:hint="eastAsia" w:ascii="宋体" w:hAnsi="宋体" w:eastAsia="宋体" w:cs="宋体"/>
          <w:b w:val="0"/>
          <w:i w:val="0"/>
          <w:caps w:val="0"/>
          <w:color w:val="auto"/>
          <w:spacing w:val="0"/>
          <w:w w:val="100"/>
          <w:sz w:val="24"/>
          <w:szCs w:val="24"/>
          <w:highlight w:val="none"/>
        </w:rPr>
      </w:pPr>
    </w:p>
    <w:p w14:paraId="04C89FA7">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lang w:eastAsia="zh-CN"/>
        </w:rPr>
      </w:pPr>
      <w:r>
        <w:rPr>
          <w:rFonts w:hint="eastAsia" w:ascii="宋体" w:hAnsi="宋体" w:eastAsia="宋体" w:cs="宋体"/>
          <w:b w:val="0"/>
          <w:i w:val="0"/>
          <w:caps w:val="0"/>
          <w:color w:val="auto"/>
          <w:spacing w:val="0"/>
          <w:w w:val="100"/>
          <w:sz w:val="24"/>
          <w:szCs w:val="24"/>
          <w:highlight w:val="none"/>
        </w:rPr>
        <w:t>承诺企业名称（公章）</w:t>
      </w:r>
      <w:r>
        <w:rPr>
          <w:rFonts w:hint="eastAsia" w:ascii="宋体" w:hAnsi="宋体" w:eastAsia="宋体" w:cs="宋体"/>
          <w:b w:val="0"/>
          <w:i w:val="0"/>
          <w:caps w:val="0"/>
          <w:color w:val="auto"/>
          <w:spacing w:val="0"/>
          <w:w w:val="100"/>
          <w:sz w:val="24"/>
          <w:szCs w:val="24"/>
          <w:highlight w:val="none"/>
          <w:lang w:eastAsia="zh-CN"/>
        </w:rPr>
        <w:t>：</w:t>
      </w:r>
    </w:p>
    <w:p w14:paraId="6B8A7A25">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 xml:space="preserve">                  </w:t>
      </w:r>
    </w:p>
    <w:p w14:paraId="22423656">
      <w:pPr>
        <w:keepNext w:val="0"/>
        <w:keepLines w:val="0"/>
        <w:pageBreakBefore w:val="0"/>
        <w:widowControl w:val="0"/>
        <w:kinsoku/>
        <w:wordWrap/>
        <w:overflowPunct/>
        <w:topLinePunct w:val="0"/>
        <w:autoSpaceDE/>
        <w:autoSpaceDN/>
        <w:bidi w:val="0"/>
        <w:adjustRightInd/>
        <w:snapToGrid w:val="0"/>
        <w:spacing w:before="0" w:beforeAutospacing="0" w:after="0" w:afterAutospacing="0" w:line="360" w:lineRule="auto"/>
        <w:jc w:val="both"/>
        <w:textAlignment w:val="baseline"/>
        <w:rPr>
          <w:rFonts w:hint="eastAsia" w:ascii="宋体" w:hAnsi="宋体" w:eastAsia="宋体" w:cs="宋体"/>
          <w:b w:val="0"/>
          <w:i w:val="0"/>
          <w:caps w:val="0"/>
          <w:color w:val="auto"/>
          <w:spacing w:val="0"/>
          <w:w w:val="100"/>
          <w:sz w:val="24"/>
          <w:szCs w:val="24"/>
          <w:highlight w:val="none"/>
        </w:rPr>
      </w:pPr>
      <w:r>
        <w:rPr>
          <w:rFonts w:hint="eastAsia" w:ascii="宋体" w:hAnsi="宋体" w:eastAsia="宋体" w:cs="宋体"/>
          <w:b w:val="0"/>
          <w:i w:val="0"/>
          <w:caps w:val="0"/>
          <w:color w:val="auto"/>
          <w:spacing w:val="0"/>
          <w:w w:val="100"/>
          <w:sz w:val="24"/>
          <w:szCs w:val="24"/>
          <w:highlight w:val="none"/>
        </w:rPr>
        <w:t>法人代表或委托代理人（承诺人）</w:t>
      </w:r>
      <w:r>
        <w:rPr>
          <w:rFonts w:hint="eastAsia" w:ascii="宋体" w:hAnsi="宋体" w:eastAsia="宋体" w:cs="宋体"/>
          <w:b w:val="0"/>
          <w:i w:val="0"/>
          <w:caps w:val="0"/>
          <w:color w:val="auto"/>
          <w:spacing w:val="0"/>
          <w:w w:val="100"/>
          <w:sz w:val="24"/>
          <w:szCs w:val="24"/>
          <w:highlight w:val="none"/>
          <w:lang w:eastAsia="zh-CN"/>
        </w:rPr>
        <w:t>：</w:t>
      </w:r>
    </w:p>
    <w:p w14:paraId="6E17E93D">
      <w:pPr>
        <w:pStyle w:val="14"/>
        <w:keepNext w:val="0"/>
        <w:keepLines w:val="0"/>
        <w:pageBreakBefore w:val="0"/>
        <w:kinsoku/>
        <w:wordWrap/>
        <w:overflowPunct/>
        <w:topLinePunct w:val="0"/>
        <w:bidi w:val="0"/>
        <w:spacing w:beforeAutospacing="0" w:line="360" w:lineRule="auto"/>
        <w:rPr>
          <w:rFonts w:hint="eastAsia" w:ascii="宋体" w:hAnsi="宋体" w:eastAsia="宋体" w:cs="宋体"/>
          <w:b w:val="0"/>
          <w:i w:val="0"/>
          <w:caps w:val="0"/>
          <w:color w:val="auto"/>
          <w:spacing w:val="0"/>
          <w:w w:val="100"/>
          <w:sz w:val="24"/>
          <w:szCs w:val="24"/>
          <w:highlight w:val="none"/>
        </w:rPr>
      </w:pPr>
    </w:p>
    <w:p w14:paraId="6DA474FA">
      <w:pPr>
        <w:pStyle w:val="14"/>
        <w:keepNext w:val="0"/>
        <w:keepLines w:val="0"/>
        <w:pageBreakBefore w:val="0"/>
        <w:kinsoku/>
        <w:wordWrap/>
        <w:overflowPunct/>
        <w:topLinePunct w:val="0"/>
        <w:bidi w:val="0"/>
        <w:spacing w:beforeAutospacing="0" w:line="360" w:lineRule="auto"/>
        <w:rPr>
          <w:rFonts w:hint="eastAsia" w:ascii="宋体" w:hAnsi="宋体" w:eastAsia="宋体" w:cs="宋体"/>
          <w:b w:val="0"/>
          <w:i w:val="0"/>
          <w:caps w:val="0"/>
          <w:color w:val="auto"/>
          <w:spacing w:val="0"/>
          <w:w w:val="100"/>
          <w:sz w:val="24"/>
          <w:szCs w:val="24"/>
          <w:highlight w:val="none"/>
        </w:rPr>
      </w:pPr>
    </w:p>
    <w:p w14:paraId="515B8DF5">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2246855">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EB8480A">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6FA5278">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7BADCB47">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BAF7922">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5CD3DA7B">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5FABAA7">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3DDA6C67">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61DF7AFB">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517BBD09">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lang w:val="en-US" w:eastAsia="zh-CN"/>
        </w:rPr>
      </w:pPr>
    </w:p>
    <w:p w14:paraId="60B9996E">
      <w:pPr>
        <w:pStyle w:val="6"/>
        <w:keepNext w:val="0"/>
        <w:keepLines w:val="0"/>
        <w:pageBreakBefore w:val="0"/>
        <w:kinsoku/>
        <w:wordWrap/>
        <w:overflowPunct/>
        <w:topLinePunct w:val="0"/>
        <w:bidi w:val="0"/>
        <w:spacing w:beforeAutospacing="0"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 xml:space="preserve">附件5 </w:t>
      </w:r>
    </w:p>
    <w:p w14:paraId="48F8F71A">
      <w:pPr>
        <w:keepNext w:val="0"/>
        <w:keepLines w:val="0"/>
        <w:pageBreakBefore w:val="0"/>
        <w:widowControl w:val="0"/>
        <w:kinsoku/>
        <w:wordWrap/>
        <w:overflowPunct/>
        <w:topLinePunct w:val="0"/>
        <w:autoSpaceDE/>
        <w:autoSpaceDN/>
        <w:bidi w:val="0"/>
        <w:adjustRightInd/>
        <w:snapToGrid/>
        <w:spacing w:beforeAutospacing="0"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供应商遵守招标采购纪律承诺书</w:t>
      </w:r>
    </w:p>
    <w:p w14:paraId="32B32BCA">
      <w:pPr>
        <w:keepNext w:val="0"/>
        <w:keepLines w:val="0"/>
        <w:pageBreakBefore w:val="0"/>
        <w:widowControl w:val="0"/>
        <w:kinsoku/>
        <w:wordWrap/>
        <w:overflowPunct/>
        <w:topLinePunct w:val="0"/>
        <w:autoSpaceDE/>
        <w:autoSpaceDN/>
        <w:bidi w:val="0"/>
        <w:adjustRightInd/>
        <w:snapToGrid/>
        <w:spacing w:beforeAutospacing="0" w:line="360" w:lineRule="auto"/>
        <w:jc w:val="both"/>
        <w:textAlignment w:val="auto"/>
        <w:rPr>
          <w:rFonts w:hint="eastAsia" w:ascii="宋体" w:hAnsi="宋体" w:eastAsia="宋体" w:cs="宋体"/>
          <w:color w:val="auto"/>
          <w:sz w:val="24"/>
          <w:szCs w:val="24"/>
          <w:highlight w:val="none"/>
        </w:rPr>
      </w:pPr>
    </w:p>
    <w:p w14:paraId="77DD2C66">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致四川省妇幼保健院：</w:t>
      </w:r>
    </w:p>
    <w:p w14:paraId="35533027">
      <w:pPr>
        <w:keepNext w:val="0"/>
        <w:keepLines w:val="0"/>
        <w:pageBreakBefore w:val="0"/>
        <w:widowControl w:val="0"/>
        <w:kinsoku/>
        <w:wordWrap/>
        <w:overflowPunct/>
        <w:topLinePunct w:val="0"/>
        <w:autoSpaceDE/>
        <w:autoSpaceDN/>
        <w:bidi w:val="0"/>
        <w:adjustRightInd/>
        <w:snapToGrid/>
        <w:spacing w:beforeAutospacing="0"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我单位作为本次采购项目的供应商，根据响应文件要求，现郑重承诺如下：</w:t>
      </w:r>
    </w:p>
    <w:p w14:paraId="68257228">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一、参加本次采购活动，我单位不存在与单位负责人为同一人或者存在直接控股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管理关系的其他供应商参与同一合同项下的采购活动的行为。</w:t>
      </w:r>
    </w:p>
    <w:p w14:paraId="0E7B546E">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二、参加本次采购活动，不得直接或者间接从采购人或者采购代理机构处获得其他供应商的相关情况并修改其投标文件或者响应文件。</w:t>
      </w:r>
    </w:p>
    <w:p w14:paraId="1A7CF5FE">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三、参加本次采购活动，不得按照采购人的授意撤换、修改投标文件或者响应文件。</w:t>
      </w:r>
    </w:p>
    <w:p w14:paraId="5214694A">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四、参加本次采购活动，不得和本次采购供应商之间协商报价、技术方案等投标文件或者响应文件的实质性内容。</w:t>
      </w:r>
    </w:p>
    <w:p w14:paraId="04864007">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五、本次采购活动中，不存在属于同一集团、协会、商会等组织成员的供应商按照该组织要求协同参加本次采购活动。</w:t>
      </w:r>
    </w:p>
    <w:p w14:paraId="0903A02C">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六、参加本次采购活动，不存在与其他供应商之间事先约定由某一特定供应商中标、成交。</w:t>
      </w:r>
    </w:p>
    <w:p w14:paraId="15620502">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七、参加本次采购活动，不存在与其他供应商商定部分供应商放弃参加采购活动或者放弃中标、成交。</w:t>
      </w:r>
    </w:p>
    <w:p w14:paraId="5B9D42A5">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八、参加本次采购活动，不存在我单位的投标文件或者响应文件由其他参与本项目的单位或个人编制或委托办理投标事宜。</w:t>
      </w:r>
    </w:p>
    <w:p w14:paraId="106FD908">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九、参加本次采购活动，不存在我单位与采购人之间、供应商相互之间，为谋求特定供应商中标、成交或者排斥其他供应商的其他串通行为。</w:t>
      </w:r>
    </w:p>
    <w:p w14:paraId="47BCED3A">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十、与我方存在直接控股关系的单位为：XXX；存在管理关系单位为：XXX。</w:t>
      </w:r>
    </w:p>
    <w:p w14:paraId="7A3AEBE1">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我单位对上述承诺的内容事项真实性负责并接受评审小组对我单位投标文件或者响应文件关于串通投标的审查。如经查实上述承诺的内容事项存在虚假，我单位愿意接受以提供虚假材料谋取成交追究法律责任。</w:t>
      </w:r>
    </w:p>
    <w:p w14:paraId="51FCA9EF">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p>
    <w:p w14:paraId="60C9A55D">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供应商名称（单位公章）： </w:t>
      </w:r>
      <w:r>
        <w:rPr>
          <w:rFonts w:hint="eastAsia" w:ascii="宋体" w:hAnsi="宋体" w:eastAsia="宋体" w:cs="宋体"/>
          <w:color w:val="auto"/>
          <w:sz w:val="24"/>
          <w:szCs w:val="24"/>
          <w:highlight w:val="none"/>
          <w:lang w:val="en-US" w:eastAsia="zh-CN"/>
        </w:rPr>
        <w:t xml:space="preserve">                         </w:t>
      </w:r>
    </w:p>
    <w:p w14:paraId="03F827E9">
      <w:pPr>
        <w:keepNext w:val="0"/>
        <w:keepLines w:val="0"/>
        <w:pageBreakBefore w:val="0"/>
        <w:widowControl w:val="0"/>
        <w:kinsoku/>
        <w:wordWrap/>
        <w:overflowPunct/>
        <w:topLinePunct w:val="0"/>
        <w:autoSpaceDE/>
        <w:autoSpaceDN/>
        <w:bidi w:val="0"/>
        <w:adjustRightInd/>
        <w:snapToGrid/>
        <w:spacing w:beforeAutospacing="0"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法定代表人/单位负责人或授权代表（签字或加盖个人名章）：</w:t>
      </w:r>
    </w:p>
    <w:p w14:paraId="0C393B4F">
      <w:pPr>
        <w:keepNext w:val="0"/>
        <w:keepLines w:val="0"/>
        <w:pageBreakBefore w:val="0"/>
        <w:kinsoku/>
        <w:wordWrap/>
        <w:overflowPunct/>
        <w:topLinePunct w:val="0"/>
        <w:bidi w:val="0"/>
        <w:spacing w:beforeAutospacing="0" w:line="360" w:lineRule="auto"/>
        <w:ind w:firstLine="6960" w:firstLineChars="29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月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日</w:t>
      </w:r>
    </w:p>
    <w:p w14:paraId="2EC4401D">
      <w:pPr>
        <w:keepNext w:val="0"/>
        <w:keepLines w:val="0"/>
        <w:pageBreakBefore w:val="0"/>
        <w:kinsoku/>
        <w:overflowPunct/>
        <w:topLinePunct w:val="0"/>
        <w:bidi w:val="0"/>
        <w:spacing w:line="360" w:lineRule="auto"/>
        <w:rPr>
          <w:rFonts w:hint="eastAsia" w:ascii="宋体" w:hAnsi="宋体" w:eastAsia="宋体" w:cs="宋体"/>
          <w:color w:val="auto"/>
          <w:sz w:val="24"/>
          <w:szCs w:val="24"/>
          <w:highlight w:val="none"/>
        </w:rPr>
      </w:pPr>
    </w:p>
    <w:p w14:paraId="1F2C1607">
      <w:pPr>
        <w:keepNext w:val="0"/>
        <w:keepLines w:val="0"/>
        <w:pageBreakBefore w:val="0"/>
        <w:kinsoku/>
        <w:overflowPunct/>
        <w:topLinePunct w:val="0"/>
        <w:bidi w:val="0"/>
        <w:spacing w:line="360" w:lineRule="auto"/>
        <w:rPr>
          <w:rFonts w:hint="eastAsia" w:ascii="宋体" w:hAnsi="宋体" w:eastAsia="宋体" w:cs="宋体"/>
          <w:sz w:val="24"/>
          <w:szCs w:val="24"/>
          <w:highlight w:val="none"/>
          <w:lang w:eastAsia="zh-CN"/>
        </w:rPr>
      </w:pPr>
    </w:p>
    <w:p w14:paraId="59203C8C">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45E1A29D">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145E3326">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23D271DA">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31709A1">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10D7B8C5">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423F070B">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4CEFDA17">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6C3A077">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74787A84">
      <w:pPr>
        <w:pStyle w:val="5"/>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1CC004C1">
      <w:pPr>
        <w:pStyle w:val="5"/>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70F2A4C3">
      <w:pPr>
        <w:pStyle w:val="5"/>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1C4DEEE0">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5D232572">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FDF11A0">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132DFD11">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0D49E40E">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39395BC3">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27D5F2E1">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7A514815">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06D0BA00">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80E8FBE">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4D8702E">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9A71472">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6B706029">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7226FA69">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rPr>
      </w:pPr>
    </w:p>
    <w:p w14:paraId="31354670">
      <w:pPr>
        <w:keepNext w:val="0"/>
        <w:keepLines w:val="0"/>
        <w:pageBreakBefore w:val="0"/>
        <w:kinsoku/>
        <w:overflowPunct/>
        <w:topLinePunct w:val="0"/>
        <w:bidi w:val="0"/>
        <w:spacing w:line="360" w:lineRule="auto"/>
        <w:rPr>
          <w:rFonts w:hint="eastAsia" w:ascii="宋体" w:hAnsi="宋体" w:eastAsia="宋体" w:cs="宋体"/>
          <w:b/>
          <w:bCs/>
          <w:i w:val="0"/>
          <w:iCs w:val="0"/>
          <w:caps w:val="0"/>
          <w:color w:val="auto"/>
          <w:spacing w:val="0"/>
          <w:sz w:val="24"/>
          <w:szCs w:val="24"/>
          <w:highlight w:val="cyan"/>
          <w:shd w:val="clear" w:fill="FFFFFF"/>
          <w:lang w:val="en-US" w:eastAsia="zh-CN"/>
        </w:rPr>
      </w:pPr>
      <w:r>
        <w:rPr>
          <w:rFonts w:hint="eastAsia" w:ascii="宋体" w:hAnsi="宋体" w:eastAsia="宋体" w:cs="宋体"/>
          <w:b/>
          <w:bCs/>
          <w:i w:val="0"/>
          <w:iCs w:val="0"/>
          <w:caps w:val="0"/>
          <w:color w:val="auto"/>
          <w:spacing w:val="0"/>
          <w:sz w:val="24"/>
          <w:szCs w:val="24"/>
          <w:highlight w:val="none"/>
          <w:shd w:val="clear" w:fill="FFFFFF"/>
        </w:rPr>
        <w:t>附件</w:t>
      </w:r>
      <w:r>
        <w:rPr>
          <w:rFonts w:hint="eastAsia" w:ascii="宋体" w:hAnsi="宋体" w:eastAsia="宋体" w:cs="宋体"/>
          <w:b/>
          <w:bCs/>
          <w:i w:val="0"/>
          <w:iCs w:val="0"/>
          <w:caps w:val="0"/>
          <w:color w:val="auto"/>
          <w:spacing w:val="0"/>
          <w:sz w:val="24"/>
          <w:szCs w:val="24"/>
          <w:highlight w:val="none"/>
          <w:shd w:val="clear" w:fill="FFFFFF"/>
          <w:lang w:val="en-US" w:eastAsia="zh-CN"/>
        </w:rPr>
        <w:t>6</w:t>
      </w:r>
    </w:p>
    <w:p w14:paraId="1D509174">
      <w:pPr>
        <w:keepNext w:val="0"/>
        <w:keepLines w:val="0"/>
        <w:pageBreakBefore w:val="0"/>
        <w:widowControl w:val="0"/>
        <w:kinsoku/>
        <w:wordWrap/>
        <w:overflowPunct/>
        <w:topLinePunct w:val="0"/>
        <w:autoSpaceDE/>
        <w:autoSpaceDN/>
        <w:bidi w:val="0"/>
        <w:spacing w:line="360" w:lineRule="auto"/>
        <w:jc w:val="center"/>
        <w:textAlignment w:val="auto"/>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联合体协议书</w:t>
      </w:r>
    </w:p>
    <w:p w14:paraId="59E6F1CE">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sz w:val="24"/>
          <w:szCs w:val="24"/>
        </w:rPr>
      </w:pPr>
    </w:p>
    <w:p w14:paraId="72B9EEB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u w:val="single"/>
          <w:lang w:val="en-US" w:eastAsia="zh-CN"/>
        </w:rPr>
        <w:t xml:space="preserve">                </w:t>
      </w:r>
      <w:r>
        <w:rPr>
          <w:rFonts w:hint="eastAsia" w:ascii="宋体" w:hAnsi="宋体" w:eastAsia="宋体" w:cs="宋体"/>
          <w:kern w:val="2"/>
          <w:sz w:val="24"/>
          <w:szCs w:val="24"/>
          <w:highlight w:val="none"/>
          <w:lang w:eastAsia="zh-CN"/>
        </w:rPr>
        <w:t>（所有成员单位名称）自愿组成</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（联合体名称）联合体，共同参加</w:t>
      </w:r>
      <w:r>
        <w:rPr>
          <w:rFonts w:hint="eastAsia" w:ascii="宋体" w:hAnsi="宋体" w:eastAsia="宋体" w:cs="宋体"/>
          <w:color w:val="000000"/>
          <w:kern w:val="2"/>
          <w:sz w:val="24"/>
          <w:szCs w:val="24"/>
          <w:highlight w:val="none"/>
          <w:u w:val="single"/>
          <w:lang w:eastAsia="zh-CN"/>
        </w:rPr>
        <w:t xml:space="preserve">                    </w:t>
      </w:r>
      <w:r>
        <w:rPr>
          <w:rFonts w:hint="eastAsia" w:ascii="宋体" w:hAnsi="宋体" w:eastAsia="宋体" w:cs="宋体"/>
          <w:color w:val="000000"/>
          <w:kern w:val="2"/>
          <w:sz w:val="24"/>
          <w:szCs w:val="24"/>
          <w:highlight w:val="none"/>
          <w:lang w:eastAsia="zh-CN"/>
        </w:rPr>
        <w:t>（项目名称）</w:t>
      </w:r>
      <w:r>
        <w:rPr>
          <w:rFonts w:hint="eastAsia" w:ascii="宋体" w:hAnsi="宋体" w:eastAsia="宋体" w:cs="宋体"/>
          <w:color w:val="000000"/>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。现就联合体</w:t>
      </w:r>
      <w:r>
        <w:rPr>
          <w:rFonts w:hint="eastAsia" w:ascii="宋体" w:hAnsi="宋体" w:eastAsia="宋体" w:cs="宋体"/>
          <w:kern w:val="2"/>
          <w:sz w:val="24"/>
          <w:szCs w:val="24"/>
          <w:highlight w:val="none"/>
          <w:lang w:val="en-US" w:eastAsia="zh-CN"/>
        </w:rPr>
        <w:t>参选</w:t>
      </w:r>
      <w:r>
        <w:rPr>
          <w:rFonts w:hint="eastAsia" w:ascii="宋体" w:hAnsi="宋体" w:eastAsia="宋体" w:cs="宋体"/>
          <w:kern w:val="2"/>
          <w:sz w:val="24"/>
          <w:szCs w:val="24"/>
          <w:highlight w:val="none"/>
          <w:lang w:eastAsia="zh-CN"/>
        </w:rPr>
        <w:t>事宜订立如下协议。</w:t>
      </w:r>
    </w:p>
    <w:p w14:paraId="5384E7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1、</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（某成员单位名称）为</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（联合体名称）牵头人。</w:t>
      </w:r>
    </w:p>
    <w:p w14:paraId="3726E8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2、联合体牵头人合法代表联合体各成员负责本</w:t>
      </w:r>
      <w:r>
        <w:rPr>
          <w:rFonts w:hint="eastAsia" w:ascii="宋体" w:hAnsi="宋体" w:eastAsia="宋体" w:cs="宋体"/>
          <w:kern w:val="2"/>
          <w:sz w:val="24"/>
          <w:szCs w:val="24"/>
          <w:highlight w:val="none"/>
          <w:lang w:val="en-US" w:eastAsia="zh-CN"/>
        </w:rPr>
        <w:t>采购</w:t>
      </w:r>
      <w:r>
        <w:rPr>
          <w:rFonts w:hint="eastAsia" w:ascii="宋体" w:hAnsi="宋体" w:eastAsia="宋体" w:cs="宋体"/>
          <w:kern w:val="2"/>
          <w:sz w:val="24"/>
          <w:szCs w:val="24"/>
          <w:highlight w:val="none"/>
          <w:lang w:eastAsia="zh-CN"/>
        </w:rPr>
        <w:t>项目</w:t>
      </w:r>
      <w:r>
        <w:rPr>
          <w:rFonts w:hint="eastAsia" w:ascii="宋体" w:hAnsi="宋体" w:eastAsia="宋体" w:cs="宋体"/>
          <w:kern w:val="2"/>
          <w:sz w:val="24"/>
          <w:szCs w:val="24"/>
          <w:highlight w:val="none"/>
          <w:lang w:val="en-US" w:eastAsia="zh-CN"/>
        </w:rPr>
        <w:t>投标</w:t>
      </w:r>
      <w:r>
        <w:rPr>
          <w:rFonts w:hint="eastAsia" w:ascii="宋体" w:hAnsi="宋体" w:eastAsia="宋体" w:cs="宋体"/>
          <w:kern w:val="2"/>
          <w:sz w:val="24"/>
          <w:szCs w:val="24"/>
          <w:highlight w:val="none"/>
          <w:lang w:eastAsia="zh-CN"/>
        </w:rPr>
        <w:t>文件编制和合同谈判活动，并代表联合体提交和接收相关的资料、信息及指示，并处理与之有关的一切事务，负责合同实施阶段的主办、组织和协调工作。</w:t>
      </w:r>
    </w:p>
    <w:p w14:paraId="5A4F26D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3、联合体将严格按照</w:t>
      </w:r>
      <w:r>
        <w:rPr>
          <w:rFonts w:hint="eastAsia" w:ascii="宋体" w:hAnsi="宋体" w:eastAsia="宋体" w:cs="宋体"/>
          <w:kern w:val="2"/>
          <w:sz w:val="24"/>
          <w:szCs w:val="24"/>
          <w:highlight w:val="none"/>
          <w:lang w:val="en-US" w:eastAsia="zh-CN"/>
        </w:rPr>
        <w:t>采购</w:t>
      </w:r>
      <w:r>
        <w:rPr>
          <w:rFonts w:hint="eastAsia" w:ascii="宋体" w:hAnsi="宋体" w:eastAsia="宋体" w:cs="宋体"/>
          <w:kern w:val="2"/>
          <w:sz w:val="24"/>
          <w:szCs w:val="24"/>
          <w:highlight w:val="none"/>
          <w:lang w:eastAsia="zh-CN"/>
        </w:rPr>
        <w:t>文件的各项要求，递交</w:t>
      </w:r>
      <w:r>
        <w:rPr>
          <w:rFonts w:hint="eastAsia" w:ascii="宋体" w:hAnsi="宋体" w:eastAsia="宋体" w:cs="宋体"/>
          <w:kern w:val="2"/>
          <w:sz w:val="24"/>
          <w:szCs w:val="24"/>
          <w:highlight w:val="none"/>
          <w:lang w:val="en-US" w:eastAsia="zh-CN"/>
        </w:rPr>
        <w:t>参选</w:t>
      </w:r>
      <w:r>
        <w:rPr>
          <w:rFonts w:hint="eastAsia" w:ascii="宋体" w:hAnsi="宋体" w:eastAsia="宋体" w:cs="宋体"/>
          <w:kern w:val="2"/>
          <w:sz w:val="24"/>
          <w:szCs w:val="24"/>
          <w:highlight w:val="none"/>
          <w:lang w:eastAsia="zh-CN"/>
        </w:rPr>
        <w:t>文件，履行合同，并对外承担连带责任。</w:t>
      </w:r>
    </w:p>
    <w:p w14:paraId="2CEAD88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4、联合体各成员单位内部的职责分工如下：</w:t>
      </w:r>
    </w:p>
    <w:p w14:paraId="506413D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u w:val="single"/>
          <w:lang w:eastAsia="zh-CN"/>
        </w:rPr>
        <w:t xml:space="preserve">                                                                                  </w:t>
      </w:r>
    </w:p>
    <w:p w14:paraId="445F985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u w:val="single"/>
          <w:lang w:eastAsia="zh-CN"/>
        </w:rPr>
        <w:t xml:space="preserve">                                                                                      </w:t>
      </w:r>
    </w:p>
    <w:p w14:paraId="2687F30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5、本协议书自签署之日起生效，合同履行完毕后自动失效。</w:t>
      </w:r>
    </w:p>
    <w:p w14:paraId="29E7640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6、本协议书一式</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份，联合体成员和</w:t>
      </w:r>
      <w:r>
        <w:rPr>
          <w:rFonts w:hint="eastAsia" w:ascii="宋体" w:hAnsi="宋体" w:eastAsia="宋体" w:cs="宋体"/>
          <w:kern w:val="2"/>
          <w:sz w:val="24"/>
          <w:szCs w:val="24"/>
          <w:highlight w:val="none"/>
          <w:lang w:val="en-US" w:eastAsia="zh-CN"/>
        </w:rPr>
        <w:t>比选</w:t>
      </w:r>
      <w:r>
        <w:rPr>
          <w:rFonts w:hint="eastAsia" w:ascii="宋体" w:hAnsi="宋体" w:eastAsia="宋体" w:cs="宋体"/>
          <w:kern w:val="2"/>
          <w:sz w:val="24"/>
          <w:szCs w:val="24"/>
          <w:highlight w:val="none"/>
          <w:lang w:eastAsia="zh-CN"/>
        </w:rPr>
        <w:t>人各执一份。</w:t>
      </w:r>
    </w:p>
    <w:p w14:paraId="42A8132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kern w:val="2"/>
          <w:sz w:val="24"/>
          <w:szCs w:val="24"/>
          <w:highlight w:val="none"/>
          <w:lang w:eastAsia="zh-CN"/>
        </w:rPr>
      </w:pPr>
    </w:p>
    <w:p w14:paraId="2528E57B">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牵头人名称：</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（盖单位章）</w:t>
      </w:r>
    </w:p>
    <w:p w14:paraId="1DC29A9A">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法定代表人：</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（法定代表人签名/盖章）</w:t>
      </w:r>
    </w:p>
    <w:p w14:paraId="463CA7C1">
      <w:pPr>
        <w:keepNext w:val="0"/>
        <w:keepLines w:val="0"/>
        <w:pageBreakBefore w:val="0"/>
        <w:widowControl w:val="0"/>
        <w:kinsoku/>
        <w:wordWrap/>
        <w:overflowPunct/>
        <w:topLinePunct w:val="0"/>
        <w:autoSpaceDE/>
        <w:autoSpaceDN/>
        <w:bidi w:val="0"/>
        <w:adjustRightInd w:val="0"/>
        <w:snapToGrid w:val="0"/>
        <w:spacing w:line="360" w:lineRule="auto"/>
        <w:ind w:firstLine="4800" w:firstLineChars="2000"/>
        <w:textAlignment w:val="auto"/>
        <w:rPr>
          <w:rFonts w:hint="eastAsia" w:ascii="宋体" w:hAnsi="宋体" w:eastAsia="宋体" w:cs="宋体"/>
          <w:kern w:val="2"/>
          <w:sz w:val="24"/>
          <w:szCs w:val="24"/>
          <w:highlight w:val="none"/>
          <w:lang w:eastAsia="zh-CN"/>
        </w:rPr>
      </w:pPr>
    </w:p>
    <w:p w14:paraId="34794EE6">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成员名称：</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（盖单位章）</w:t>
      </w:r>
    </w:p>
    <w:p w14:paraId="44879791">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lang w:eastAsia="zh-CN"/>
        </w:rPr>
        <w:t>法定代表人：</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（法定代表人签名/盖章）</w:t>
      </w:r>
    </w:p>
    <w:p w14:paraId="6553CA93">
      <w:pPr>
        <w:keepNext w:val="0"/>
        <w:keepLines w:val="0"/>
        <w:pageBreakBefore w:val="0"/>
        <w:widowControl w:val="0"/>
        <w:kinsoku/>
        <w:wordWrap/>
        <w:overflowPunct/>
        <w:topLinePunct w:val="0"/>
        <w:autoSpaceDE/>
        <w:autoSpaceDN/>
        <w:bidi w:val="0"/>
        <w:adjustRightInd w:val="0"/>
        <w:snapToGrid w:val="0"/>
        <w:spacing w:line="360" w:lineRule="auto"/>
        <w:ind w:firstLine="4800" w:firstLineChars="2000"/>
        <w:textAlignment w:val="auto"/>
        <w:rPr>
          <w:rFonts w:hint="eastAsia" w:ascii="宋体" w:hAnsi="宋体" w:eastAsia="宋体" w:cs="宋体"/>
          <w:kern w:val="2"/>
          <w:sz w:val="24"/>
          <w:szCs w:val="24"/>
          <w:highlight w:val="none"/>
          <w:lang w:eastAsia="zh-CN"/>
        </w:rPr>
      </w:pPr>
    </w:p>
    <w:p w14:paraId="24330F05">
      <w:pPr>
        <w:keepNext w:val="0"/>
        <w:keepLines w:val="0"/>
        <w:pageBreakBefore w:val="0"/>
        <w:widowControl w:val="0"/>
        <w:kinsoku/>
        <w:wordWrap/>
        <w:overflowPunct/>
        <w:topLinePunct w:val="0"/>
        <w:autoSpaceDE/>
        <w:autoSpaceDN/>
        <w:bidi w:val="0"/>
        <w:adjustRightInd w:val="0"/>
        <w:snapToGrid w:val="0"/>
        <w:spacing w:line="360" w:lineRule="auto"/>
        <w:ind w:firstLine="4800" w:firstLineChars="2000"/>
        <w:textAlignment w:val="auto"/>
        <w:rPr>
          <w:rFonts w:hint="eastAsia" w:ascii="宋体" w:hAnsi="宋体" w:eastAsia="宋体" w:cs="宋体"/>
          <w:kern w:val="2"/>
          <w:sz w:val="24"/>
          <w:szCs w:val="24"/>
          <w:highlight w:val="none"/>
          <w:lang w:eastAsia="zh-CN"/>
        </w:rPr>
      </w:pPr>
    </w:p>
    <w:p w14:paraId="5A8EB072">
      <w:pPr>
        <w:keepNext w:val="0"/>
        <w:keepLines w:val="0"/>
        <w:pageBreakBefore w:val="0"/>
        <w:widowControl w:val="0"/>
        <w:kinsoku/>
        <w:wordWrap/>
        <w:overflowPunct/>
        <w:topLinePunct w:val="0"/>
        <w:autoSpaceDE/>
        <w:autoSpaceDN/>
        <w:bidi w:val="0"/>
        <w:adjustRightInd w:val="0"/>
        <w:snapToGrid w:val="0"/>
        <w:spacing w:line="360" w:lineRule="auto"/>
        <w:jc w:val="right"/>
        <w:textAlignment w:val="auto"/>
        <w:rPr>
          <w:rFonts w:hint="eastAsia" w:ascii="宋体" w:hAnsi="宋体" w:eastAsia="宋体" w:cs="宋体"/>
          <w:kern w:val="2"/>
          <w:sz w:val="24"/>
          <w:szCs w:val="24"/>
          <w:highlight w:val="none"/>
          <w:lang w:eastAsia="zh-CN"/>
        </w:rPr>
      </w:pP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年</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月</w:t>
      </w:r>
      <w:r>
        <w:rPr>
          <w:rFonts w:hint="eastAsia" w:ascii="宋体" w:hAnsi="宋体" w:eastAsia="宋体" w:cs="宋体"/>
          <w:kern w:val="2"/>
          <w:sz w:val="24"/>
          <w:szCs w:val="24"/>
          <w:highlight w:val="none"/>
          <w:u w:val="single"/>
          <w:lang w:eastAsia="zh-CN"/>
        </w:rPr>
        <w:t xml:space="preserve">      </w:t>
      </w:r>
      <w:r>
        <w:rPr>
          <w:rFonts w:hint="eastAsia" w:ascii="宋体" w:hAnsi="宋体" w:eastAsia="宋体" w:cs="宋体"/>
          <w:kern w:val="2"/>
          <w:sz w:val="24"/>
          <w:szCs w:val="24"/>
          <w:highlight w:val="none"/>
          <w:lang w:eastAsia="zh-CN"/>
        </w:rPr>
        <w:t>日</w:t>
      </w:r>
    </w:p>
    <w:p w14:paraId="28667A37">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sz w:val="24"/>
          <w:szCs w:val="24"/>
        </w:rPr>
      </w:pPr>
    </w:p>
    <w:p w14:paraId="1D7A3A8D">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sz w:val="24"/>
          <w:szCs w:val="24"/>
        </w:rPr>
      </w:pPr>
    </w:p>
    <w:p w14:paraId="6CCB16BE">
      <w:pPr>
        <w:keepNext w:val="0"/>
        <w:keepLines w:val="0"/>
        <w:pageBreakBefore w:val="0"/>
        <w:widowControl w:val="0"/>
        <w:kinsoku/>
        <w:wordWrap/>
        <w:overflowPunct/>
        <w:topLinePunct w:val="0"/>
        <w:autoSpaceDE/>
        <w:autoSpaceDN/>
        <w:bidi w:val="0"/>
        <w:spacing w:line="360" w:lineRule="auto"/>
        <w:jc w:val="both"/>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rPr>
        <w:t>注：本协议书为联合体投标时适用，非联合体投标时无需填写。</w:t>
      </w:r>
    </w:p>
    <w:p w14:paraId="703B6072">
      <w:pPr>
        <w:keepNext w:val="0"/>
        <w:keepLines w:val="0"/>
        <w:pageBreakBefore w:val="0"/>
        <w:kinsoku/>
        <w:overflowPunct/>
        <w:topLinePunct w:val="0"/>
        <w:bidi w:val="0"/>
        <w:spacing w:line="360" w:lineRule="auto"/>
        <w:rPr>
          <w:rFonts w:hint="eastAsia" w:ascii="宋体" w:hAnsi="宋体" w:eastAsia="宋体" w:cs="宋体"/>
          <w:sz w:val="24"/>
          <w:szCs w:val="24"/>
        </w:rPr>
      </w:pPr>
    </w:p>
    <w:p w14:paraId="264A7EF1">
      <w:pPr>
        <w:pStyle w:val="5"/>
        <w:keepNext w:val="0"/>
        <w:keepLines w:val="0"/>
        <w:pageBreakBefore w:val="0"/>
        <w:kinsoku/>
        <w:overflowPunct/>
        <w:topLinePunct w:val="0"/>
        <w:bidi w:val="0"/>
        <w:spacing w:line="360" w:lineRule="auto"/>
        <w:rPr>
          <w:rFonts w:hint="eastAsia" w:ascii="宋体" w:hAnsi="宋体" w:eastAsia="宋体" w:cs="宋体"/>
          <w:sz w:val="24"/>
          <w:szCs w:val="24"/>
        </w:rPr>
      </w:pPr>
    </w:p>
    <w:sectPr>
      <w:headerReference r:id="rId3" w:type="default"/>
      <w:footerReference r:id="rId4" w:type="default"/>
      <w:pgSz w:w="11906" w:h="16838"/>
      <w:pgMar w:top="1440" w:right="1689" w:bottom="1440"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E6E6C">
    <w:pPr>
      <w:pStyle w:val="9"/>
      <w:rPr>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15F0790">
                          <w:pPr>
                            <w:pStyle w:val="9"/>
                          </w:pPr>
                          <w:r>
                            <w:t xml:space="preserve">第 </w:t>
                          </w:r>
                          <w:r>
                            <w:fldChar w:fldCharType="begin"/>
                          </w:r>
                          <w:r>
                            <w:instrText xml:space="preserve"> PAGE  \* MERGEFORMAT </w:instrText>
                          </w:r>
                          <w:r>
                            <w:fldChar w:fldCharType="separate"/>
                          </w:r>
                          <w:r>
                            <w:t>6</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415F0790">
                    <w:pPr>
                      <w:pStyle w:val="9"/>
                    </w:pPr>
                    <w:r>
                      <w:t xml:space="preserve">第 </w:t>
                    </w:r>
                    <w:r>
                      <w:fldChar w:fldCharType="begin"/>
                    </w:r>
                    <w:r>
                      <w:instrText xml:space="preserve"> PAGE  \* MERGEFORMAT </w:instrText>
                    </w:r>
                    <w:r>
                      <w:fldChar w:fldCharType="separate"/>
                    </w:r>
                    <w:r>
                      <w:t>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FF43A">
    <w:pPr>
      <w:pStyle w:val="10"/>
      <w:pBdr>
        <w:bottom w:val="none" w:color="auto" w:sz="0" w:space="0"/>
      </w:pBdr>
      <w:jc w:val="left"/>
      <w:rPr>
        <w:rFonts w:hint="eastAsia" w:eastAsia="宋体"/>
        <w:lang w:eastAsia="zh-CN"/>
      </w:rPr>
    </w:pPr>
  </w:p>
  <w:p w14:paraId="027F425F">
    <w:pPr>
      <w:pStyle w:val="10"/>
      <w:pBdr>
        <w:bottom w:val="none" w:color="auto" w:sz="0" w:space="0"/>
      </w:pBdr>
      <w:jc w:val="left"/>
      <w:rPr>
        <w:rFonts w:hint="eastAsia" w:eastAsia="宋体"/>
        <w:lang w:eastAsia="zh-CN"/>
      </w:rPr>
    </w:pPr>
  </w:p>
  <w:p w14:paraId="4B9C3A0B">
    <w:pPr>
      <w:pStyle w:val="10"/>
      <w:pBdr>
        <w:bottom w:val="none" w:color="auto" w:sz="0" w:space="0"/>
      </w:pBdr>
      <w:jc w:val="left"/>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2F48B"/>
    <w:multiLevelType w:val="singleLevel"/>
    <w:tmpl w:val="A3F2F48B"/>
    <w:lvl w:ilvl="0" w:tentative="0">
      <w:start w:val="1"/>
      <w:numFmt w:val="bullet"/>
      <w:lvlText w:val=""/>
      <w:lvlJc w:val="left"/>
      <w:pPr>
        <w:ind w:left="420" w:hanging="420"/>
      </w:pPr>
      <w:rPr>
        <w:rFonts w:hint="default" w:ascii="Wingdings" w:hAnsi="Wingdings"/>
        <w:b/>
        <w:bCs/>
        <w:color w:val="auto"/>
      </w:rPr>
    </w:lvl>
  </w:abstractNum>
  <w:abstractNum w:abstractNumId="1">
    <w:nsid w:val="EB660532"/>
    <w:multiLevelType w:val="singleLevel"/>
    <w:tmpl w:val="EB660532"/>
    <w:lvl w:ilvl="0" w:tentative="0">
      <w:start w:val="2"/>
      <w:numFmt w:val="decimal"/>
      <w:suff w:val="nothing"/>
      <w:lvlText w:val="（%1）"/>
      <w:lvlJc w:val="left"/>
    </w:lvl>
  </w:abstractNum>
  <w:abstractNum w:abstractNumId="2">
    <w:nsid w:val="2B7F8603"/>
    <w:multiLevelType w:val="singleLevel"/>
    <w:tmpl w:val="2B7F8603"/>
    <w:lvl w:ilvl="0" w:tentative="0">
      <w:start w:val="1"/>
      <w:numFmt w:val="bullet"/>
      <w:lvlText w:val=""/>
      <w:lvlJc w:val="left"/>
      <w:pPr>
        <w:ind w:left="420" w:hanging="420"/>
      </w:pPr>
      <w:rPr>
        <w:rFonts w:hint="default" w:ascii="Wingdings" w:hAnsi="Wingdings"/>
      </w:rPr>
    </w:lvl>
  </w:abstractNum>
  <w:abstractNum w:abstractNumId="3">
    <w:nsid w:val="38513304"/>
    <w:multiLevelType w:val="multilevel"/>
    <w:tmpl w:val="38513304"/>
    <w:lvl w:ilvl="0" w:tentative="0">
      <w:start w:val="3"/>
      <w:numFmt w:val="bullet"/>
      <w:lvlText w:val="★"/>
      <w:lvlJc w:val="left"/>
      <w:pPr>
        <w:tabs>
          <w:tab w:val="left" w:pos="480"/>
        </w:tabs>
        <w:ind w:left="480" w:hanging="360"/>
      </w:pPr>
      <w:rPr>
        <w:rFonts w:hint="eastAsia" w:ascii="宋体" w:hAnsi="宋体" w:eastAsia="宋体" w:cs="Times New Roman"/>
      </w:rPr>
    </w:lvl>
    <w:lvl w:ilvl="1" w:tentative="0">
      <w:start w:val="1"/>
      <w:numFmt w:val="bullet"/>
      <w:lvlText w:val=""/>
      <w:lvlJc w:val="left"/>
      <w:pPr>
        <w:tabs>
          <w:tab w:val="left" w:pos="960"/>
        </w:tabs>
        <w:ind w:left="960" w:hanging="420"/>
      </w:pPr>
      <w:rPr>
        <w:rFonts w:hint="default" w:ascii="Wingdings" w:hAnsi="Wingdings"/>
      </w:rPr>
    </w:lvl>
    <w:lvl w:ilvl="2" w:tentative="0">
      <w:start w:val="1"/>
      <w:numFmt w:val="bullet"/>
      <w:lvlText w:val=""/>
      <w:lvlJc w:val="left"/>
      <w:pPr>
        <w:tabs>
          <w:tab w:val="left" w:pos="1380"/>
        </w:tabs>
        <w:ind w:left="1380" w:hanging="420"/>
      </w:pPr>
      <w:rPr>
        <w:rFonts w:hint="default" w:ascii="Wingdings" w:hAnsi="Wingdings"/>
      </w:rPr>
    </w:lvl>
    <w:lvl w:ilvl="3" w:tentative="0">
      <w:start w:val="1"/>
      <w:numFmt w:val="bullet"/>
      <w:lvlText w:val=""/>
      <w:lvlJc w:val="left"/>
      <w:pPr>
        <w:tabs>
          <w:tab w:val="left" w:pos="1800"/>
        </w:tabs>
        <w:ind w:left="1800" w:hanging="420"/>
      </w:pPr>
      <w:rPr>
        <w:rFonts w:hint="default" w:ascii="Wingdings" w:hAnsi="Wingdings"/>
      </w:rPr>
    </w:lvl>
    <w:lvl w:ilvl="4" w:tentative="0">
      <w:start w:val="1"/>
      <w:numFmt w:val="bullet"/>
      <w:lvlText w:val=""/>
      <w:lvlJc w:val="left"/>
      <w:pPr>
        <w:tabs>
          <w:tab w:val="left" w:pos="2220"/>
        </w:tabs>
        <w:ind w:left="2220" w:hanging="420"/>
      </w:pPr>
      <w:rPr>
        <w:rFonts w:hint="default" w:ascii="Wingdings" w:hAnsi="Wingdings"/>
      </w:rPr>
    </w:lvl>
    <w:lvl w:ilvl="5" w:tentative="0">
      <w:start w:val="1"/>
      <w:numFmt w:val="bullet"/>
      <w:lvlText w:val=""/>
      <w:lvlJc w:val="left"/>
      <w:pPr>
        <w:tabs>
          <w:tab w:val="left" w:pos="2640"/>
        </w:tabs>
        <w:ind w:left="2640" w:hanging="420"/>
      </w:pPr>
      <w:rPr>
        <w:rFonts w:hint="default" w:ascii="Wingdings" w:hAnsi="Wingdings"/>
      </w:rPr>
    </w:lvl>
    <w:lvl w:ilvl="6" w:tentative="0">
      <w:start w:val="1"/>
      <w:numFmt w:val="bullet"/>
      <w:lvlText w:val=""/>
      <w:lvlJc w:val="left"/>
      <w:pPr>
        <w:tabs>
          <w:tab w:val="left" w:pos="3060"/>
        </w:tabs>
        <w:ind w:left="3060" w:hanging="420"/>
      </w:pPr>
      <w:rPr>
        <w:rFonts w:hint="default" w:ascii="Wingdings" w:hAnsi="Wingdings"/>
      </w:rPr>
    </w:lvl>
    <w:lvl w:ilvl="7" w:tentative="0">
      <w:start w:val="1"/>
      <w:numFmt w:val="bullet"/>
      <w:lvlText w:val=""/>
      <w:lvlJc w:val="left"/>
      <w:pPr>
        <w:tabs>
          <w:tab w:val="left" w:pos="3480"/>
        </w:tabs>
        <w:ind w:left="3480" w:hanging="420"/>
      </w:pPr>
      <w:rPr>
        <w:rFonts w:hint="default" w:ascii="Wingdings" w:hAnsi="Wingdings"/>
      </w:rPr>
    </w:lvl>
    <w:lvl w:ilvl="8" w:tentative="0">
      <w:start w:val="1"/>
      <w:numFmt w:val="bullet"/>
      <w:lvlText w:val=""/>
      <w:lvlJc w:val="left"/>
      <w:pPr>
        <w:tabs>
          <w:tab w:val="left" w:pos="3900"/>
        </w:tabs>
        <w:ind w:left="3900" w:hanging="420"/>
      </w:pPr>
      <w:rPr>
        <w:rFonts w:hint="default" w:ascii="Wingdings" w:hAnsi="Wingdings"/>
      </w:r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wZmE0ZmU3Y2M1ZWQ5MWU4OTc0ZDQ0OGMzYzM2NmMifQ=="/>
  </w:docVars>
  <w:rsids>
    <w:rsidRoot w:val="74046BF8"/>
    <w:rsid w:val="041941B5"/>
    <w:rsid w:val="04335DA6"/>
    <w:rsid w:val="07550A75"/>
    <w:rsid w:val="08D00FFA"/>
    <w:rsid w:val="09074930"/>
    <w:rsid w:val="09D05FD4"/>
    <w:rsid w:val="0A7056FD"/>
    <w:rsid w:val="0AD57EAC"/>
    <w:rsid w:val="0CF514F6"/>
    <w:rsid w:val="12FB4A33"/>
    <w:rsid w:val="13160D6D"/>
    <w:rsid w:val="16A37219"/>
    <w:rsid w:val="17191F74"/>
    <w:rsid w:val="17380D87"/>
    <w:rsid w:val="19031A95"/>
    <w:rsid w:val="1B633B7D"/>
    <w:rsid w:val="1BBD2F92"/>
    <w:rsid w:val="1F215C65"/>
    <w:rsid w:val="20D5619C"/>
    <w:rsid w:val="20DE5730"/>
    <w:rsid w:val="23CE4694"/>
    <w:rsid w:val="2404126F"/>
    <w:rsid w:val="24AD32BB"/>
    <w:rsid w:val="29364810"/>
    <w:rsid w:val="2A536CFE"/>
    <w:rsid w:val="2C144DE1"/>
    <w:rsid w:val="30332322"/>
    <w:rsid w:val="346C3C91"/>
    <w:rsid w:val="349A16DA"/>
    <w:rsid w:val="363C0689"/>
    <w:rsid w:val="38EA6674"/>
    <w:rsid w:val="3B544C6D"/>
    <w:rsid w:val="40E83987"/>
    <w:rsid w:val="42AE53DA"/>
    <w:rsid w:val="45846253"/>
    <w:rsid w:val="472552CA"/>
    <w:rsid w:val="4875266D"/>
    <w:rsid w:val="48F42CAF"/>
    <w:rsid w:val="49796A18"/>
    <w:rsid w:val="49BD3C89"/>
    <w:rsid w:val="4B366F25"/>
    <w:rsid w:val="4C282A7E"/>
    <w:rsid w:val="4CCA2FC8"/>
    <w:rsid w:val="4E125E21"/>
    <w:rsid w:val="4E9E77F7"/>
    <w:rsid w:val="4F2C1DF1"/>
    <w:rsid w:val="553B6208"/>
    <w:rsid w:val="55ED4B8A"/>
    <w:rsid w:val="56BC6CDA"/>
    <w:rsid w:val="58BC5ADA"/>
    <w:rsid w:val="5B62446F"/>
    <w:rsid w:val="5F7601AD"/>
    <w:rsid w:val="5FC53852"/>
    <w:rsid w:val="605807A0"/>
    <w:rsid w:val="63910247"/>
    <w:rsid w:val="643B43E5"/>
    <w:rsid w:val="668B6666"/>
    <w:rsid w:val="69166805"/>
    <w:rsid w:val="69326925"/>
    <w:rsid w:val="6D040A33"/>
    <w:rsid w:val="6DDB5FB0"/>
    <w:rsid w:val="6EB557D6"/>
    <w:rsid w:val="6F8240C3"/>
    <w:rsid w:val="6F95081D"/>
    <w:rsid w:val="731E21D2"/>
    <w:rsid w:val="74046BF8"/>
    <w:rsid w:val="75D9228C"/>
    <w:rsid w:val="7B1E5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qFormat="1" w:unhideWhenUsed="0"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9"/>
    <w:pPr>
      <w:widowControl/>
      <w:spacing w:before="100" w:beforeAutospacing="1" w:after="100" w:afterAutospacing="1" w:line="240" w:lineRule="auto"/>
      <w:jc w:val="left"/>
      <w:outlineLvl w:val="1"/>
    </w:pPr>
    <w:rPr>
      <w:rFonts w:ascii="宋体" w:hAnsi="宋体" w:eastAsia="宋体" w:cs="宋体"/>
      <w:b/>
      <w:bCs/>
      <w:kern w:val="0"/>
      <w:sz w:val="36"/>
      <w:szCs w:val="36"/>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5">
    <w:name w:val="Normal Indent"/>
    <w:basedOn w:val="1"/>
    <w:qFormat/>
    <w:uiPriority w:val="99"/>
    <w:pPr>
      <w:adjustRightInd w:val="0"/>
      <w:snapToGrid w:val="0"/>
      <w:spacing w:line="360" w:lineRule="auto"/>
      <w:ind w:firstLine="420"/>
    </w:pPr>
    <w:rPr>
      <w:sz w:val="24"/>
    </w:rPr>
  </w:style>
  <w:style w:type="paragraph" w:styleId="6">
    <w:name w:val="Body Text"/>
    <w:basedOn w:val="1"/>
    <w:next w:val="1"/>
    <w:qFormat/>
    <w:uiPriority w:val="0"/>
  </w:style>
  <w:style w:type="paragraph" w:styleId="7">
    <w:name w:val="Body Text Indent"/>
    <w:basedOn w:val="1"/>
    <w:qFormat/>
    <w:uiPriority w:val="0"/>
    <w:pPr>
      <w:ind w:firstLine="630"/>
    </w:pPr>
    <w:rPr>
      <w:sz w:val="32"/>
      <w:szCs w:val="20"/>
    </w:rPr>
  </w:style>
  <w:style w:type="paragraph" w:styleId="8">
    <w:name w:val="Plain Text"/>
    <w:basedOn w:val="1"/>
    <w:qFormat/>
    <w:uiPriority w:val="0"/>
    <w:pPr>
      <w:spacing w:line="460" w:lineRule="exact"/>
      <w:ind w:firstLine="567"/>
    </w:pPr>
    <w:rPr>
      <w:rFonts w:ascii="宋体" w:hAnsi="Courier New" w:eastAsia="仿宋_GB2312"/>
      <w:sz w:val="28"/>
      <w:szCs w:val="20"/>
    </w:r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tabs>
        <w:tab w:val="center" w:pos="4153"/>
        <w:tab w:val="right" w:pos="8306"/>
      </w:tabs>
      <w:snapToGrid w:val="0"/>
      <w:jc w:val="center"/>
    </w:pPr>
    <w:rPr>
      <w:sz w:val="18"/>
      <w:szCs w:val="18"/>
    </w:rPr>
  </w:style>
  <w:style w:type="paragraph" w:styleId="11">
    <w:name w:val="toc 1"/>
    <w:basedOn w:val="1"/>
    <w:next w:val="1"/>
    <w:qFormat/>
    <w:uiPriority w:val="0"/>
    <w:pPr>
      <w:spacing w:line="180" w:lineRule="auto"/>
      <w:jc w:val="center"/>
    </w:pPr>
    <w:rPr>
      <w:sz w:val="30"/>
    </w:rPr>
  </w:style>
  <w:style w:type="paragraph" w:styleId="12">
    <w:name w:val="footnote text"/>
    <w:basedOn w:val="1"/>
    <w:qFormat/>
    <w:uiPriority w:val="99"/>
    <w:pPr>
      <w:snapToGrid w:val="0"/>
      <w:jc w:val="left"/>
    </w:pPr>
    <w:rPr>
      <w:rFonts w:ascii="宋体" w:hAnsi="Times New Roman" w:eastAsia="宋体" w:cs="Times New Roman"/>
      <w:kern w:val="0"/>
      <w:sz w:val="18"/>
      <w:szCs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Body Text First Indent 2"/>
    <w:basedOn w:val="7"/>
    <w:qFormat/>
    <w:uiPriority w:val="0"/>
    <w:pPr>
      <w:ind w:firstLine="420"/>
    </w:pPr>
  </w:style>
  <w:style w:type="table" w:styleId="16">
    <w:name w:val="Table Grid"/>
    <w:basedOn w:val="15"/>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
    <w:name w:val="表格1"/>
    <w:qFormat/>
    <w:uiPriority w:val="0"/>
    <w:pPr>
      <w:widowControl w:val="0"/>
      <w:wordWrap w:val="0"/>
      <w:autoSpaceDE w:val="0"/>
      <w:autoSpaceDN w:val="0"/>
      <w:spacing w:line="360" w:lineRule="exact"/>
      <w:jc w:val="both"/>
    </w:pPr>
    <w:rPr>
      <w:rFonts w:ascii="宋体" w:hAnsi="Times New Roman" w:eastAsia="宋体" w:cs="Times New Roman"/>
      <w:kern w:val="0"/>
      <w:sz w:val="24"/>
      <w:szCs w:val="20"/>
      <w:lang w:val="en-US" w:eastAsia="zh-CN" w:bidi="ar-SA"/>
    </w:rPr>
  </w:style>
  <w:style w:type="paragraph" w:customStyle="1" w:styleId="1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0">
    <w:name w:val="GW-正文"/>
    <w:basedOn w:val="1"/>
    <w:qFormat/>
    <w:uiPriority w:val="0"/>
    <w:pPr>
      <w:spacing w:line="360" w:lineRule="auto"/>
      <w:ind w:firstLine="200" w:firstLineChars="200"/>
    </w:pPr>
    <w:rPr>
      <w:rFonts w:eastAsia="仿宋_GB2312"/>
      <w:sz w:val="24"/>
      <w:szCs w:val="24"/>
    </w:rPr>
  </w:style>
  <w:style w:type="paragraph" w:customStyle="1" w:styleId="2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10288</Words>
  <Characters>10520</Characters>
  <Lines>0</Lines>
  <Paragraphs>0</Paragraphs>
  <TotalTime>0</TotalTime>
  <ScaleCrop>false</ScaleCrop>
  <LinksUpToDate>false</LinksUpToDate>
  <CharactersWithSpaces>11394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2025-03-28T00:39:00Z</dcterms:created>
  <dc:creator>罗珊珊</dc:creator>
  <cp:lastModifiedBy>罗珊珊</cp:lastModifiedBy>
  <dcterms:modified xsi:type="dcterms:W3CDTF">2025-05-08T03:35:03Z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6BFDD3A51B454AF588B9D661C01DBAEE_13</vt:lpwstr>
  </property>
  <property fmtid="{D5CDD505-2E9C-101B-9397-08002B2CF9AE}" pid="4" name="KSOTemplateDocerSaveRecord">
    <vt:lpwstr>eyJoZGlkIjoiODcwZmE0ZmU3Y2M1ZWQ5MWU4OTc0ZDQ0OGMzYzM2NmMiLCJ1c2VySWQiOiIxMzE0MjM0OTg5In0=</vt:lpwstr>
  </property>
</Properties>
</file>