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bookmarkStart w:id="1" w:name="OLE_LINK1"/>
            <w:r>
              <w:rPr>
                <w:rFonts w:hint="default" w:ascii="Times New Roman" w:hAnsi="Times New Roman" w:eastAsia="宋体" w:cs="Times New Roman"/>
                <w:vertAlign w:val="baseline"/>
                <w:lang w:val="en-US" w:eastAsia="zh-CN"/>
              </w:rPr>
              <w:t>射频消融相关耗材等</w:t>
            </w:r>
            <w:bookmarkEnd w:id="1"/>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1744"/>
        <w:gridCol w:w="2333"/>
        <w:gridCol w:w="1167"/>
        <w:gridCol w:w="1100"/>
        <w:gridCol w:w="1150"/>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524"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序号</w:t>
            </w:r>
          </w:p>
        </w:tc>
        <w:tc>
          <w:tcPr>
            <w:tcW w:w="17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产品名称</w:t>
            </w:r>
          </w:p>
        </w:tc>
        <w:tc>
          <w:tcPr>
            <w:tcW w:w="23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生产厂家</w:t>
            </w:r>
          </w:p>
        </w:tc>
        <w:tc>
          <w:tcPr>
            <w:tcW w:w="116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型号</w:t>
            </w:r>
          </w:p>
        </w:tc>
        <w:tc>
          <w:tcPr>
            <w:tcW w:w="11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1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限高单价（元）</w:t>
            </w:r>
          </w:p>
        </w:tc>
        <w:tc>
          <w:tcPr>
            <w:tcW w:w="180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体表电极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Abbott Medical Costa Rica Ltda. 雅培医疗器械哥斯达黎加有限公司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EN0020-P</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国械注进20182070359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灌注泵管系统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爱尔湾生物医学公司IrvineBiomedical,Inc. aSt. JudeMedicalCompany</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85785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国械注进20173016744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可调弯电生理诊断导管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IBI-81102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国械注进20153073669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射频消融导管</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A701157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国械注进20163012674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1744"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射频消融定位导管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A-FASE-D</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A-FASE-F</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A-FASE-J</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A-FASE-DD</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A-FASE-FF</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A-FASE-FJ</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A-FASE-JJ</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74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A-FASE-CBL4</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国械注进20183010339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一次性使用磁电定位压力监测消融导管</w:t>
            </w:r>
          </w:p>
        </w:tc>
        <w:tc>
          <w:tcPr>
            <w:tcW w:w="23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A-TCSE-D</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国械注进20203010469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导引鞘管</w:t>
            </w:r>
          </w:p>
        </w:tc>
        <w:tc>
          <w:tcPr>
            <w:tcW w:w="23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406844</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国械注进20153034189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带止血阀的可控导管鞘</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 Jude Medical 圣犹达医疗用品有限公司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408309</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国械注进20153031169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408310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国械注进20153031169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房间隔穿刺鞘</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406849</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国械注进20193031831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一次性使用房间隔穿刺针</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雅培医疗器械Abbott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407200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国械注进20173031263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407206</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国械注进20173031263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电生理电极导管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圣犹达医疗用品有限公司 St.Jude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401434</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国械注进20173070679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402004</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国械注进20173070679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401353</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国械注进20173070679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401980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国械注进20173070679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401976</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国械注进20173070661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固定弯电生理诊断导管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爱尔湾生物医学公司IrvineBiomedical,Inc.aSt.JudeMedicalCompany</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国械注进20163070761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可调弯环形弯度电生理诊断导管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爱尔湾生物医学公司IrvineBiomedical,Inc.aSt.JudeMedicalCompany</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IBI-81594</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国械注进20153073970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IBI-85930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国械注进20153073970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射频消融导管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爱尔湾生物医学公司IrvineBiomedical,Inc.aSt.JudeMedicalCompany</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85641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国械注进20163010762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双向消融术导管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圣犹达医疗用品有限公司 St.Jude Medical</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402821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国械注进20163014296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体表电极（一次性使用体表参考电极）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LEAD-REF6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川械注准20202070035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灌注泵系统（灌注泵管系统）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VDC-PTS01U</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国械注淮20233141529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可调弯电生理诊断导管（一次性使用可调弯型心脏电生理标测导管）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D6M10282L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国械注准20203070026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射频消融导管（一次性使用心脏射频消融导管）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NH8D12LTC</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国械注准20203010014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电生理电极导管（一次性使用固定弯型心脏电生理标测导管）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F6A02010L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国械注准20203070027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固定弯电生理诊断导管（一次性使用固定弯型心脏电生理标测导管）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F6D04010L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国械注准20203070027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射频消融导管（一次性使用心脏射频消融导管）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四川锦江电子医疗器械科技股份有限公司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NN8D06LTC</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国械注准20223011615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中空纤维膜式氧合器</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日本泰尔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茂株式会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社</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CX*RX05RW</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国械注进20163101241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集成式膜式氧合器</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CX*FX15RW30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国械注进20163102915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CX*FX15RW40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CX*FX25RW</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一次性输尿管软镜（一次性使用电子输尿管肾盂内窥镜导管）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湖南瑞邦医疗科技发展有限公司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RUF-V2E</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20222061919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一次性包皮环切吻合器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温州冠美医疗科技有限公司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GM-B 13#/GM-B 15#/GM-B 18#/GM-B 22#/GM-B 26#/GM-B 30#/GM-B 33#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浙械注准20232021167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经皮肾穿刺套件（微创扩张引流套件）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湖南瑞邦医疗科技发展有限公司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F8-F18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1544.12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湘械注准20142030049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一次性使用输尿管导引鞘（一次性使用输尿管导引鞘及附件）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湖南瑞邦医疗科技发展有限公司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RB UAS YS10/12Fr x (130-550)、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RB UAS YS11/13Fr x (130-550)、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RB UAS YS12/14Fr x (130-550)、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RB UAS YS13/15Fr x (130-550)、RB UAS YS14/16Fr×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(130~550)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湘械注准20202020479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医用手术薄膜（脑科I型）（一次性使用无菌手术膜）</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浙江省淳安县人和医疗用品工贸有限公司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45*45cm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浙械注准20192140446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一次性使用输尿管导管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上海上医康鸽医用器材有限责任公司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F4/F5/F6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沪械注准20172140689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一次性使用穿刺活检针</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浙江伽奈维医疗科技有限公司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PTC2206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浙械注准20242141373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一次性使用穿刺活检针</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浙江伽奈维医疗科技有限公司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PTC2207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浙械注准20242141373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一次性使用穿刺活检针</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浙江伽奈维医疗科技有限公司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PTC2306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浙械注准20242141373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一次性使用穿刺活检针</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浙江伽奈维医疗科技有限公司</w:t>
            </w: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PTC2307</w:t>
            </w:r>
          </w:p>
        </w:tc>
        <w:tc>
          <w:tcPr>
            <w:tcW w:w="11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 </w:t>
            </w:r>
          </w:p>
        </w:tc>
        <w:tc>
          <w:tcPr>
            <w:tcW w:w="18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浙械注准20242141373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一次性使用穿刺活检针</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司塔来实验室有限公司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FLP1809、1815、1820、2209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国械注进20182141871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52</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一次性使用无菌气管插管包</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浙江优亿医疗器械股份有限公司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普通型3.0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浙械注准20212080375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普通型3.5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普通型4.0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普通型4.5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普通型5.0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普通型5.5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普通型6.0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普通型6.5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普通型7.0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普通型7.5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普通型8.0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环甲膜穿刺套装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苏州市美新迪斯医疗科技有限公司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苏械注准20232140967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64</w:t>
            </w:r>
          </w:p>
        </w:tc>
        <w:tc>
          <w:tcPr>
            <w:tcW w:w="17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一次性使用封堵支气管插管</w:t>
            </w:r>
          </w:p>
        </w:tc>
        <w:tc>
          <w:tcPr>
            <w:tcW w:w="23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杭州坦帕医疗科技有限公司</w:t>
            </w:r>
          </w:p>
        </w:tc>
        <w:tc>
          <w:tcPr>
            <w:tcW w:w="11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EBT0105S普通型</w:t>
            </w:r>
          </w:p>
        </w:tc>
        <w:tc>
          <w:tcPr>
            <w:tcW w:w="11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8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浙械注准20182080199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65</w:t>
            </w:r>
          </w:p>
        </w:tc>
        <w:tc>
          <w:tcPr>
            <w:tcW w:w="17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EBT0107S普通型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66</w:t>
            </w:r>
          </w:p>
        </w:tc>
        <w:tc>
          <w:tcPr>
            <w:tcW w:w="17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EBT0109S普通型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67</w:t>
            </w:r>
          </w:p>
        </w:tc>
        <w:tc>
          <w:tcPr>
            <w:tcW w:w="17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EBT0205S预充气型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68</w:t>
            </w:r>
          </w:p>
        </w:tc>
        <w:tc>
          <w:tcPr>
            <w:tcW w:w="17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EBT0207S预充气型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69</w:t>
            </w:r>
          </w:p>
        </w:tc>
        <w:tc>
          <w:tcPr>
            <w:tcW w:w="17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EBT0209S预充气型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一次性使用内窥镜取样钳</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江苏真由美生物科技有限公司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FB-DOP-18-1600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苏械注准20222022218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FB-DOP-23-2300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72</w:t>
            </w:r>
          </w:p>
        </w:tc>
        <w:tc>
          <w:tcPr>
            <w:tcW w:w="17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口垫</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扬州龙虎医疗器械有限公司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E型有舌/F型无舌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苏扬械备20150241号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73</w:t>
            </w:r>
          </w:p>
        </w:tc>
        <w:tc>
          <w:tcPr>
            <w:tcW w:w="17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一次性使用止血夹装置</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江苏唯德康医疗科技有限公司</w:t>
            </w: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VDK-CD-09-180-O</w:t>
            </w:r>
          </w:p>
        </w:tc>
        <w:tc>
          <w:tcPr>
            <w:tcW w:w="11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8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苏械注准20232020186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角膜塑形用硬性透气接触镜</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亨泰光学股份有限公司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2719.35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国械注许20163160006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一次性使用硅橡胶胃管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江苏华泰医疗器械有限公司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2.0mm(Fr6)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苏械注准20172140098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2.7mm(Fr8)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3.3mm(Fr10)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4.0mm(Fr12)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4.7mm(Fr14)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5.3mm(Fr16)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6.0mm(Fr18)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82</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一次性使用吸痰管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江苏邦盛振业医疗器械有限公司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1.67mm（5F）×470m</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苏械注准20202081183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2.0mm（6F）×470mm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2.67mm（8F）×470mm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3.33mm（10F）×470mm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4.0mm（12F）×470mm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4.67mm（14F）×470mm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5.33mm（16F）×470mm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6.00mm（18F）×470mm</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脐血管导管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Utah Medical Products, Inc. 美国优他医疗器械股份有限公司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国械注进20173031236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94</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脐血管导管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昊朗医疗美国公司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A1503513002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国械注进20233030079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A1500423002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脉博血氧饱和度传感器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深圳市美连医疗电子股份有限公司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S0136M-L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粤械注准20172070438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97</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一次性使用乳胶导尿管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单腔标准型12Fr-18Fr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粤械注准20162140874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双腔儿童型8Fr-10Fr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双腔标准型12Fr-24Fr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三腔标准型16Fr-24Fr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101</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一次性使用无菌硅胶胶导尿管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双腔儿童型6Fr-10Fr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粤械注准20162140878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双腔标准型12Fr-24Fr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三腔标准型16Fr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三腔标准型18Fr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三腔标准型20Fr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三腔标准型22Fr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三腔标准型24Fr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一次性使用导尿包</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乳胶导尿管包单腔型8Fr-24Fr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粤械注准20192140744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乳胶导尿管包双腔儿童型8Fr-24Fr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乳胶导尿管包双腔标准型12Fr-24Fr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15.92</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乳胶导尿管包三腔标准型12Fr-24Fr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硅胶导尿管包双腔儿童型6Fr-10Fr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硅胶导尿管包双腔标准型12Fr-24Fr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硅胶导尿管包三腔标准型16Fr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硅胶导尿管包三腔标准型18Fr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硅胶导尿管包三腔标准型20Fr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硅胶导尿管包三腔标准型22Fr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硅胶导尿管包三腔标准型24Fr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一次性使用集尿袋</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江苏荣业科技有限公司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子母式3100ml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苏械注准20172142020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一次性使用集尿袋</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精密型2500mL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 20172141801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解脲脲原体和人型支原体培养鉴定药敏试剂盒（液体培养基）（微生物检验法）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珠海丽珠试剂股份有限公司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20人份/盒（9项药敏）</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粤械注准20162400521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哥伦比亚血琼脂平板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巧克力色血琼脂平板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90mm嗜血型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营养琼脂培养基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29.12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豫郑械备20170081号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沙保罗琼脂平板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MH琼脂平板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29.92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羊血M-H培养基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9cm 20个/盒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HTM培养基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重庆庞通医疗器械有限公司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Φ90mm 10个平板/包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渝械注准20192400120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念珠菌显色平板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70mm 20块/包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120.16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豫械注准20152400621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25.87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伊红美兰琼脂平板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麦康凯琼脂平板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27.68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中国蓝琼脂平板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39.20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TCBS平板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广州市迪景微生物科技有限公司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9cm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粤械注准20152400488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TCBS平板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广州市迪景微生物科技有限公司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7cm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粤械注准20152400488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淋球菌琼脂平板</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郑州安图生物工程股份有限公司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 10块/包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豫械注准20172400634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细菌微量生化反应管-葡萄糖生化反应管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细菌微量生化反应管-丙二酸盐生化管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细菌微量生化反应管-蔗糖生化管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细菌微量生化反应管-鼠李糖生化管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细菌微量生化反应管-山梨糖生化管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细菌微量生化反应管-山梨醇生化管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细菌微量生化反应管-侧金盏花醇生化管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细菌微量生化反应管-水杨素生化管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细菌微量生化反应管-苯丙氨酸生化管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细菌微量生化反应管-七叶苷生化管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细菌微量生化反应管-蛋白胨水生化管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浙械注准20172400124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细菌微量生化管系列-麦芽糖</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细菌微量生化管系列-甘露糖</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细菌微量生化管系列-木糖</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细菌微量生化管系列-蕈糖</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细菌微量生化管系列-棉子糖</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细菌微量生化管系列-Hugh-Leifson氧化发酵（O-F）培养基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细菌微量生化管系列-胆汁七叶苷</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细菌微量生化管系列-丙酮酸钠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细菌微量生化管系列-硝酸盐还原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细菌微量生化管系列-β-半乳糖苷</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细菌微量生化管系列-精氨酸双水解酶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细菌微量生化管系列-精氨酸脱羧酶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细菌微量生化管系列-磷酸盐葡萄糖胨水</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细菌微量生化管系列-葡萄糖酸盐</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杭州滨和微生物试剂有限公司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1ml（Vi)</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1ml（A-F多价)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1ml（11种）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1ml(30种)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沙门氏菌属诊断血清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1ml（59种)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志贺氏菌属诊断血清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1ml（20种/套）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志贺氏菌属诊断血清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1ml（48种/套）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4607.9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志贺氏菌属诊断血清（四种多价）</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福氏志贺氏菌多价诊断血清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宋内氏志贺氏菌多价诊断血清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鲍氏志贺氏菌多价诊断血清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志贺氏菌属诊断血清痢疾1型</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宁波天润生物药业有限公司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志贺氏菌属诊断血清痢疾2型</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宁波天润生物药业有限公司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肠道致病性大肠艾希氏菌属诊断血清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1ml（15种）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O1群霍乱弧菌诊断血清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兰州生物制品研究所有限责任公司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伤寒、副伤寒及变形菌OX19、OX2、OXK诊断菌液（肥达氏）</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宁波天润生物药业有限公司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10mlx5瓶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伤寒、副伤寒及变形菌OX19、OX3、OXK诊断菌液（外斐氏）</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宁波天润生物药业有限公司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10mlx3瓶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140.40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国械注准20173404340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院感监测培养基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成都瑞琦医疗科技有限责任公司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川蓉械备20140048号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增菌培养基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成都瑞琦医疗科技有限责任公司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川蓉械备20140049号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肉汤培养基-葡萄糖肉汤培养基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 10支/盒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浙温械备20160003号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头孢噻肟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头孢曲松</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头孢哌酮</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头孢他啶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头孢呋辛</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头孢唑啉</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头孢西丁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头孢吡肟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哌拉西林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苯唑西林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氨苄西林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羧苄西林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替卡西林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左氧氟沙星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环丙沙星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洛美沙星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加替沙星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氟罗沙星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诺氟沙星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庆大霉素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司帕沙星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多西环素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米诺环素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克拉霉素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万古霉素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阿奇霉素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卡那霉素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克林霉素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红霉素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青霉素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氯霉素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磷霉素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链霉素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四环素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利福平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阿莫西林/棒酸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替卡西林/棒酸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头孢他啶/棒酸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头孢噻肟/棒酸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头孢哌酮/舒巴坦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氨苄西林/舒巴坦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哌拉西林/他唑巴坦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复方新诺明</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丁胺卡那</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呋喃妥因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氨曲南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亚胺培南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美罗培南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妥布霉素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奈替米星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头孢唑肟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头孢噻吩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替考拉宁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微生物药敏试纸（扩散法&lt;K-B法&gt;） 甲氧苄啶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20片/瓶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细菌药敏试条（E试验法）头孢噻肟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细菌药敏试条（E试验法）头孢噻肟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细菌药敏试条（E试验法）头孢曲松</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细菌药敏试条（E试验法）头孢曲松</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细菌药敏试条（E试验法）头孢哌酮</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细菌药敏试条（E试验法）头孢他啶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细菌药敏试条（E试验法）头孢他啶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细菌药敏试条（E试验法）头孢呋辛</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细菌药敏试条（E试验法）头孢唑啉</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细菌药敏试条（E试验法）头孢西丁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细菌药敏试条（E试验法）头孢吡肟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细菌药敏试条（E试验法）头孢吡肟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细菌药敏试条（E试验法）哌拉西林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革兰阳性菌药敏试条（E试验法）苯唑西林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细菌药敏试条（E试验法）氨苄西林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细菌药敏试条（E试验法）氨苄西林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细菌药敏试条（E试验法）羧苄西林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512～0.125  20条/盒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细菌药敏试条（E试验法）替卡西林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细菌药敏试条（E试验法）左氧氟沙星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细菌药敏试条（E试验法）环丙沙星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细菌药敏试条（E试验法）洛美沙星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细菌药敏试条（E试验法）加替沙星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细菌药敏试条（E试验法）氟罗沙星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细菌药敏试条（E试验法）诺氟沙星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细菌药敏试条（E试验法）庆大霉素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细菌药敏试条（E试验法）司帕沙星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细菌药敏试条（E试验法）多西环素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细菌药敏试条（E试验法）米诺环素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细菌药敏试条（E试验法）克拉霉素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细菌药敏试条（E试验法）克拉霉素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革兰阳性菌药敏试条（E试验法）万古霉素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细菌药敏试条（E试验法）阿奇霉素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细菌药敏试条（E试验法）卡那霉素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革兰阳性菌药敏试条（E试验法）克林霉素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革兰阳性菌药敏试条（E试验法）克林霉素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细菌药敏试条（E试验法）红霉素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细菌药敏试条（E试验法）红霉素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细菌药敏试条（E试验法）青霉素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细菌药敏试条（E试验法）氯霉素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革兰阳性菌药敏试条（E试验法）利奈唑胺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细菌药敏试条（E试验法）四环素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细菌药敏试条（E试验法）利福平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细菌药敏试条（E试验法）利福平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细菌药敏试条（E试验法）阿莫西林/棒酸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256/128～0.064/0.032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细菌药敏试条（E试验法）阿莫西林/棒酸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32/16～0.008/0.004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细菌药敏试条（E试验法）替卡西林/棒酸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256/2～0.064/2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革兰阴性菌药敏试条（E试验法）头孢他啶/棒酸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256/4～0.064/4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革兰阴性菌药敏试条（E试验法）头孢噻肟/棒酸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256/4～0.064/4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细菌药敏试条（E试验法）头孢哌酮/舒巴坦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256/128～0.064/0.032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细菌药敏试条（E试验法）氨苄西林/舒巴坦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256/128～0.064/0.032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细菌药敏试条（E试验法）哌拉西林/他唑巴坦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256/4～0.064/4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细菌药敏试条（E试验法）复方新诺明</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32/608～0.008/0.152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细菌药敏试条（E试验法）丁胺卡那</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细菌药敏试条（E试验法）呋喃妥因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512～0.125  20条/盒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革兰阴性菌药敏试条（E试验法）氨曲南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细菌药敏试条（E试验法）亚胺培南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细菌药敏试条（E试验法）美罗培南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细菌药敏试条（E试验法）妥布霉素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革兰阳性菌药敏试条（E试验法）替考拉宁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256～0.064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替加环素药敏试条（E试验法）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32～0.008 20条/盒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浙械注准20182400422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革兰阴性菌药敏试条（E试验法）头孢他啶/阿维巴坦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20条/盒 CZA 0.064/4～256/4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浙械注准20152400399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细菌药敏试剂(微量肉汤稀释法)头孢噻肟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细菌药敏试剂(微量肉汤稀释法)头孢曲松</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细菌药敏试剂(微量肉汤稀释法)头孢哌酮</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细菌药敏试剂(微量肉汤稀释法)头孢他啶</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细菌药敏试剂(微量肉汤稀释法)头孢呋辛</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细菌药敏试剂(微量肉汤稀释法)头孢唑啉</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细菌药敏试剂(微量肉汤稀释法)头孢西丁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细菌药敏试剂(微量肉汤稀释法)头孢吡肟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细菌药敏试剂(微量肉汤稀释法)哌拉西林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革兰阳性菌药敏试剂(微量肉汤稀释法)苯唑西林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细菌药敏试剂(微量肉汤稀释法)氨苄西林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细菌药敏试剂(微量肉汤稀释法)羧苄西林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细菌药敏试剂(微量肉汤稀释法)替卡西林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细菌药敏试剂(微量肉汤稀释法)左氧氟沙星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4～0.032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细菌药敏试剂(微量肉汤稀释法)环丙沙星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细菌药敏试剂(微量肉汤稀释法)氧氟沙星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细菌药敏试剂(微量肉汤稀释法)洛美沙星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细菌药敏试剂(微量肉汤稀释法)加替沙星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细菌药敏试剂(微量肉汤稀释法)氟罗沙星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细菌药敏试剂(微量肉汤稀释法)诺氟沙星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细菌药敏试剂(微量肉汤稀释法)庆大霉素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细菌药敏试剂(微量肉汤稀释法)司帕沙星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细菌药敏试剂(微量肉汤稀释法)多西环素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细菌药敏试剂(微量肉汤稀释法)米诺环素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细菌药敏试剂(微量肉汤稀释法)克拉霉素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革兰阳性菌药敏试剂(微量肉汤稀释法)万古霉素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细菌药敏试剂(微量肉汤稀释法)卡那霉素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革兰阳性菌药敏试剂(微量肉汤稀释法)克林霉素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细菌药敏试剂(微量肉汤稀释法)红霉素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细菌药敏试剂(微量肉汤稀释法)青霉素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细菌药敏试剂(微量肉汤稀释法)氯霉素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革兰阳性菌药敏试剂(微量肉汤稀释法)利奈唑胺药</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细菌药敏试剂(微量肉汤稀释法)链霉素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1024～8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细菌药敏试剂(微量肉汤稀释法)四环素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细菌药敏试剂(微量肉汤稀释法)利福平</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细菌药敏试剂(微量肉汤稀释法)阿莫西林/棒酸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64/32～0.5/0.25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细菌药敏试剂(微量肉汤稀释法)替卡西林/棒酸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256/2～2/2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革兰阴性菌药敏试剂(微量肉汤稀释法)头孢他啶/棒酸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64/4～0.5/4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革兰阴性菌药敏试剂(微量肉汤稀释法)头孢噻肟/棒酸</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64/4～0.5/4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细菌药敏试剂(微量肉汤稀释法)头孢哌酮/舒巴坦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128/64～1/0.5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细菌药敏试剂(微量肉汤稀释法)氨苄西林/舒巴坦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64/32～0.5/0.25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细菌药敏试剂(微量肉汤稀释法)哌拉西林/他唑巴坦</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256/4～2/4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细菌药敏试剂(微量肉汤稀释法)复方新诺明</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16/304～0.125/2.375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细菌药敏试剂(微量肉汤稀释法)丁胺卡那</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细菌药敏试剂(微量肉汤稀释法)呋喃妥因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256～2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革兰阴性菌药敏试剂(微量肉汤稀释法)氨曲南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细菌药敏试剂(微量肉汤稀释法)亚胺培南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细菌药敏试剂(微量肉汤稀释法)美罗培南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细菌药敏试剂(微量肉汤稀释法)妥布霉素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革兰阳性菌药敏试剂(微量肉汤稀释法)替考拉宁</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细菌药敏试剂(微量肉汤稀释法)头孢克罗</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温州市康泰生物科技有限公司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 8浓度*10条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浙械注准20162400668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过氧化物酶染色液（POX）（氧化WG-KI法）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过氧化物酶染色液（氧化WG-KI法），20Tests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铁染色液，5Tests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糖原染色液(PAS)</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糖原染色液，20Tests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262.48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氯醋酸AS-D萘酚酯酶染色液(AS-DCE)</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氯醋酸AS-D萘酚酯酶染色液，20Tests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酸性a-醋酸萘酚酯酶染色液（ANAE）</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酸性a-醋酸萘酚酯酶染色液，6Tests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162.00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a-醋酸萘酚酯酶染色液（a-NAE）（坚牢蓝法）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粤珠械备20160002号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a-丁酸萘酚酯酶染色液（α-NBE）</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a-丁酸萘酚酯酶染色液，20Tests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中性粒细胞碱性磷酸酶染色液(NAP)</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中性粒细胞碱性磷酸酶染色液，5Tests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粤珠食药监械(准)字2013第1400005号/粤珠械备20170032号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酸性磷酸酶染色液(ACP)</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粤珠械备20170029号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苏丹黑染色液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苏丹黑染色液，2×20ml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粤珠食药监械（准）字2013第1400002号+变更文件/粤珠械备20170034号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瑞氏-姬姆萨染色液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套组，3×250ml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粤珠械备20170093号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网织红细胞染色液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网织红细胞染色液，6×20ml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200.40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含铁血黄素染色液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含铁血黄素染色液，3×20ml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粤珠食药监械（准）字2013第1400002号+变更文件/粤珠械备20170003号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成都瑞琦医疗科技有限责任公司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川蓉械备20140040号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革兰氏染色液(快速法)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快速革兰氏染色液（单瓶碘溶液），250ml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282.81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革兰氏染色液(快速法)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快速革兰氏染色液（单瓶龙胆紫液），250ml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297.85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革兰氏染色液(快速法)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快速革兰氏染色液（单瓶沙黄溶液），250ml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革兰氏染色液(快速法)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快速革兰氏染色液（单瓶脱色液），250ml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革兰氏染色液(快速法)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快速革兰氏染色液（整组染液），4×250ml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275.00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抗酸染色液(冷染法)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结核菌染色液（冷染法）（整组染液），4×250ml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抗酸染色液(冷染法)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结核菌染色液（单瓶酸性酒精溶液），250ml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抗酸染色液(冷染法)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结核菌染色液（单瓶亚甲基蓝溶液），250ml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297.96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抗酸染色液(荧光金胺O法)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结核菌染色液（荧光金胺O法）（整组染液），4×250ml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乳酸酚棉蓝染色液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粤珠械备20160092号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真菌荧光染色液（一步法）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粤珠械备20170134号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六胺银染色液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六胺银染色液，20Tests</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粤珠食药监械（准）字2013第1400002号+变更文件/粤珠械备20170014号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瑞氏-姬姆萨染色液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瑞氏姬姆萨染色液（A液单瓶），5000ml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942.66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瑞氏-姬姆萨染色液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珠海贝索生物技术有限公司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瑞氏姬姆萨染色液（B液，单瓶），5000ml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粤珠食药监械(准)字2013第1400066号/粤珠械备20170093号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幽门螺旋杆菌IgG抗体检测试剂盒(胶体金法)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MP Biomedicals Asia Pacific Pte Ltd</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国械注进20193402265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肺炎支原体核酸检测试剂盒（荧光PCR法）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上海伯杰医疗科技股份有限公司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国械注准20243401093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百日咳杆菌核酸检测试剂盒（荧光PCR法）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上海伯杰医疗科技股份有限公司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国械注准20243400350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呼吸道病毒核酸联合检测试剂（结核分枝杆菌复合群核酸检测试剂盒(恒温扩增-实时荧光法)）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杭州优思达生物技术股份有限公司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 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国械注准20193401027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呼吸道病毒核酸联合检测试剂（结核分枝杆菌复合群核酸检测试剂盒(恒温扩增-实时荧光法)）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杭州优思达生物技术股份有限公司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国械注准20193401027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呼吸道病毒核酸联合检测试剂（结核分枝杆菌复合群核酸检测试剂盒(恒温扩增-实时荧光法)）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杭州优思达生物技术股份有限公司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 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国械注准20193401027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腺病毒核酸检测试剂盒(PCR-荧光探针法)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圣湘生物科技股份有限公司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bookmarkStart w:id="35" w:name="_GoBack"/>
            <w:bookmarkEnd w:id="35"/>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国械注准20223400291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六项呼吸道病原体核酸检测试剂盒(PCR-荧光探针法)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圣湘生物科技股份有限公司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国械注准20213400256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六项呼吸道病原菌核酸检测试剂盒(多重荧光 PCR法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圣湘生物科技股份有限公司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国械注准20223400597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肺炎支原体核酸及耐药突变位点检测试剂盒（荧光PCR法）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江苏默乐生物科技股份有限公司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国械注准20143402242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梅毒螺旋体抗体检测试剂盒(胶体金法)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山东康华生物医疗科技股份有限公司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条式（筒装）：25人份/筒*4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国械注准20153401404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抗人绒毛膜促性腺激素抗体检测试剂盒（酶联免疫法）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深圳市安群生物工程有限公司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434.88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粤械注准20172401469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抗精子抗体检测试剂盒（酶联免疫法）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深圳市安群生物工程有限公司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粤械注准20172401565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抗卵巢抗体检测试剂盒（酶联免疫法）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深圳市安群生物工程有限公司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粤械注准20172401471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抗子宫内膜抗体检测试剂盒（酶联免疫法）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深圳市安群生物工程有限公司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384.00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粤械注准20172401578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抗透明带抗体检测试剂盒（酶联免疫法）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深圳市安群生物工程有限公司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粤械注准20142400083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人类免疫缺陷病毒(HIV1+2型)抗体检测试剂盒(免疫印迹法)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安倍生物医学亚太私人有限公司 MPBiomedicals AsiaPacific Pte. Ltd.</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200.00元/人份</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国械注进20163401575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苏械注准20162400480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3×96人份/盒(7项C)</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苏械注准20152400355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型号I:3×96 人份/盒(14项)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苏械注准20152400354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型号II:3×96 人份/盒(7项A)</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3502.08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苏械注准20152400354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399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型号III:3×96 人份/盒(7项 B)</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苏械注准20152400354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3×96人份/盒(14项）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3784.32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苏械注准20172401480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食物特异性IgG抗体检测试剂盒(酶联免疫法)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江苏浩欧博生物医药股份有限公司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3×96人份/盒(7项）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苏械注准20172401482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402</w:t>
            </w:r>
          </w:p>
        </w:tc>
        <w:tc>
          <w:tcPr>
            <w:tcW w:w="17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全程 C-反应蛋白（hsCRP+常规 CRP二合一）检测试剂盒（胶乳增强免疫 比浊法）</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上海奥普生物医药股份有限公司</w:t>
            </w: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200人份/盒</w:t>
            </w:r>
          </w:p>
        </w:tc>
        <w:tc>
          <w:tcPr>
            <w:tcW w:w="11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人份</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8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沪械注准20142400193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血清淀粉样蛋白 A 检测试剂盒（胶乳增强免疫比浊法）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上海奥普生物医药股份有限公司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200人份（瓶装）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沪械注准20172400383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404</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心电图记录纸纸</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天津广大置业股份有限公司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80mm*20m</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210*300-200P</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406</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除颤仪记录纸</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天津广大置业股份有限公司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108*20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411</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胎儿监护仪记录纸</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天津广大置业股份有限公司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156*100-150P</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152*90-150P</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413</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利器盒</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武汉科美特环保科技有限公司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2LY</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419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10LY</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3LF</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5LF</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422</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一次性子宫颈扩张器</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英姿医疗科技（湖南）有限公司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CD-A-01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湘械注准20212181711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CD-A-02</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湘械注准20212181711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输卵管导丝（一次性使用输卵管造影导管）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江苏伊凯医疗器械有限公司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苏械注准20152181341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交联透明质酸钠凝胶</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常州百瑞吉生物医药股份有限公司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国械注准20223140092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427</w:t>
            </w:r>
          </w:p>
        </w:tc>
        <w:tc>
          <w:tcPr>
            <w:tcW w:w="17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四川广铭生物制品有限公司</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I型1.5mg/g*2g</w:t>
            </w: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63636"/>
                <w:sz w:val="20"/>
                <w:szCs w:val="20"/>
                <w:u w:val="none"/>
              </w:rPr>
            </w:pPr>
            <w:r>
              <w:rPr>
                <w:rFonts w:hint="eastAsia" w:ascii="宋体" w:hAnsi="宋体" w:eastAsia="宋体" w:cs="宋体"/>
                <w:i w:val="0"/>
                <w:color w:val="363636"/>
                <w:kern w:val="0"/>
                <w:sz w:val="20"/>
                <w:szCs w:val="20"/>
                <w:u w:val="none"/>
                <w:lang w:val="en-US" w:eastAsia="zh-CN" w:bidi="ar"/>
              </w:rPr>
              <w:t>440</w:t>
            </w:r>
          </w:p>
        </w:tc>
        <w:tc>
          <w:tcPr>
            <w:tcW w:w="18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川械注准20232180284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一次性使用胆管引流管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粤械注准20162140875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429</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430</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435</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437</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纱球</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河南祥禾卫材有限公司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豫械注准20212140588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一次性使用麻醉呼吸机管路</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宁波博雅医疗器械有限公司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BY-GL-A-4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浙械注准20162081087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440</w:t>
            </w:r>
          </w:p>
        </w:tc>
        <w:tc>
          <w:tcPr>
            <w:tcW w:w="1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一次性使用无菌内镜异物取出钳</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上海埃尔顿医疗器械有限公司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AF-D1810GH</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80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沪械注准20192020344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441</w:t>
            </w:r>
          </w:p>
        </w:tc>
        <w:tc>
          <w:tcPr>
            <w:tcW w:w="1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AF-D1807GT</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18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442</w:t>
            </w:r>
          </w:p>
        </w:tc>
        <w:tc>
          <w:tcPr>
            <w:tcW w:w="1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AF-D1810GM 3R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18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443</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一次性使用无菌内镜异物取出钳 </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AF-D1810GR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沪械注准20192020344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444</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AF-D1810GL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一次性取石网篮</w:t>
            </w: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AF-D1810BR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沪械注准20212020050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446</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AF-D1810BL</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447</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一次性使用心电电极</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上海梵华实业有限公司</w:t>
            </w: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0.41</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沪械注准20192070321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448</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449</w:t>
            </w:r>
          </w:p>
        </w:tc>
        <w:tc>
          <w:tcPr>
            <w:tcW w:w="17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医用透明质酸钠修护膜（液）</w:t>
            </w:r>
          </w:p>
        </w:tc>
        <w:tc>
          <w:tcPr>
            <w:tcW w:w="23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湖南仁馨生物技术有限公司</w:t>
            </w:r>
          </w:p>
        </w:tc>
        <w:tc>
          <w:tcPr>
            <w:tcW w:w="1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V型 300mg</w:t>
            </w:r>
          </w:p>
        </w:tc>
        <w:tc>
          <w:tcPr>
            <w:tcW w:w="11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18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湘械注准20212140089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镍钛记忆合金缝合线</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普瑞斯星（常州）医疗器械有限公司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PT3-10-10-280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苏械注准20152020368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PT4-10-15-300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452</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PT5-12-20-300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453</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PT6-14-20-300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一次性使用呼吸过滤器包</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杭州川方至医疗器械有限公司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呼吸管路型基本配置(单管路带测压、过滤器)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浙械注准20192080689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      S （小）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湘械注准20162080142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456</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      M（中）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      L（大）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458</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 S（小）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459</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 M（中）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 L（大）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FMI-NV M（中号）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FMI-NV S（小号）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463</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FMI-NV L（大号）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NMI-NV M（中号）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NMI-NV S（小号）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466</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正压通气面罩</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湖南比扬医疗科技有限公司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EaseFit NMI-NV L（大号）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MAX-ACT专用规格检测试管</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海伦娜实验室</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MAX-ACT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50支/盒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1399.50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国械注进20162221999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牙科临时粘固材料</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明州斯睿医疗产品（上海）有限公司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各型号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国械注进20153173071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不锈钢预制临时牙冠</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明州斯睿医疗产品（上海）有限公司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各型号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2864.75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国械注进20162171070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一次性使用无菌子宫造影通水管</w:t>
            </w:r>
          </w:p>
        </w:tc>
        <w:tc>
          <w:tcPr>
            <w:tcW w:w="2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广州维力医疗器械股份有限公司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粤械注准20172181856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471</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12Fr</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472</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精子活体染色液（伊红法）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济南博莱生物技术有限公司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800.00 </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鲁济械备20200688号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改良秋水酰胺溶液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广州达晖生物技术股份有限公司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10ug/ml，2ml/管，10管/盒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粤穗械备20220065号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骨髓细胞培养基</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上海达特希尔生物科技有限公司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沪浦械备20150133号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苯胺蓝（霍夫曼蓝）染色液</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深圳市博锐德生物科技有限公司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40测试/盒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粤深械备20140105号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细胞原位培养载玻片</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上海乐辰生物科技有限公司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CM-Ins-24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477</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p16/Ki67检测试剂盒（免疫细胞化学法）</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深圳褀氏生物科技有限公司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50人份/盒</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粤深械备 20190679号</w:t>
            </w:r>
          </w:p>
        </w:tc>
      </w:tr>
    </w:tbl>
    <w:p>
      <w:pPr>
        <w:pStyle w:val="4"/>
        <w:numPr>
          <w:ilvl w:val="0"/>
          <w:numId w:val="0"/>
        </w:numPr>
        <w:ind w:leftChars="98"/>
        <w:rPr>
          <w:rFonts w:hint="default"/>
          <w:lang w:val="en-US" w:eastAsia="zh-CN"/>
        </w:rPr>
      </w:pPr>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2" w:name="_Toc217446095"/>
      <w:r>
        <w:rPr>
          <w:rFonts w:hint="default" w:ascii="宋体" w:hAnsi="宋体" w:eastAsia="宋体" w:cs="仿宋"/>
          <w:b/>
          <w:bCs/>
          <w:kern w:val="0"/>
          <w:sz w:val="24"/>
          <w:szCs w:val="24"/>
          <w:lang w:val="en-US" w:eastAsia="zh-CN" w:bidi="ar-SA"/>
        </w:rPr>
        <w:t>商务要求</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2"/>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2"/>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3" w:name="_Toc9234"/>
      <w:bookmarkStart w:id="4" w:name="_Toc21676"/>
      <w:bookmarkStart w:id="5" w:name="_Toc15614"/>
      <w:bookmarkStart w:id="6" w:name="_Toc21163"/>
      <w:bookmarkStart w:id="7" w:name="_Toc3414"/>
      <w:r>
        <w:rPr>
          <w:rFonts w:hint="eastAsia" w:ascii="仿宋" w:hAnsi="仿宋" w:eastAsia="仿宋" w:cs="仿宋"/>
          <w:w w:val="95"/>
        </w:rPr>
        <w:t>承诺函</w:t>
      </w:r>
      <w:bookmarkEnd w:id="3"/>
      <w:bookmarkEnd w:id="4"/>
      <w:bookmarkEnd w:id="5"/>
      <w:bookmarkEnd w:id="6"/>
      <w:bookmarkEnd w:id="7"/>
    </w:p>
    <w:p>
      <w:pPr>
        <w:spacing w:line="360" w:lineRule="auto"/>
        <w:outlineLvl w:val="1"/>
        <w:rPr>
          <w:rFonts w:hint="eastAsia" w:ascii="仿宋" w:hAnsi="仿宋" w:eastAsia="仿宋" w:cs="仿宋"/>
          <w:sz w:val="22"/>
        </w:rPr>
      </w:pPr>
      <w:bookmarkStart w:id="8" w:name="_Toc5499"/>
      <w:bookmarkStart w:id="9" w:name="_Toc30494"/>
      <w:bookmarkStart w:id="10" w:name="_Toc10689"/>
      <w:bookmarkStart w:id="11" w:name="_Toc5208"/>
      <w:bookmarkStart w:id="12" w:name="_Toc11076"/>
      <w:bookmarkStart w:id="13" w:name="_Toc14802"/>
      <w:bookmarkStart w:id="14" w:name="_Toc60"/>
      <w:bookmarkStart w:id="15" w:name="_Toc30275"/>
      <w:bookmarkStart w:id="16" w:name="_Toc12490"/>
      <w:r>
        <w:rPr>
          <w:rFonts w:hint="eastAsia" w:ascii="仿宋" w:hAnsi="仿宋" w:eastAsia="仿宋" w:cs="仿宋"/>
          <w:sz w:val="22"/>
        </w:rPr>
        <w:t>致：</w:t>
      </w:r>
      <w:bookmarkEnd w:id="8"/>
      <w:bookmarkEnd w:id="9"/>
      <w:bookmarkEnd w:id="10"/>
      <w:bookmarkEnd w:id="11"/>
      <w:bookmarkEnd w:id="12"/>
      <w:bookmarkEnd w:id="13"/>
      <w:bookmarkEnd w:id="14"/>
      <w:bookmarkEnd w:id="15"/>
      <w:bookmarkEnd w:id="16"/>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7" w:name="_Toc30080"/>
      <w:bookmarkStart w:id="18" w:name="_Toc10948"/>
      <w:bookmarkStart w:id="19" w:name="_Toc28103"/>
      <w:bookmarkStart w:id="20" w:name="_Toc18879"/>
      <w:bookmarkStart w:id="21" w:name="_Toc30724"/>
      <w:bookmarkStart w:id="22" w:name="_Toc8717"/>
      <w:bookmarkStart w:id="23" w:name="_Toc26481"/>
      <w:bookmarkStart w:id="24" w:name="_Toc3392"/>
      <w:bookmarkStart w:id="25" w:name="_Toc3912"/>
      <w:bookmarkStart w:id="26" w:name="_Toc13021"/>
      <w:bookmarkStart w:id="27" w:name="_Toc10183"/>
      <w:bookmarkStart w:id="28" w:name="_Toc18513"/>
      <w:bookmarkStart w:id="29" w:name="_Toc32214"/>
      <w:bookmarkStart w:id="30" w:name="_Toc3447"/>
      <w:bookmarkStart w:id="31" w:name="_Toc7067"/>
      <w:bookmarkStart w:id="32" w:name="_Toc9131"/>
      <w:bookmarkStart w:id="33" w:name="_Toc3081"/>
      <w:bookmarkStart w:id="34" w:name="_Toc19115"/>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0" w:firstLineChars="1000"/>
        <w:jc w:val="left"/>
        <w:rPr>
          <w:rFonts w:hint="eastAsia" w:ascii="仿宋_GB2312" w:hAnsi="仿宋_GB2312" w:eastAsia="仿宋_GB2312" w:cs="仿宋_GB2312"/>
          <w:b/>
          <w:bCs/>
          <w:sz w:val="28"/>
          <w:szCs w:val="28"/>
        </w:rPr>
      </w:pPr>
    </w:p>
    <w:p>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2"/>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p>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spacing w:line="420" w:lineRule="exact"/>
        <w:rPr>
          <w:rFonts w:hint="eastAsia" w:ascii="仿宋" w:hAnsi="仿宋" w:eastAsia="仿宋"/>
          <w:color w:val="auto"/>
          <w:sz w:val="28"/>
          <w:szCs w:val="28"/>
        </w:rPr>
      </w:pPr>
    </w:p>
    <w:p>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pPr>
        <w:tabs>
          <w:tab w:val="left" w:pos="5580"/>
        </w:tabs>
        <w:spacing w:line="420" w:lineRule="exact"/>
        <w:rPr>
          <w:rFonts w:ascii="仿宋" w:hAnsi="仿宋" w:eastAsia="仿宋"/>
          <w:color w:val="auto"/>
          <w:sz w:val="28"/>
          <w:szCs w:val="28"/>
        </w:rPr>
      </w:pPr>
    </w:p>
    <w:p>
      <w:pPr>
        <w:spacing w:line="312" w:lineRule="auto"/>
        <w:jc w:val="center"/>
        <w:rPr>
          <w:rFonts w:hint="eastAsia" w:ascii="黑体" w:hAnsi="黑体" w:eastAsia="黑体"/>
          <w:color w:val="auto"/>
          <w:sz w:val="44"/>
          <w:szCs w:val="44"/>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pPr>
        <w:spacing w:line="420" w:lineRule="exact"/>
        <w:rPr>
          <w:rFonts w:ascii="仿宋" w:hAnsi="仿宋" w:eastAsia="仿宋"/>
          <w:color w:val="auto"/>
          <w:sz w:val="28"/>
          <w:szCs w:val="28"/>
        </w:rPr>
      </w:pPr>
    </w:p>
    <w:p>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pPr>
        <w:spacing w:line="420" w:lineRule="exact"/>
        <w:ind w:firstLine="4220" w:firstLineChars="2000"/>
        <w:rPr>
          <w:rFonts w:ascii="微软雅黑" w:hAnsi="微软雅黑" w:eastAsia="微软雅黑"/>
          <w:color w:val="auto"/>
        </w:rPr>
      </w:pPr>
    </w:p>
    <w:p>
      <w:pPr>
        <w:spacing w:line="500" w:lineRule="exact"/>
        <w:rPr>
          <w:rFonts w:hint="eastAsia" w:ascii="黑体" w:hAnsi="黑体" w:eastAsia="黑体"/>
          <w:color w:val="auto"/>
          <w:sz w:val="28"/>
          <w:szCs w:val="28"/>
        </w:rPr>
      </w:pPr>
    </w:p>
    <w:p>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360" w:lineRule="exact"/>
        <w:ind w:firstLine="562" w:firstLineChars="200"/>
        <w:jc w:val="left"/>
        <w:rPr>
          <w:rFonts w:hint="eastAsia" w:ascii="仿宋" w:hAnsi="仿宋" w:eastAsia="仿宋"/>
          <w:color w:val="auto"/>
          <w:sz w:val="28"/>
          <w:szCs w:val="28"/>
        </w:rPr>
      </w:pP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C5D2491"/>
    <w:rsid w:val="0DBB7E7D"/>
    <w:rsid w:val="0E2B59F6"/>
    <w:rsid w:val="0E911C5D"/>
    <w:rsid w:val="10954EC2"/>
    <w:rsid w:val="12836C9D"/>
    <w:rsid w:val="12A81059"/>
    <w:rsid w:val="12F40DED"/>
    <w:rsid w:val="13485B4A"/>
    <w:rsid w:val="14456F80"/>
    <w:rsid w:val="167D53F7"/>
    <w:rsid w:val="18A53700"/>
    <w:rsid w:val="18B43DAF"/>
    <w:rsid w:val="195D2073"/>
    <w:rsid w:val="1A37043E"/>
    <w:rsid w:val="1C462F83"/>
    <w:rsid w:val="1DF8438B"/>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0F1E9E"/>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4F0D6C58"/>
    <w:rsid w:val="5198787C"/>
    <w:rsid w:val="51CB3FD0"/>
    <w:rsid w:val="53914C7E"/>
    <w:rsid w:val="54974DD6"/>
    <w:rsid w:val="54A55367"/>
    <w:rsid w:val="5536063D"/>
    <w:rsid w:val="55DB3850"/>
    <w:rsid w:val="55F211D3"/>
    <w:rsid w:val="56183BA8"/>
    <w:rsid w:val="577B25E6"/>
    <w:rsid w:val="5C452678"/>
    <w:rsid w:val="5C6319F4"/>
    <w:rsid w:val="5D2D064D"/>
    <w:rsid w:val="5DC03791"/>
    <w:rsid w:val="5FEC0FA4"/>
    <w:rsid w:val="60795DD8"/>
    <w:rsid w:val="61DB5EE7"/>
    <w:rsid w:val="625B71CF"/>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972CA3"/>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6037</Words>
  <Characters>6247</Characters>
  <Lines>30</Lines>
  <Paragraphs>8</Paragraphs>
  <TotalTime>13</TotalTime>
  <ScaleCrop>false</ScaleCrop>
  <LinksUpToDate>false</LinksUpToDate>
  <CharactersWithSpaces>6606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杨燕</cp:lastModifiedBy>
  <dcterms:modified xsi:type="dcterms:W3CDTF">2025-04-28T08:00:08Z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E6981F7A20924F4DB8AA0919B817C916_12</vt:lpwstr>
  </property>
</Properties>
</file>