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F99E21" w14:textId="77777777" w:rsidR="00A82504" w:rsidRDefault="00000000">
      <w:pPr>
        <w:pStyle w:val="1"/>
        <w:widowControl/>
        <w:shd w:val="clear" w:color="auto" w:fill="FFFFFF"/>
        <w:spacing w:after="60" w:afterAutospacing="0" w:line="360" w:lineRule="auto"/>
        <w:jc w:val="center"/>
        <w:rPr>
          <w:rFonts w:ascii="黑体" w:eastAsia="黑体" w:hAnsi="黑体" w:cs="黑体"/>
          <w:sz w:val="44"/>
          <w:szCs w:val="44"/>
        </w:rPr>
      </w:pPr>
      <w:r>
        <w:rPr>
          <w:rFonts w:ascii="黑体" w:eastAsia="黑体" w:hAnsi="黑体" w:cs="黑体"/>
          <w:sz w:val="44"/>
          <w:szCs w:val="44"/>
          <w:shd w:val="clear" w:color="auto" w:fill="FFFFFF"/>
        </w:rPr>
        <w:t>科研物资线上采购平台招标参数</w:t>
      </w:r>
    </w:p>
    <w:p w14:paraId="457F7E59" w14:textId="621F8AC1" w:rsidR="00A82504" w:rsidRPr="00FD311B" w:rsidRDefault="00000000">
      <w:pPr>
        <w:pStyle w:val="a5"/>
        <w:ind w:firstLine="420"/>
        <w:rPr>
          <w:rFonts w:hAnsi="宋体" w:cs="宋体" w:hint="eastAsia"/>
          <w:b/>
          <w:sz w:val="24"/>
          <w:szCs w:val="24"/>
        </w:rPr>
      </w:pPr>
      <w:r w:rsidRPr="00DC7EFF">
        <w:rPr>
          <w:rFonts w:hAnsi="宋体" w:cs="宋体" w:hint="eastAsia"/>
          <w:b/>
          <w:sz w:val="24"/>
          <w:szCs w:val="24"/>
        </w:rPr>
        <w:t>前提：本章中标注“★”号的条款为本项目的实质性要求，供应商应全部满足，否</w:t>
      </w:r>
      <w:r w:rsidRPr="00DC7EFF">
        <w:rPr>
          <w:rFonts w:hAnsi="宋体" w:cs="宋体" w:hint="eastAsia"/>
          <w:b/>
          <w:sz w:val="24"/>
          <w:szCs w:val="24"/>
          <w:u w:val="single"/>
        </w:rPr>
        <w:t>则</w:t>
      </w:r>
      <w:r w:rsidRPr="00DC7EFF">
        <w:rPr>
          <w:rFonts w:hAnsi="宋体" w:cs="宋体" w:hint="eastAsia"/>
          <w:b/>
          <w:sz w:val="24"/>
          <w:szCs w:val="24"/>
        </w:rPr>
        <w:t>其投标文件作无效处理。</w:t>
      </w:r>
      <w:r w:rsidR="00FD311B" w:rsidRPr="00FD311B">
        <w:rPr>
          <w:rFonts w:hAnsi="宋体" w:cs="宋体" w:hint="eastAsia"/>
          <w:b/>
          <w:sz w:val="24"/>
          <w:szCs w:val="24"/>
        </w:rPr>
        <w:t>“▲”符号的条款为本项目的重要参数条款，未标识符号的条款为一般参数条款。</w:t>
      </w:r>
    </w:p>
    <w:p w14:paraId="1A16D184" w14:textId="77777777" w:rsidR="00A82504" w:rsidRDefault="00000000">
      <w:pPr>
        <w:spacing w:line="360" w:lineRule="auto"/>
        <w:rPr>
          <w:rFonts w:ascii="黑体" w:eastAsia="黑体" w:hAnsi="黑体" w:cs="黑体" w:hint="eastAsia"/>
          <w:b/>
          <w:sz w:val="36"/>
          <w:szCs w:val="36"/>
        </w:rPr>
      </w:pPr>
      <w:r>
        <w:rPr>
          <w:rFonts w:ascii="黑体" w:eastAsia="黑体" w:hAnsi="黑体" w:cs="黑体" w:hint="eastAsia"/>
          <w:b/>
          <w:sz w:val="36"/>
          <w:szCs w:val="36"/>
        </w:rPr>
        <w:t>一、采购清单</w:t>
      </w:r>
    </w:p>
    <w:p w14:paraId="6D22335E" w14:textId="77777777" w:rsidR="00A82504" w:rsidRPr="00FD311B" w:rsidRDefault="00A82504" w:rsidP="00DC7EFF">
      <w:pPr>
        <w:rPr>
          <w:rFonts w:hAnsi="宋体" w:cs="宋体" w:hint="eastAsia"/>
          <w:sz w:val="28"/>
          <w:szCs w:val="28"/>
        </w:rPr>
      </w:pPr>
    </w:p>
    <w:tbl>
      <w:tblPr>
        <w:tblW w:w="8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3986"/>
        <w:gridCol w:w="1035"/>
        <w:gridCol w:w="1005"/>
        <w:gridCol w:w="1822"/>
      </w:tblGrid>
      <w:tr w:rsidR="00A82504" w14:paraId="69B023EA" w14:textId="77777777" w:rsidTr="00DC7EFF">
        <w:trPr>
          <w:trHeight w:val="583"/>
          <w:jc w:val="center"/>
        </w:trPr>
        <w:tc>
          <w:tcPr>
            <w:tcW w:w="541" w:type="dxa"/>
            <w:vAlign w:val="center"/>
          </w:tcPr>
          <w:p w14:paraId="169F010F" w14:textId="77777777" w:rsidR="00A82504" w:rsidRDefault="00000000">
            <w:pPr>
              <w:widowControl/>
              <w:adjustRightInd w:val="0"/>
              <w:snapToGrid w:val="0"/>
              <w:spacing w:line="300" w:lineRule="exact"/>
              <w:contextualSpacing/>
              <w:jc w:val="center"/>
              <w:rPr>
                <w:rFonts w:ascii="宋体" w:hAnsi="宋体" w:cs="宋体" w:hint="eastAsia"/>
                <w:b/>
                <w:bCs/>
                <w:color w:val="000000"/>
                <w:kern w:val="0"/>
                <w:szCs w:val="21"/>
              </w:rPr>
            </w:pPr>
            <w:r>
              <w:rPr>
                <w:rFonts w:ascii="宋体" w:hAnsi="宋体" w:cs="宋体" w:hint="eastAsia"/>
                <w:b/>
                <w:bCs/>
                <w:color w:val="000000"/>
                <w:kern w:val="0"/>
                <w:szCs w:val="21"/>
              </w:rPr>
              <w:t>序号</w:t>
            </w:r>
          </w:p>
        </w:tc>
        <w:tc>
          <w:tcPr>
            <w:tcW w:w="3986" w:type="dxa"/>
            <w:vAlign w:val="center"/>
          </w:tcPr>
          <w:p w14:paraId="6CF856D1" w14:textId="77777777" w:rsidR="00A82504" w:rsidRDefault="00000000">
            <w:pPr>
              <w:widowControl/>
              <w:adjustRightInd w:val="0"/>
              <w:snapToGrid w:val="0"/>
              <w:spacing w:line="300" w:lineRule="exact"/>
              <w:contextualSpacing/>
              <w:jc w:val="center"/>
              <w:rPr>
                <w:rFonts w:ascii="宋体" w:hAnsi="宋体" w:cs="宋体" w:hint="eastAsia"/>
                <w:b/>
                <w:bCs/>
                <w:color w:val="000000"/>
                <w:kern w:val="0"/>
                <w:szCs w:val="21"/>
              </w:rPr>
            </w:pPr>
            <w:r>
              <w:rPr>
                <w:rFonts w:ascii="宋体" w:hAnsi="宋体" w:cs="宋体" w:hint="eastAsia"/>
                <w:b/>
                <w:bCs/>
                <w:color w:val="000000"/>
                <w:kern w:val="0"/>
                <w:szCs w:val="21"/>
              </w:rPr>
              <w:t>标的名称</w:t>
            </w:r>
          </w:p>
        </w:tc>
        <w:tc>
          <w:tcPr>
            <w:tcW w:w="1035" w:type="dxa"/>
            <w:vAlign w:val="center"/>
          </w:tcPr>
          <w:p w14:paraId="0E277CE0" w14:textId="77777777" w:rsidR="00A82504" w:rsidRDefault="00000000">
            <w:pPr>
              <w:widowControl/>
              <w:adjustRightInd w:val="0"/>
              <w:snapToGrid w:val="0"/>
              <w:spacing w:line="300" w:lineRule="exact"/>
              <w:contextualSpacing/>
              <w:jc w:val="center"/>
              <w:rPr>
                <w:rFonts w:ascii="宋体" w:hAnsi="宋体" w:cs="宋体" w:hint="eastAsia"/>
                <w:b/>
                <w:bCs/>
                <w:color w:val="000000"/>
                <w:kern w:val="0"/>
                <w:szCs w:val="21"/>
              </w:rPr>
            </w:pPr>
            <w:r>
              <w:rPr>
                <w:rFonts w:ascii="宋体" w:hAnsi="宋体" w:cs="宋体" w:hint="eastAsia"/>
                <w:b/>
                <w:bCs/>
                <w:color w:val="000000"/>
                <w:kern w:val="0"/>
                <w:szCs w:val="21"/>
              </w:rPr>
              <w:t>单位</w:t>
            </w:r>
          </w:p>
        </w:tc>
        <w:tc>
          <w:tcPr>
            <w:tcW w:w="1005" w:type="dxa"/>
            <w:vAlign w:val="center"/>
          </w:tcPr>
          <w:p w14:paraId="1BEE550D" w14:textId="77777777" w:rsidR="00A82504" w:rsidRDefault="00000000">
            <w:pPr>
              <w:widowControl/>
              <w:adjustRightInd w:val="0"/>
              <w:snapToGrid w:val="0"/>
              <w:spacing w:line="300" w:lineRule="exact"/>
              <w:contextualSpacing/>
              <w:jc w:val="center"/>
              <w:rPr>
                <w:rFonts w:ascii="宋体" w:hAnsi="宋体" w:cs="宋体" w:hint="eastAsia"/>
                <w:b/>
                <w:bCs/>
                <w:color w:val="000000"/>
                <w:kern w:val="0"/>
                <w:szCs w:val="21"/>
              </w:rPr>
            </w:pPr>
            <w:r>
              <w:rPr>
                <w:rFonts w:ascii="宋体" w:hAnsi="宋体" w:cs="宋体" w:hint="eastAsia"/>
                <w:b/>
                <w:bCs/>
                <w:color w:val="000000"/>
                <w:kern w:val="0"/>
                <w:szCs w:val="21"/>
              </w:rPr>
              <w:t>数量</w:t>
            </w:r>
          </w:p>
        </w:tc>
        <w:tc>
          <w:tcPr>
            <w:tcW w:w="1822" w:type="dxa"/>
            <w:vAlign w:val="center"/>
          </w:tcPr>
          <w:p w14:paraId="214185A1" w14:textId="77777777" w:rsidR="00A82504" w:rsidRDefault="00000000">
            <w:pPr>
              <w:widowControl/>
              <w:adjustRightInd w:val="0"/>
              <w:snapToGrid w:val="0"/>
              <w:spacing w:line="300" w:lineRule="exact"/>
              <w:contextualSpacing/>
              <w:jc w:val="center"/>
              <w:rPr>
                <w:rFonts w:ascii="宋体" w:hAnsi="宋体" w:cs="宋体" w:hint="eastAsia"/>
                <w:b/>
                <w:bCs/>
                <w:color w:val="000000"/>
                <w:kern w:val="0"/>
                <w:szCs w:val="21"/>
              </w:rPr>
            </w:pPr>
            <w:r>
              <w:rPr>
                <w:rFonts w:ascii="宋体" w:hAnsi="宋体" w:cs="宋体" w:hint="eastAsia"/>
                <w:b/>
                <w:bCs/>
                <w:color w:val="000000"/>
                <w:kern w:val="0"/>
                <w:szCs w:val="21"/>
              </w:rPr>
              <w:t>项目预算</w:t>
            </w:r>
          </w:p>
        </w:tc>
      </w:tr>
      <w:tr w:rsidR="00A82504" w14:paraId="693FD234" w14:textId="77777777" w:rsidTr="00DC7EFF">
        <w:trPr>
          <w:trHeight w:val="827"/>
          <w:jc w:val="center"/>
        </w:trPr>
        <w:tc>
          <w:tcPr>
            <w:tcW w:w="541" w:type="dxa"/>
            <w:vAlign w:val="center"/>
          </w:tcPr>
          <w:p w14:paraId="255EAB37" w14:textId="77777777" w:rsidR="00A82504" w:rsidRDefault="00000000">
            <w:pPr>
              <w:pStyle w:val="af"/>
              <w:widowControl/>
              <w:adjustRightInd w:val="0"/>
              <w:snapToGrid w:val="0"/>
              <w:spacing w:line="300" w:lineRule="exact"/>
              <w:ind w:firstLineChars="0" w:firstLine="0"/>
              <w:contextualSpacing/>
              <w:jc w:val="center"/>
              <w:rPr>
                <w:rFonts w:ascii="宋体" w:hAnsi="宋体" w:cs="宋体" w:hint="eastAsia"/>
                <w:bCs/>
                <w:color w:val="000000"/>
                <w:szCs w:val="28"/>
              </w:rPr>
            </w:pPr>
            <w:r>
              <w:rPr>
                <w:rFonts w:ascii="宋体" w:hAnsi="宋体" w:cs="宋体" w:hint="eastAsia"/>
                <w:bCs/>
                <w:color w:val="000000"/>
                <w:szCs w:val="28"/>
              </w:rPr>
              <w:t>1</w:t>
            </w:r>
          </w:p>
        </w:tc>
        <w:tc>
          <w:tcPr>
            <w:tcW w:w="3986" w:type="dxa"/>
            <w:vAlign w:val="center"/>
          </w:tcPr>
          <w:p w14:paraId="3BDB2357" w14:textId="77777777" w:rsidR="00A82504" w:rsidRDefault="00000000">
            <w:pPr>
              <w:pStyle w:val="3"/>
              <w:jc w:val="center"/>
              <w:rPr>
                <w:rFonts w:ascii="宋体" w:hAnsi="宋体" w:cs="宋体" w:hint="eastAsia"/>
                <w:color w:val="000000"/>
                <w:sz w:val="28"/>
                <w:szCs w:val="28"/>
              </w:rPr>
            </w:pPr>
            <w:r>
              <w:rPr>
                <w:rFonts w:ascii="宋体" w:hAnsi="宋体" w:cs="宋体" w:hint="eastAsia"/>
                <w:color w:val="000000"/>
                <w:sz w:val="28"/>
                <w:szCs w:val="28"/>
              </w:rPr>
              <w:t>科研物资线上采购平台</w:t>
            </w:r>
          </w:p>
        </w:tc>
        <w:tc>
          <w:tcPr>
            <w:tcW w:w="1035" w:type="dxa"/>
            <w:vAlign w:val="center"/>
          </w:tcPr>
          <w:p w14:paraId="60E78995" w14:textId="77777777" w:rsidR="00A82504" w:rsidRDefault="00000000">
            <w:pPr>
              <w:pStyle w:val="3"/>
              <w:jc w:val="center"/>
              <w:rPr>
                <w:rFonts w:ascii="宋体" w:hAnsi="宋体" w:cs="宋体" w:hint="eastAsia"/>
                <w:color w:val="000000"/>
                <w:sz w:val="28"/>
                <w:szCs w:val="28"/>
              </w:rPr>
            </w:pPr>
            <w:r>
              <w:rPr>
                <w:rFonts w:ascii="宋体" w:hAnsi="宋体" w:cs="宋体" w:hint="eastAsia"/>
                <w:color w:val="000000"/>
                <w:sz w:val="28"/>
                <w:szCs w:val="28"/>
              </w:rPr>
              <w:t>1</w:t>
            </w:r>
          </w:p>
        </w:tc>
        <w:tc>
          <w:tcPr>
            <w:tcW w:w="1005" w:type="dxa"/>
            <w:vAlign w:val="center"/>
          </w:tcPr>
          <w:p w14:paraId="2D961630" w14:textId="77777777" w:rsidR="00A82504" w:rsidRDefault="00000000">
            <w:pPr>
              <w:pStyle w:val="3"/>
              <w:jc w:val="center"/>
              <w:rPr>
                <w:rFonts w:ascii="宋体" w:hAnsi="宋体" w:cs="宋体" w:hint="eastAsia"/>
                <w:color w:val="000000"/>
                <w:sz w:val="28"/>
                <w:szCs w:val="28"/>
              </w:rPr>
            </w:pPr>
            <w:r>
              <w:rPr>
                <w:rFonts w:ascii="宋体" w:hAnsi="宋体" w:cs="宋体" w:hint="eastAsia"/>
                <w:color w:val="000000"/>
                <w:sz w:val="28"/>
                <w:szCs w:val="28"/>
              </w:rPr>
              <w:t>套</w:t>
            </w:r>
          </w:p>
        </w:tc>
        <w:tc>
          <w:tcPr>
            <w:tcW w:w="1822" w:type="dxa"/>
            <w:vAlign w:val="center"/>
          </w:tcPr>
          <w:p w14:paraId="71DDE8FB" w14:textId="77777777" w:rsidR="00A82504" w:rsidRDefault="00000000" w:rsidP="00DC7EFF">
            <w:pPr>
              <w:pStyle w:val="3"/>
              <w:ind w:firstLineChars="200" w:firstLine="562"/>
              <w:rPr>
                <w:rFonts w:ascii="宋体" w:hAnsi="宋体" w:cs="宋体" w:hint="eastAsia"/>
                <w:color w:val="000000"/>
                <w:sz w:val="28"/>
                <w:szCs w:val="28"/>
              </w:rPr>
            </w:pPr>
            <w:r>
              <w:rPr>
                <w:rFonts w:ascii="宋体" w:hAnsi="宋体" w:cs="宋体" w:hint="eastAsia"/>
                <w:color w:val="000000"/>
                <w:sz w:val="28"/>
                <w:szCs w:val="28"/>
              </w:rPr>
              <w:t>0元</w:t>
            </w:r>
          </w:p>
        </w:tc>
      </w:tr>
    </w:tbl>
    <w:p w14:paraId="4CEFCD8E" w14:textId="77777777" w:rsidR="00A82504" w:rsidRDefault="00A82504">
      <w:pPr>
        <w:spacing w:line="360" w:lineRule="auto"/>
      </w:pPr>
    </w:p>
    <w:p w14:paraId="74FF2C3B" w14:textId="77777777" w:rsidR="00A82504" w:rsidRDefault="00000000">
      <w:pPr>
        <w:spacing w:line="360" w:lineRule="auto"/>
        <w:rPr>
          <w:rFonts w:ascii="黑体" w:eastAsia="黑体" w:hAnsi="黑体" w:cs="黑体" w:hint="eastAsia"/>
          <w:b/>
          <w:sz w:val="36"/>
          <w:szCs w:val="36"/>
        </w:rPr>
      </w:pPr>
      <w:r>
        <w:rPr>
          <w:rFonts w:ascii="黑体" w:eastAsia="黑体" w:hAnsi="黑体" w:cs="黑体" w:hint="eastAsia"/>
          <w:b/>
          <w:sz w:val="36"/>
          <w:szCs w:val="36"/>
        </w:rPr>
        <w:t>二、技术功能需求</w:t>
      </w:r>
    </w:p>
    <w:p w14:paraId="783F3EB1" w14:textId="77777777" w:rsidR="00A82504" w:rsidRDefault="00000000">
      <w:pPr>
        <w:spacing w:line="360" w:lineRule="auto"/>
        <w:rPr>
          <w:rFonts w:ascii="黑体" w:eastAsia="黑体" w:hAnsi="黑体" w:cs="黑体" w:hint="eastAsia"/>
          <w:b/>
          <w:sz w:val="24"/>
          <w:szCs w:val="32"/>
        </w:rPr>
      </w:pPr>
      <w:r>
        <w:rPr>
          <w:rFonts w:ascii="黑体" w:eastAsia="黑体" w:hAnsi="黑体" w:cs="黑体" w:hint="eastAsia"/>
          <w:b/>
          <w:sz w:val="24"/>
          <w:szCs w:val="32"/>
        </w:rPr>
        <w:t>（一）核心功能模块</w:t>
      </w:r>
    </w:p>
    <w:p w14:paraId="05C6C0B8" w14:textId="77777777" w:rsidR="00A82504" w:rsidRDefault="00000000">
      <w:pPr>
        <w:spacing w:line="360" w:lineRule="auto"/>
        <w:rPr>
          <w:rFonts w:ascii="黑体" w:eastAsia="黑体" w:hAnsi="黑体" w:cs="黑体" w:hint="eastAsia"/>
          <w:b/>
          <w:sz w:val="24"/>
          <w:szCs w:val="32"/>
        </w:rPr>
      </w:pPr>
      <w:r>
        <w:rPr>
          <w:rFonts w:ascii="黑体" w:eastAsia="黑体" w:hAnsi="黑体" w:cs="黑体" w:hint="eastAsia"/>
          <w:b/>
          <w:sz w:val="24"/>
          <w:szCs w:val="32"/>
        </w:rPr>
        <w:t>商品管理</w:t>
      </w:r>
    </w:p>
    <w:p w14:paraId="40206189"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1.</w:t>
      </w:r>
      <w:r>
        <w:rPr>
          <w:rFonts w:ascii="Times New Roman" w:hAnsi="Times New Roman" w:cs="Times New Roman"/>
          <w:sz w:val="24"/>
          <w:szCs w:val="32"/>
        </w:rPr>
        <w:t>分类展示：支持对实验耗材、试剂、仪器、科研服务等全品类商品进行详细分类展示。商品展示页面需图文并茂，除提供清晰的商品图片外，还应包含详细的文字描述，如规格参数、技术指标、使用方法、适用场景等信息，确保用户能全面了解商品特性。</w:t>
      </w:r>
    </w:p>
    <w:p w14:paraId="32059C1E"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2.</w:t>
      </w:r>
      <w:r>
        <w:rPr>
          <w:rFonts w:ascii="Times New Roman" w:hAnsi="Times New Roman" w:cs="Times New Roman"/>
          <w:sz w:val="24"/>
          <w:szCs w:val="32"/>
        </w:rPr>
        <w:t>搜索功能：提供强大的搜索功能，支持模糊搜索及精准搜索。用户可通过输入商品名称、品牌、型号、供应商等关键字进行搜索。</w:t>
      </w:r>
    </w:p>
    <w:p w14:paraId="53BEE8EE"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3.</w:t>
      </w:r>
      <w:r>
        <w:rPr>
          <w:rFonts w:ascii="Times New Roman" w:hAnsi="Times New Roman" w:cs="Times New Roman"/>
          <w:sz w:val="24"/>
          <w:szCs w:val="32"/>
        </w:rPr>
        <w:t>订单管理：具备购物车功能，有进度显示和信息推送（邮件、短信、微信），可分类检索、删除、收藏、批量确认订单。</w:t>
      </w:r>
    </w:p>
    <w:p w14:paraId="7F7C58F1"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4.</w:t>
      </w:r>
      <w:r>
        <w:rPr>
          <w:rFonts w:ascii="Times New Roman" w:hAnsi="Times New Roman" w:cs="Times New Roman"/>
          <w:sz w:val="24"/>
          <w:szCs w:val="32"/>
        </w:rPr>
        <w:t>退换货模块：出现上商品不符合单位要求等情况需要退货时，提供退换货系统，用户可以与商家协商完成整个退货流程。</w:t>
      </w:r>
    </w:p>
    <w:p w14:paraId="4E7623E7"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5.</w:t>
      </w:r>
      <w:r>
        <w:rPr>
          <w:rFonts w:ascii="Times New Roman" w:hAnsi="Times New Roman" w:cs="Times New Roman"/>
          <w:sz w:val="24"/>
          <w:szCs w:val="32"/>
        </w:rPr>
        <w:t>评价投诉管理：采购人员可评价商品和供应商服务，查看科研人员对供应商的投诉信息及处理记录。</w:t>
      </w:r>
    </w:p>
    <w:p w14:paraId="38A21673"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6.</w:t>
      </w:r>
      <w:r>
        <w:rPr>
          <w:rFonts w:ascii="Times New Roman" w:hAnsi="Times New Roman" w:cs="Times New Roman"/>
          <w:sz w:val="24"/>
          <w:szCs w:val="32"/>
        </w:rPr>
        <w:t>询价竞价功能：支持在线发布采购信息，供应商可以在线竞价，采购人可查看所有报价，并支持咨询功能。</w:t>
      </w:r>
    </w:p>
    <w:p w14:paraId="58F7A565"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lastRenderedPageBreak/>
        <w:t>7.</w:t>
      </w:r>
      <w:r>
        <w:rPr>
          <w:rFonts w:ascii="Times New Roman" w:hAnsi="Times New Roman" w:cs="Times New Roman"/>
          <w:sz w:val="24"/>
          <w:szCs w:val="32"/>
        </w:rPr>
        <w:t>价格监控：建立完善的商品价格动态监控机制，实时监测平台商品价格。平台需定期收集市场价格数据以及供应商线下价格信息，确保平台上的商品线上价格不高于市场价及供应商线下价格。若发现价格违规，平台应按照承诺对差价进行双倍返还，维护采购方的经济利益。</w:t>
      </w:r>
    </w:p>
    <w:p w14:paraId="7AFF16AB" w14:textId="77777777" w:rsidR="00A82504" w:rsidRDefault="00000000">
      <w:pPr>
        <w:numPr>
          <w:ilvl w:val="255"/>
          <w:numId w:val="0"/>
        </w:numPr>
        <w:spacing w:line="360" w:lineRule="auto"/>
        <w:rPr>
          <w:rFonts w:ascii="黑体" w:eastAsia="黑体" w:hAnsi="黑体" w:cs="黑体" w:hint="eastAsia"/>
          <w:b/>
          <w:sz w:val="24"/>
          <w:szCs w:val="32"/>
        </w:rPr>
      </w:pPr>
      <w:r>
        <w:rPr>
          <w:rFonts w:ascii="黑体" w:eastAsia="黑体" w:hAnsi="黑体" w:cs="黑体" w:hint="eastAsia"/>
          <w:b/>
          <w:sz w:val="24"/>
          <w:szCs w:val="32"/>
        </w:rPr>
        <w:t>供应商管理</w:t>
      </w:r>
    </w:p>
    <w:p w14:paraId="78F386EC"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8.</w:t>
      </w:r>
      <w:r>
        <w:rPr>
          <w:rFonts w:ascii="Times New Roman" w:hAnsi="Times New Roman" w:cs="Times New Roman"/>
          <w:sz w:val="24"/>
          <w:szCs w:val="32"/>
        </w:rPr>
        <w:t>审核机制：由平台对供应商进行资质审核，审核内容包括但不限于营业执照、</w:t>
      </w:r>
      <w:r>
        <w:rPr>
          <w:rFonts w:ascii="宋体" w:eastAsia="宋体" w:hAnsi="宋体" w:cs="宋体" w:hint="eastAsia"/>
          <w:color w:val="000000"/>
          <w:sz w:val="24"/>
        </w:rPr>
        <w:t>品牌代理、服务申明等资质，</w:t>
      </w:r>
      <w:r>
        <w:rPr>
          <w:rFonts w:ascii="Times New Roman" w:hAnsi="Times New Roman" w:cs="Times New Roman"/>
          <w:sz w:val="24"/>
          <w:szCs w:val="32"/>
        </w:rPr>
        <w:t>确保供应商具备合法经营资质和基本的供应能力。</w:t>
      </w:r>
    </w:p>
    <w:p w14:paraId="420BDB3E" w14:textId="485CA886" w:rsidR="00A82504" w:rsidRDefault="00000000">
      <w:pPr>
        <w:spacing w:line="360" w:lineRule="auto"/>
        <w:ind w:firstLineChars="200" w:firstLine="480"/>
        <w:rPr>
          <w:rFonts w:ascii="宋体" w:eastAsia="宋体" w:hAnsi="宋体" w:cs="宋体" w:hint="eastAsia"/>
          <w:color w:val="000000"/>
          <w:sz w:val="24"/>
        </w:rPr>
      </w:pPr>
      <w:r>
        <w:rPr>
          <w:rFonts w:ascii="Times New Roman" w:hAnsi="Times New Roman" w:cs="Times New Roman" w:hint="eastAsia"/>
          <w:sz w:val="24"/>
          <w:szCs w:val="32"/>
        </w:rPr>
        <w:t>▲</w:t>
      </w:r>
      <w:r>
        <w:rPr>
          <w:rFonts w:ascii="宋体" w:eastAsia="宋体" w:hAnsi="宋体" w:cs="宋体"/>
          <w:color w:val="000000"/>
          <w:sz w:val="24"/>
        </w:rPr>
        <w:t>9.</w:t>
      </w:r>
      <w:r>
        <w:rPr>
          <w:rFonts w:ascii="宋体" w:eastAsia="宋体" w:hAnsi="宋体" w:cs="宋体" w:hint="eastAsia"/>
          <w:color w:val="000000"/>
          <w:sz w:val="24"/>
        </w:rPr>
        <w:t>平台建设方可以根据服务情况收取系统供应商平台交易服务费，不得高于交易额的5%。系统建设方不得以任何形式和理由另外收取系统供应商质保金、押金，系统建设方须出具书面承诺并加盖公司公章。</w:t>
      </w:r>
    </w:p>
    <w:p w14:paraId="04E0D28A" w14:textId="77777777"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10.</w:t>
      </w:r>
      <w:r>
        <w:rPr>
          <w:rFonts w:ascii="Times New Roman" w:hAnsi="Times New Roman" w:cs="Times New Roman"/>
          <w:sz w:val="24"/>
        </w:rPr>
        <w:t>等级认证：对供应商进行定期的等级认证。依据供应商在平台的各项表现（包括但不限于销量、售后服务、配送速度、投诉情况）对供应商进行服务能力的整体动态考核与等级认证，并公开等级认证结果。考核未达标的供应</w:t>
      </w:r>
      <w:proofErr w:type="gramStart"/>
      <w:r>
        <w:rPr>
          <w:rFonts w:ascii="Times New Roman" w:hAnsi="Times New Roman" w:cs="Times New Roman"/>
          <w:sz w:val="24"/>
        </w:rPr>
        <w:t>商予以</w:t>
      </w:r>
      <w:proofErr w:type="gramEnd"/>
      <w:r>
        <w:rPr>
          <w:rFonts w:ascii="Times New Roman" w:hAnsi="Times New Roman" w:cs="Times New Roman"/>
          <w:sz w:val="24"/>
        </w:rPr>
        <w:t>清理清退，保证整个平台优质的服务质量，切实维护用户利益。</w:t>
      </w:r>
    </w:p>
    <w:p w14:paraId="61659CAE" w14:textId="25BA049B"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▲11.</w:t>
      </w:r>
      <w:proofErr w:type="gramStart"/>
      <w:r>
        <w:rPr>
          <w:rFonts w:ascii="Times New Roman" w:hAnsi="Times New Roman" w:cs="Times New Roman"/>
          <w:sz w:val="24"/>
        </w:rPr>
        <w:t>供应商库规模</w:t>
      </w:r>
      <w:proofErr w:type="gramEnd"/>
      <w:r>
        <w:rPr>
          <w:rFonts w:ascii="Times New Roman" w:hAnsi="Times New Roman" w:cs="Times New Roman"/>
          <w:sz w:val="24"/>
        </w:rPr>
        <w:t>：</w:t>
      </w:r>
      <w:proofErr w:type="gramStart"/>
      <w:r>
        <w:rPr>
          <w:rFonts w:ascii="Times New Roman" w:hAnsi="Times New Roman" w:cs="Times New Roman"/>
          <w:sz w:val="24"/>
        </w:rPr>
        <w:t>供应商库初始</w:t>
      </w:r>
      <w:proofErr w:type="gramEnd"/>
      <w:r>
        <w:rPr>
          <w:rFonts w:ascii="Times New Roman" w:hAnsi="Times New Roman" w:cs="Times New Roman"/>
          <w:sz w:val="24"/>
        </w:rPr>
        <w:t>规模应不少于</w:t>
      </w:r>
      <w:r>
        <w:rPr>
          <w:rFonts w:ascii="Times New Roman" w:hAnsi="Times New Roman" w:cs="Times New Roman"/>
          <w:sz w:val="24"/>
        </w:rPr>
        <w:t>1000</w:t>
      </w:r>
      <w:r>
        <w:rPr>
          <w:rFonts w:ascii="Times New Roman" w:hAnsi="Times New Roman" w:cs="Times New Roman"/>
          <w:sz w:val="24"/>
        </w:rPr>
        <w:t>家，平台内包含成都本地供应商。同时，平台应具备良好的扩展性，能够根据采购方的需求不断引入新的供应商，丰富商品种类和品牌选择。（需提供相关证明材料）</w:t>
      </w:r>
    </w:p>
    <w:p w14:paraId="0E88DB0C" w14:textId="77777777"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12.</w:t>
      </w:r>
      <w:r>
        <w:rPr>
          <w:rFonts w:ascii="Times New Roman" w:hAnsi="Times New Roman" w:cs="Times New Roman"/>
          <w:sz w:val="24"/>
        </w:rPr>
        <w:t>供应商增减：平台支持根据采购单位需求以及对供货商的评价进行供货商账号的关停或者开通管理。</w:t>
      </w:r>
    </w:p>
    <w:p w14:paraId="0470B686" w14:textId="77777777"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13.</w:t>
      </w:r>
      <w:r>
        <w:rPr>
          <w:rFonts w:ascii="Times New Roman" w:hAnsi="Times New Roman" w:cs="Times New Roman"/>
          <w:sz w:val="24"/>
        </w:rPr>
        <w:t>平台须有完善的管理惩戒机制，如供应商售卖假冒伪劣产品、售价高于线下价格、开具虚假发票或进行不真实交易等，对违法违规行为进行明确具体的责任处理和处罚措施，包括但不限于商品退换、差价赔偿、经济处罚、下架商品、关闭店铺、终止合作等，确保供应商规范、诚信经营。</w:t>
      </w:r>
    </w:p>
    <w:p w14:paraId="4F644102" w14:textId="77777777" w:rsidR="00A82504" w:rsidRDefault="00000000">
      <w:pPr>
        <w:numPr>
          <w:ilvl w:val="255"/>
          <w:numId w:val="0"/>
        </w:numPr>
        <w:spacing w:line="360" w:lineRule="auto"/>
        <w:rPr>
          <w:rFonts w:ascii="黑体" w:eastAsia="黑体" w:hAnsi="黑体" w:cs="黑体" w:hint="eastAsia"/>
          <w:b/>
          <w:sz w:val="24"/>
          <w:szCs w:val="32"/>
        </w:rPr>
      </w:pPr>
      <w:r>
        <w:rPr>
          <w:rFonts w:ascii="黑体" w:eastAsia="黑体" w:hAnsi="黑体" w:cs="黑体" w:hint="eastAsia"/>
          <w:b/>
          <w:sz w:val="24"/>
          <w:szCs w:val="32"/>
        </w:rPr>
        <w:t>采购流程</w:t>
      </w:r>
    </w:p>
    <w:p w14:paraId="72972BAD" w14:textId="77777777"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hint="eastAsia"/>
          <w:sz w:val="24"/>
          <w:szCs w:val="32"/>
        </w:rPr>
        <w:t>14.</w:t>
      </w:r>
      <w:r>
        <w:rPr>
          <w:rFonts w:ascii="Times New Roman" w:hAnsi="Times New Roman" w:cs="Times New Roman"/>
          <w:sz w:val="24"/>
          <w:szCs w:val="32"/>
        </w:rPr>
        <w:t>采购模式：支持多种采购模式，</w:t>
      </w:r>
      <w:proofErr w:type="gramStart"/>
      <w:r>
        <w:rPr>
          <w:rFonts w:ascii="Times New Roman" w:hAnsi="Times New Roman" w:cs="Times New Roman"/>
          <w:sz w:val="24"/>
          <w:szCs w:val="32"/>
        </w:rPr>
        <w:t>如直采模式</w:t>
      </w:r>
      <w:proofErr w:type="gramEnd"/>
      <w:r>
        <w:rPr>
          <w:rFonts w:ascii="Times New Roman" w:hAnsi="Times New Roman" w:cs="Times New Roman"/>
          <w:sz w:val="24"/>
          <w:szCs w:val="32"/>
        </w:rPr>
        <w:t>，询价竞价模式（采用暗标形</w:t>
      </w:r>
      <w:r>
        <w:rPr>
          <w:rFonts w:ascii="Times New Roman" w:hAnsi="Times New Roman" w:cs="Times New Roman"/>
          <w:sz w:val="24"/>
        </w:rPr>
        <w:t>式），线下采购模式。线下采购需要在平台备案审批，审批通过后自行采购。</w:t>
      </w:r>
    </w:p>
    <w:p w14:paraId="755D7960" w14:textId="77777777"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15.</w:t>
      </w:r>
      <w:r>
        <w:rPr>
          <w:rFonts w:ascii="Times New Roman" w:hAnsi="Times New Roman" w:cs="Times New Roman"/>
          <w:sz w:val="24"/>
        </w:rPr>
        <w:t>审批流程：依据采购方单位的内控管理要求，灵活设置采购流程，并根据采购金额进行分级审批，支持</w:t>
      </w:r>
      <w:proofErr w:type="gramStart"/>
      <w:r>
        <w:rPr>
          <w:rFonts w:ascii="Times New Roman" w:hAnsi="Times New Roman" w:cs="Times New Roman"/>
          <w:sz w:val="24"/>
        </w:rPr>
        <w:t>微信端</w:t>
      </w:r>
      <w:proofErr w:type="gramEnd"/>
      <w:r>
        <w:rPr>
          <w:rFonts w:ascii="Times New Roman" w:hAnsi="Times New Roman" w:cs="Times New Roman"/>
          <w:sz w:val="24"/>
        </w:rPr>
        <w:t>审批功能，审批人可</w:t>
      </w:r>
      <w:proofErr w:type="gramStart"/>
      <w:r>
        <w:rPr>
          <w:rFonts w:ascii="Times New Roman" w:hAnsi="Times New Roman" w:cs="Times New Roman"/>
          <w:sz w:val="24"/>
        </w:rPr>
        <w:t>通过微信小</w:t>
      </w:r>
      <w:proofErr w:type="gramEnd"/>
      <w:r>
        <w:rPr>
          <w:rFonts w:ascii="Times New Roman" w:hAnsi="Times New Roman" w:cs="Times New Roman"/>
          <w:sz w:val="24"/>
        </w:rPr>
        <w:t>程序或公</w:t>
      </w:r>
      <w:r>
        <w:rPr>
          <w:rFonts w:ascii="Times New Roman" w:hAnsi="Times New Roman" w:cs="Times New Roman"/>
          <w:sz w:val="24"/>
        </w:rPr>
        <w:lastRenderedPageBreak/>
        <w:t>众号接收审批通知，随时随地进行审批操作，提高审批效率。</w:t>
      </w:r>
    </w:p>
    <w:p w14:paraId="14F4A3A3" w14:textId="6C4F85AC" w:rsidR="00A82504" w:rsidRDefault="00000000">
      <w:pPr>
        <w:spacing w:line="360" w:lineRule="auto"/>
        <w:ind w:firstLineChars="200" w:firstLine="480"/>
        <w:rPr>
          <w:rFonts w:ascii="Times New Roman" w:hAnsi="Times New Roman" w:cs="Times New Roman"/>
          <w:sz w:val="24"/>
        </w:rPr>
      </w:pPr>
      <w:r>
        <w:rPr>
          <w:rFonts w:ascii="Times New Roman" w:hAnsi="Times New Roman" w:cs="Times New Roman"/>
          <w:sz w:val="24"/>
        </w:rPr>
        <w:t>▲16.</w:t>
      </w:r>
      <w:r>
        <w:rPr>
          <w:rFonts w:ascii="Times New Roman" w:hAnsi="Times New Roman" w:cs="Times New Roman"/>
          <w:sz w:val="24"/>
        </w:rPr>
        <w:t>电子签名：针对各级审批，提供电子签名服务，电子签名可作为审批记录直接打印。（需提供相关证明材料）</w:t>
      </w:r>
    </w:p>
    <w:p w14:paraId="7A1458EF" w14:textId="41C80FBF" w:rsidR="00A82504" w:rsidRDefault="00000000">
      <w:pPr>
        <w:spacing w:line="360" w:lineRule="auto"/>
        <w:ind w:firstLineChars="200" w:firstLine="480"/>
        <w:rPr>
          <w:sz w:val="24"/>
        </w:rPr>
      </w:pPr>
      <w:r>
        <w:rPr>
          <w:rFonts w:ascii="Times New Roman" w:hAnsi="Times New Roman" w:cs="Times New Roman"/>
          <w:sz w:val="24"/>
        </w:rPr>
        <w:t>▲</w:t>
      </w:r>
      <w:r>
        <w:rPr>
          <w:rFonts w:hint="eastAsia"/>
          <w:sz w:val="24"/>
        </w:rPr>
        <w:t>17</w:t>
      </w:r>
      <w:r>
        <w:rPr>
          <w:sz w:val="24"/>
        </w:rPr>
        <w:t>.</w:t>
      </w:r>
      <w:r>
        <w:rPr>
          <w:rFonts w:ascii="Times New Roman" w:hAnsi="Times New Roman" w:cs="Times New Roman"/>
          <w:sz w:val="24"/>
          <w:szCs w:val="32"/>
        </w:rPr>
        <w:t>危化品</w:t>
      </w:r>
      <w:r>
        <w:rPr>
          <w:rFonts w:ascii="Times New Roman" w:hAnsi="Times New Roman" w:cs="Times New Roman" w:hint="eastAsia"/>
          <w:sz w:val="24"/>
          <w:szCs w:val="32"/>
        </w:rPr>
        <w:t>采购</w:t>
      </w:r>
      <w:r>
        <w:rPr>
          <w:rFonts w:ascii="Times New Roman" w:hAnsi="Times New Roman" w:cs="Times New Roman"/>
          <w:sz w:val="24"/>
          <w:szCs w:val="32"/>
        </w:rPr>
        <w:t>管理：针对危化品采购，</w:t>
      </w:r>
      <w:r>
        <w:rPr>
          <w:rFonts w:ascii="宋体" w:hAnsi="宋体" w:cs="宋体" w:hint="eastAsia"/>
          <w:color w:val="000000"/>
          <w:sz w:val="24"/>
        </w:rPr>
        <w:t>拥有完整的危化品管理，包括危化品的品目审核、采购审批、存量管理、安全巡检及统计等功能。</w:t>
      </w:r>
      <w:r>
        <w:rPr>
          <w:rFonts w:ascii="宋体" w:eastAsia="宋体" w:hAnsi="宋体" w:cs="宋体" w:hint="eastAsia"/>
          <w:color w:val="000000"/>
          <w:sz w:val="24"/>
        </w:rPr>
        <w:t>（</w:t>
      </w:r>
      <w:r>
        <w:rPr>
          <w:rFonts w:ascii="宋体" w:hAnsi="宋体" w:cs="宋体" w:hint="eastAsia"/>
          <w:color w:val="000000"/>
          <w:sz w:val="24"/>
        </w:rPr>
        <w:t>需提供相关证明材料</w:t>
      </w:r>
      <w:r>
        <w:rPr>
          <w:rFonts w:ascii="宋体" w:eastAsia="宋体" w:hAnsi="宋体" w:cs="宋体" w:hint="eastAsia"/>
          <w:color w:val="000000"/>
          <w:sz w:val="24"/>
        </w:rPr>
        <w:t>）</w:t>
      </w:r>
    </w:p>
    <w:p w14:paraId="0B108E85" w14:textId="3310DA65" w:rsidR="00A82504" w:rsidRDefault="00000000">
      <w:pPr>
        <w:spacing w:line="360" w:lineRule="auto"/>
        <w:ind w:firstLineChars="200" w:firstLine="480"/>
        <w:rPr>
          <w:sz w:val="24"/>
        </w:rPr>
      </w:pPr>
      <w:r>
        <w:rPr>
          <w:rFonts w:ascii="Times New Roman" w:hAnsi="Times New Roman" w:cs="Times New Roman"/>
          <w:sz w:val="24"/>
        </w:rPr>
        <w:t>▲</w:t>
      </w:r>
      <w:r>
        <w:rPr>
          <w:rFonts w:hint="eastAsia"/>
          <w:sz w:val="24"/>
        </w:rPr>
        <w:t>18.</w:t>
      </w:r>
      <w:r>
        <w:rPr>
          <w:sz w:val="24"/>
        </w:rPr>
        <w:t>危化品采购备案</w:t>
      </w:r>
      <w:r>
        <w:rPr>
          <w:rFonts w:hint="eastAsia"/>
          <w:sz w:val="24"/>
        </w:rPr>
        <w:t>：</w:t>
      </w:r>
      <w:r>
        <w:rPr>
          <w:sz w:val="24"/>
        </w:rPr>
        <w:t>可以实现平台采购管制类化学品后，自动完成公安系统线上快速备案。</w:t>
      </w:r>
      <w:r>
        <w:rPr>
          <w:rFonts w:ascii="宋体" w:eastAsia="宋体" w:hAnsi="宋体" w:cs="宋体" w:hint="eastAsia"/>
          <w:color w:val="000000"/>
          <w:sz w:val="24"/>
        </w:rPr>
        <w:t>（</w:t>
      </w:r>
      <w:r>
        <w:rPr>
          <w:rFonts w:ascii="宋体" w:hAnsi="宋体" w:cs="宋体" w:hint="eastAsia"/>
          <w:color w:val="000000"/>
          <w:sz w:val="24"/>
        </w:rPr>
        <w:t>需提供相关证明材料</w:t>
      </w:r>
      <w:r>
        <w:rPr>
          <w:rFonts w:ascii="宋体" w:eastAsia="宋体" w:hAnsi="宋体" w:cs="宋体" w:hint="eastAsia"/>
          <w:color w:val="000000"/>
          <w:sz w:val="24"/>
        </w:rPr>
        <w:t>）</w:t>
      </w:r>
    </w:p>
    <w:p w14:paraId="426C2EDF" w14:textId="77777777" w:rsidR="00A82504" w:rsidRDefault="00000000">
      <w:pPr>
        <w:numPr>
          <w:ilvl w:val="255"/>
          <w:numId w:val="0"/>
        </w:numPr>
        <w:spacing w:line="360" w:lineRule="auto"/>
        <w:rPr>
          <w:rFonts w:ascii="黑体" w:eastAsia="黑体" w:hAnsi="黑体" w:cs="黑体" w:hint="eastAsia"/>
          <w:sz w:val="24"/>
          <w:szCs w:val="32"/>
        </w:rPr>
      </w:pPr>
      <w:r>
        <w:rPr>
          <w:rFonts w:ascii="黑体" w:eastAsia="黑体" w:hAnsi="黑体" w:cs="黑体" w:hint="eastAsia"/>
          <w:b/>
          <w:sz w:val="24"/>
          <w:szCs w:val="32"/>
        </w:rPr>
        <w:t>部门科室管理</w:t>
      </w:r>
    </w:p>
    <w:p w14:paraId="0DB735FC"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1</w:t>
      </w:r>
      <w:r>
        <w:rPr>
          <w:rFonts w:ascii="Times New Roman" w:hAnsi="Times New Roman" w:cs="Times New Roman" w:hint="eastAsia"/>
          <w:sz w:val="24"/>
        </w:rPr>
        <w:t>9</w:t>
      </w:r>
      <w:r>
        <w:rPr>
          <w:rFonts w:ascii="Times New Roman" w:hAnsi="Times New Roman" w:cs="Times New Roman"/>
          <w:sz w:val="24"/>
        </w:rPr>
        <w:t>.</w:t>
      </w:r>
      <w:r>
        <w:rPr>
          <w:rFonts w:ascii="Times New Roman" w:hAnsi="Times New Roman" w:cs="Times New Roman" w:hint="eastAsia"/>
          <w:sz w:val="24"/>
          <w:szCs w:val="32"/>
        </w:rPr>
        <w:t>遵循采购</w:t>
      </w:r>
      <w:proofErr w:type="gramStart"/>
      <w:r>
        <w:rPr>
          <w:rFonts w:ascii="Times New Roman" w:hAnsi="Times New Roman" w:cs="Times New Roman" w:hint="eastAsia"/>
          <w:sz w:val="24"/>
          <w:szCs w:val="32"/>
        </w:rPr>
        <w:t>方现有</w:t>
      </w:r>
      <w:proofErr w:type="gramEnd"/>
      <w:r>
        <w:rPr>
          <w:rFonts w:ascii="Times New Roman" w:hAnsi="Times New Roman" w:cs="Times New Roman" w:hint="eastAsia"/>
          <w:sz w:val="24"/>
          <w:szCs w:val="32"/>
        </w:rPr>
        <w:t>组织机构管理模式，实现三级管理（医院－部门科室－人员），通过采购方的系统管理员可以分配部门科室管理者相应的管理权限，部门科室管理者可以完成订单审批功能。采购方的系统管理员拥有最高权限，可进行多方面管理并分配次级管理员。</w:t>
      </w:r>
    </w:p>
    <w:p w14:paraId="2A5FA9DD" w14:textId="77777777" w:rsidR="00A82504" w:rsidRDefault="00000000">
      <w:pPr>
        <w:numPr>
          <w:ilvl w:val="255"/>
          <w:numId w:val="0"/>
        </w:numPr>
        <w:spacing w:line="360" w:lineRule="auto"/>
        <w:rPr>
          <w:rFonts w:ascii="黑体" w:eastAsia="黑体" w:hAnsi="黑体" w:cs="黑体" w:hint="eastAsia"/>
          <w:b/>
          <w:sz w:val="24"/>
          <w:szCs w:val="32"/>
        </w:rPr>
      </w:pPr>
      <w:r>
        <w:rPr>
          <w:rFonts w:ascii="黑体" w:eastAsia="黑体" w:hAnsi="黑体" w:cs="黑体" w:hint="eastAsia"/>
          <w:b/>
          <w:sz w:val="24"/>
          <w:szCs w:val="32"/>
        </w:rPr>
        <w:t>人员管理</w:t>
      </w:r>
    </w:p>
    <w:p w14:paraId="6E44BAAA"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20</w:t>
      </w:r>
      <w:r>
        <w:rPr>
          <w:rFonts w:ascii="Times New Roman" w:hAnsi="Times New Roman" w:cs="Times New Roman"/>
          <w:sz w:val="24"/>
        </w:rPr>
        <w:t>.</w:t>
      </w:r>
      <w:r>
        <w:rPr>
          <w:rFonts w:ascii="Times New Roman" w:hAnsi="Times New Roman" w:cs="Times New Roman"/>
          <w:sz w:val="24"/>
          <w:szCs w:val="32"/>
        </w:rPr>
        <w:t>账号管理：通过</w:t>
      </w:r>
      <w:r>
        <w:rPr>
          <w:rFonts w:ascii="Times New Roman" w:hAnsi="Times New Roman" w:cs="Times New Roman" w:hint="eastAsia"/>
          <w:sz w:val="24"/>
          <w:szCs w:val="32"/>
        </w:rPr>
        <w:t>采购方</w:t>
      </w:r>
      <w:r>
        <w:rPr>
          <w:rFonts w:ascii="Times New Roman" w:hAnsi="Times New Roman" w:cs="Times New Roman"/>
          <w:sz w:val="24"/>
          <w:szCs w:val="32"/>
        </w:rPr>
        <w:t>的管理员账号可以实现对基础人员的账号管理，包括账号的增加、修改、编辑、删除、密码重置、启用</w:t>
      </w:r>
      <w:r>
        <w:rPr>
          <w:rFonts w:ascii="Times New Roman" w:hAnsi="Times New Roman" w:cs="Times New Roman"/>
          <w:sz w:val="24"/>
          <w:szCs w:val="32"/>
        </w:rPr>
        <w:t>/</w:t>
      </w:r>
      <w:r>
        <w:rPr>
          <w:rFonts w:ascii="Times New Roman" w:hAnsi="Times New Roman" w:cs="Times New Roman"/>
          <w:sz w:val="24"/>
          <w:szCs w:val="32"/>
        </w:rPr>
        <w:t>停用等。</w:t>
      </w:r>
    </w:p>
    <w:p w14:paraId="751501AE"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21</w:t>
      </w:r>
      <w:r>
        <w:rPr>
          <w:rFonts w:ascii="Times New Roman" w:hAnsi="Times New Roman" w:cs="Times New Roman"/>
          <w:sz w:val="24"/>
        </w:rPr>
        <w:t>.</w:t>
      </w:r>
      <w:r>
        <w:rPr>
          <w:rFonts w:ascii="Times New Roman" w:hAnsi="Times New Roman" w:cs="Times New Roman"/>
          <w:sz w:val="24"/>
          <w:szCs w:val="32"/>
        </w:rPr>
        <w:t>课题组管理：课题组负责人（</w:t>
      </w:r>
      <w:r>
        <w:rPr>
          <w:rFonts w:ascii="Times New Roman" w:hAnsi="Times New Roman" w:cs="Times New Roman"/>
          <w:sz w:val="24"/>
          <w:szCs w:val="32"/>
        </w:rPr>
        <w:t>PI</w:t>
      </w:r>
      <w:r>
        <w:rPr>
          <w:rFonts w:ascii="Times New Roman" w:hAnsi="Times New Roman" w:cs="Times New Roman"/>
          <w:sz w:val="24"/>
          <w:szCs w:val="32"/>
        </w:rPr>
        <w:t>）可以为课题组成员分配不同角色和权限，管理内容包括成员管理、经费管理、收货地址管理和个人信息管理等</w:t>
      </w:r>
      <w:r>
        <w:rPr>
          <w:rFonts w:ascii="Times New Roman" w:hAnsi="Times New Roman" w:cs="Times New Roman" w:hint="eastAsia"/>
          <w:sz w:val="24"/>
          <w:szCs w:val="32"/>
        </w:rPr>
        <w:t>。</w:t>
      </w:r>
    </w:p>
    <w:p w14:paraId="0A59BEAE" w14:textId="77777777" w:rsidR="00A82504" w:rsidRDefault="00000000">
      <w:pPr>
        <w:numPr>
          <w:ilvl w:val="255"/>
          <w:numId w:val="0"/>
        </w:numPr>
        <w:spacing w:line="360" w:lineRule="auto"/>
        <w:rPr>
          <w:rFonts w:ascii="黑体" w:eastAsia="黑体" w:hAnsi="黑体" w:cs="黑体" w:hint="eastAsia"/>
          <w:b/>
          <w:sz w:val="24"/>
          <w:szCs w:val="32"/>
        </w:rPr>
      </w:pPr>
      <w:r>
        <w:rPr>
          <w:rFonts w:ascii="黑体" w:eastAsia="黑体" w:hAnsi="黑体" w:cs="黑体" w:hint="eastAsia"/>
          <w:b/>
          <w:sz w:val="24"/>
          <w:szCs w:val="32"/>
        </w:rPr>
        <w:t>经费与预算</w:t>
      </w:r>
    </w:p>
    <w:p w14:paraId="16FF8267" w14:textId="28971D86"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w:t>
      </w:r>
      <w:r>
        <w:rPr>
          <w:rFonts w:ascii="Times New Roman" w:hAnsi="Times New Roman" w:cs="Times New Roman" w:hint="eastAsia"/>
          <w:sz w:val="24"/>
        </w:rPr>
        <w:t>22</w:t>
      </w:r>
      <w:r>
        <w:rPr>
          <w:rFonts w:ascii="Times New Roman" w:hAnsi="Times New Roman" w:cs="Times New Roman"/>
          <w:sz w:val="24"/>
        </w:rPr>
        <w:t>.</w:t>
      </w:r>
      <w:r>
        <w:rPr>
          <w:rFonts w:ascii="Times New Roman" w:hAnsi="Times New Roman" w:cs="Times New Roman"/>
          <w:sz w:val="24"/>
          <w:szCs w:val="32"/>
        </w:rPr>
        <w:t>预算控制：支持按课题或部门设定预算限额，平台在用户下单时自动比对采购金额与预算余额。若采购金额超出预算限额，系统应自动拦截订单，并向采购人员和相关负责人发出提醒，防止经费超支。同时，平台应提供预算使用情况的实时查询功能，方便用户随时了解预算执行进度。</w:t>
      </w:r>
      <w:r>
        <w:rPr>
          <w:rFonts w:ascii="宋体" w:eastAsia="宋体" w:hAnsi="宋体" w:cs="宋体" w:hint="eastAsia"/>
          <w:color w:val="000000"/>
          <w:sz w:val="24"/>
        </w:rPr>
        <w:t>（</w:t>
      </w:r>
      <w:r>
        <w:rPr>
          <w:rFonts w:ascii="宋体" w:hAnsi="宋体" w:cs="宋体" w:hint="eastAsia"/>
          <w:color w:val="000000"/>
          <w:sz w:val="24"/>
        </w:rPr>
        <w:t>需提供相关证明材料</w:t>
      </w:r>
      <w:r>
        <w:rPr>
          <w:rFonts w:ascii="宋体" w:eastAsia="宋体" w:hAnsi="宋体" w:cs="宋体" w:hint="eastAsia"/>
          <w:color w:val="000000"/>
          <w:sz w:val="24"/>
        </w:rPr>
        <w:t>）</w:t>
      </w:r>
    </w:p>
    <w:p w14:paraId="1D2C47F6"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23</w:t>
      </w:r>
      <w:r>
        <w:rPr>
          <w:rFonts w:ascii="Times New Roman" w:hAnsi="Times New Roman" w:cs="Times New Roman"/>
          <w:sz w:val="24"/>
        </w:rPr>
        <w:t>.</w:t>
      </w:r>
      <w:r>
        <w:rPr>
          <w:rFonts w:ascii="Times New Roman" w:hAnsi="Times New Roman" w:cs="Times New Roman"/>
          <w:sz w:val="24"/>
          <w:szCs w:val="32"/>
        </w:rPr>
        <w:t>课题组管理：课题组负责人可以进行课题组采购过程管理，包括但不限于采购经费管理和采购权限管理，课题负责人可随时查看经费使用情况。</w:t>
      </w:r>
    </w:p>
    <w:p w14:paraId="5C1C401E"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24</w:t>
      </w:r>
      <w:r>
        <w:rPr>
          <w:rFonts w:ascii="Times New Roman" w:hAnsi="Times New Roman" w:cs="Times New Roman"/>
          <w:sz w:val="24"/>
        </w:rPr>
        <w:t>.</w:t>
      </w:r>
      <w:r>
        <w:rPr>
          <w:rFonts w:ascii="Times New Roman" w:hAnsi="Times New Roman" w:cs="Times New Roman"/>
          <w:sz w:val="24"/>
          <w:szCs w:val="32"/>
        </w:rPr>
        <w:t>结算方式：无纸化报销，通过电子发票、电子审批等方式实现报销流程的数字化，减少纸质文件流转，提高结算效率。经费不足时可以实现更换经费进行支付。</w:t>
      </w:r>
    </w:p>
    <w:p w14:paraId="4F1FC7B9" w14:textId="77777777" w:rsidR="00A82504" w:rsidRDefault="00000000">
      <w:pPr>
        <w:numPr>
          <w:ilvl w:val="255"/>
          <w:numId w:val="0"/>
        </w:numPr>
        <w:spacing w:line="360" w:lineRule="auto"/>
        <w:rPr>
          <w:rFonts w:ascii="黑体" w:eastAsia="黑体" w:hAnsi="黑体" w:cs="黑体" w:hint="eastAsia"/>
          <w:b/>
          <w:sz w:val="24"/>
          <w:szCs w:val="32"/>
        </w:rPr>
      </w:pPr>
      <w:r>
        <w:rPr>
          <w:rFonts w:ascii="黑体" w:eastAsia="黑体" w:hAnsi="黑体" w:cs="黑体" w:hint="eastAsia"/>
          <w:b/>
          <w:sz w:val="24"/>
          <w:szCs w:val="32"/>
        </w:rPr>
        <w:t>验收入库</w:t>
      </w:r>
    </w:p>
    <w:p w14:paraId="606BE10F"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lastRenderedPageBreak/>
        <w:t>25</w:t>
      </w:r>
      <w:r>
        <w:rPr>
          <w:rFonts w:ascii="Times New Roman" w:hAnsi="Times New Roman" w:cs="Times New Roman"/>
          <w:sz w:val="24"/>
        </w:rPr>
        <w:t>.</w:t>
      </w:r>
      <w:r>
        <w:rPr>
          <w:rFonts w:ascii="Times New Roman" w:hAnsi="Times New Roman" w:cs="Times New Roman"/>
          <w:sz w:val="24"/>
          <w:szCs w:val="32"/>
        </w:rPr>
        <w:t>验收方式：支持拍照上传功能，验收人员可拍摄商品外观、包装、标签等照片作为验收凭证。支持打印出入库单等材料用于财务报销。</w:t>
      </w:r>
      <w:r>
        <w:rPr>
          <w:rFonts w:ascii="Times New Roman" w:hAnsi="Times New Roman" w:cs="Times New Roman"/>
          <w:sz w:val="24"/>
          <w:szCs w:val="32"/>
        </w:rPr>
        <w:t xml:space="preserve"> </w:t>
      </w:r>
    </w:p>
    <w:p w14:paraId="4473B9E0"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26</w:t>
      </w:r>
      <w:r>
        <w:rPr>
          <w:rFonts w:ascii="Times New Roman" w:hAnsi="Times New Roman" w:cs="Times New Roman"/>
          <w:sz w:val="24"/>
        </w:rPr>
        <w:t>.</w:t>
      </w:r>
      <w:r>
        <w:rPr>
          <w:rFonts w:ascii="Times New Roman" w:hAnsi="Times New Roman" w:cs="Times New Roman"/>
          <w:sz w:val="24"/>
          <w:szCs w:val="32"/>
        </w:rPr>
        <w:t>移动端支持：</w:t>
      </w:r>
      <w:proofErr w:type="gramStart"/>
      <w:r>
        <w:rPr>
          <w:rFonts w:ascii="Times New Roman" w:hAnsi="Times New Roman" w:cs="Times New Roman"/>
          <w:sz w:val="24"/>
          <w:szCs w:val="32"/>
        </w:rPr>
        <w:t>通过微信小</w:t>
      </w:r>
      <w:proofErr w:type="gramEnd"/>
      <w:r>
        <w:rPr>
          <w:rFonts w:ascii="Times New Roman" w:hAnsi="Times New Roman" w:cs="Times New Roman"/>
          <w:sz w:val="24"/>
          <w:szCs w:val="32"/>
        </w:rPr>
        <w:t>程序</w:t>
      </w:r>
      <w:r>
        <w:rPr>
          <w:rFonts w:ascii="Times New Roman" w:hAnsi="Times New Roman" w:cs="Times New Roman"/>
          <w:sz w:val="24"/>
          <w:szCs w:val="32"/>
        </w:rPr>
        <w:t>/</w:t>
      </w:r>
      <w:r>
        <w:rPr>
          <w:rFonts w:ascii="Times New Roman" w:hAnsi="Times New Roman" w:cs="Times New Roman"/>
          <w:sz w:val="24"/>
          <w:szCs w:val="32"/>
        </w:rPr>
        <w:t>公众号实现采购、审批、验收、查询等全流程操作。用户可在移动端随时随地浏览商品信息、下单采购、提交审批申请、进行验收操作以及查询订单状态、库存信息等。同时，平台应具备消息实时推送功能，及时向用户发送采购进度更新、审批通知、验收提醒等消息，确保用户及时了解采购相关信息，提高采购效率。</w:t>
      </w:r>
    </w:p>
    <w:p w14:paraId="28A0080D" w14:textId="77777777" w:rsidR="00A82504" w:rsidRDefault="00000000">
      <w:pPr>
        <w:numPr>
          <w:ilvl w:val="255"/>
          <w:numId w:val="0"/>
        </w:numPr>
        <w:spacing w:line="360" w:lineRule="auto"/>
        <w:rPr>
          <w:rFonts w:ascii="黑体" w:eastAsia="黑体" w:hAnsi="黑体" w:cs="黑体" w:hint="eastAsia"/>
          <w:b/>
          <w:sz w:val="24"/>
          <w:szCs w:val="32"/>
        </w:rPr>
      </w:pPr>
      <w:r>
        <w:rPr>
          <w:rFonts w:ascii="黑体" w:eastAsia="黑体" w:hAnsi="黑体" w:cs="黑体" w:hint="eastAsia"/>
          <w:b/>
          <w:sz w:val="24"/>
          <w:szCs w:val="32"/>
        </w:rPr>
        <w:t>统计模块</w:t>
      </w:r>
    </w:p>
    <w:p w14:paraId="0BD5EED0"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2</w:t>
      </w:r>
      <w:r>
        <w:rPr>
          <w:rFonts w:ascii="Times New Roman" w:hAnsi="Times New Roman" w:cs="Times New Roman" w:hint="eastAsia"/>
          <w:sz w:val="24"/>
        </w:rPr>
        <w:t>7</w:t>
      </w:r>
      <w:r>
        <w:rPr>
          <w:rFonts w:ascii="Times New Roman" w:hAnsi="Times New Roman" w:cs="Times New Roman"/>
          <w:sz w:val="24"/>
        </w:rPr>
        <w:t>.</w:t>
      </w:r>
      <w:r>
        <w:rPr>
          <w:rFonts w:ascii="Times New Roman" w:hAnsi="Times New Roman" w:cs="Times New Roman"/>
          <w:sz w:val="24"/>
          <w:szCs w:val="32"/>
        </w:rPr>
        <w:t>支持对平台生成的采购信息（采购单、结算单、出入库单等）进行综合查询统计并导出，支持多维度统计分析（单位、部门、课题组等）。</w:t>
      </w:r>
    </w:p>
    <w:p w14:paraId="435E301D" w14:textId="77777777" w:rsidR="00A82504" w:rsidRDefault="00000000">
      <w:pPr>
        <w:spacing w:line="360" w:lineRule="auto"/>
      </w:pPr>
      <w:r>
        <w:rPr>
          <w:rFonts w:ascii="黑体" w:eastAsia="黑体" w:hAnsi="黑体" w:cs="黑体" w:hint="eastAsia"/>
          <w:b/>
          <w:sz w:val="24"/>
          <w:szCs w:val="32"/>
        </w:rPr>
        <w:t>（二）增值功能</w:t>
      </w:r>
    </w:p>
    <w:p w14:paraId="45D64039" w14:textId="4854666F" w:rsidR="00A82504" w:rsidRDefault="00000000">
      <w:pPr>
        <w:spacing w:line="360" w:lineRule="auto"/>
        <w:ind w:firstLineChars="200" w:firstLine="480"/>
      </w:pPr>
      <w:r>
        <w:rPr>
          <w:rFonts w:ascii="Times New Roman" w:hAnsi="Times New Roman" w:cs="Times New Roman"/>
          <w:sz w:val="24"/>
        </w:rPr>
        <w:t>▲</w:t>
      </w:r>
      <w:r>
        <w:rPr>
          <w:sz w:val="24"/>
        </w:rPr>
        <w:t>2</w:t>
      </w:r>
      <w:r>
        <w:rPr>
          <w:rFonts w:hint="eastAsia"/>
          <w:sz w:val="24"/>
        </w:rPr>
        <w:t>8.</w:t>
      </w:r>
      <w:r>
        <w:rPr>
          <w:rFonts w:ascii="Times New Roman" w:hAnsi="Times New Roman" w:cs="Times New Roman"/>
          <w:sz w:val="24"/>
          <w:szCs w:val="32"/>
        </w:rPr>
        <w:t>风险防控</w:t>
      </w:r>
      <w:r>
        <w:rPr>
          <w:rFonts w:ascii="Times New Roman" w:hAnsi="Times New Roman" w:cs="Times New Roman" w:hint="eastAsia"/>
          <w:sz w:val="24"/>
          <w:szCs w:val="32"/>
        </w:rPr>
        <w:t>：</w:t>
      </w:r>
      <w:r>
        <w:rPr>
          <w:rFonts w:ascii="Times New Roman" w:hAnsi="Times New Roman" w:cs="Times New Roman"/>
          <w:sz w:val="24"/>
          <w:szCs w:val="32"/>
        </w:rPr>
        <w:t>利用大数据分析技术对采购行为进行实时监测和风险筛查。建立风险评估模型，设定敏感采购行为的判断标准，如异常的采购频率、过高的采购金额、特定供应商的频繁采购等。一旦发现敏感采购行为，系统自动拦截风险订单，并向采购人员和管理人员发出风险提醒。</w:t>
      </w:r>
      <w:r>
        <w:rPr>
          <w:rFonts w:ascii="宋体" w:eastAsia="宋体" w:hAnsi="宋体" w:cs="宋体" w:hint="eastAsia"/>
          <w:color w:val="000000"/>
          <w:sz w:val="24"/>
        </w:rPr>
        <w:t>（</w:t>
      </w:r>
      <w:r>
        <w:rPr>
          <w:rFonts w:ascii="宋体" w:hAnsi="宋体" w:cs="宋体" w:hint="eastAsia"/>
          <w:color w:val="000000"/>
          <w:sz w:val="24"/>
        </w:rPr>
        <w:t>需提供相关证明材料</w:t>
      </w:r>
      <w:r>
        <w:rPr>
          <w:rFonts w:ascii="宋体" w:eastAsia="宋体" w:hAnsi="宋体" w:cs="宋体" w:hint="eastAsia"/>
          <w:color w:val="000000"/>
          <w:sz w:val="24"/>
        </w:rPr>
        <w:t>）</w:t>
      </w:r>
    </w:p>
    <w:p w14:paraId="3C8C2230" w14:textId="68EA9879" w:rsidR="00A82504" w:rsidRDefault="00000000">
      <w:pPr>
        <w:spacing w:line="360" w:lineRule="auto"/>
        <w:ind w:firstLineChars="200" w:firstLine="480"/>
      </w:pPr>
      <w:r>
        <w:rPr>
          <w:rFonts w:ascii="Times New Roman" w:hAnsi="Times New Roman" w:cs="Times New Roman"/>
          <w:sz w:val="24"/>
        </w:rPr>
        <w:t>▲</w:t>
      </w:r>
      <w:r>
        <w:rPr>
          <w:sz w:val="24"/>
        </w:rPr>
        <w:t>2</w:t>
      </w:r>
      <w:r>
        <w:rPr>
          <w:rFonts w:hint="eastAsia"/>
          <w:sz w:val="24"/>
        </w:rPr>
        <w:t>9</w:t>
      </w:r>
      <w:r>
        <w:rPr>
          <w:sz w:val="24"/>
        </w:rPr>
        <w:t>.</w:t>
      </w:r>
      <w:r>
        <w:rPr>
          <w:rFonts w:cs="宋体" w:hint="eastAsia"/>
          <w:color w:val="000000"/>
          <w:sz w:val="24"/>
        </w:rPr>
        <w:t>仓储配送：平台在成都设有成熟的仓储配送中心，提供日常实验试剂耗材等采购中的现货贮存、周转和暂存服务，并提供商品配送服务，以满足采购方对于试剂耗材采购的时效性和多样性。</w:t>
      </w:r>
      <w:r>
        <w:rPr>
          <w:rFonts w:ascii="宋体" w:eastAsia="宋体" w:hAnsi="宋体" w:cs="宋体" w:hint="eastAsia"/>
          <w:color w:val="000000"/>
          <w:sz w:val="24"/>
        </w:rPr>
        <w:t>（</w:t>
      </w:r>
      <w:r>
        <w:rPr>
          <w:rFonts w:ascii="宋体" w:hAnsi="宋体" w:cs="宋体" w:hint="eastAsia"/>
          <w:color w:val="000000"/>
          <w:sz w:val="24"/>
        </w:rPr>
        <w:t>需提供相关证明材料</w:t>
      </w:r>
      <w:r>
        <w:rPr>
          <w:rFonts w:ascii="宋体" w:eastAsia="宋体" w:hAnsi="宋体" w:cs="宋体" w:hint="eastAsia"/>
          <w:color w:val="000000"/>
          <w:sz w:val="24"/>
        </w:rPr>
        <w:t>）</w:t>
      </w:r>
    </w:p>
    <w:p w14:paraId="36D188BD" w14:textId="77777777" w:rsidR="00A82504" w:rsidRDefault="00A82504">
      <w:pPr>
        <w:pStyle w:val="1"/>
        <w:spacing w:beforeAutospacing="0" w:afterAutospacing="0" w:line="360" w:lineRule="auto"/>
        <w:rPr>
          <w:sz w:val="24"/>
          <w:szCs w:val="24"/>
        </w:rPr>
      </w:pPr>
    </w:p>
    <w:p w14:paraId="140E1194" w14:textId="77777777" w:rsidR="00A82504" w:rsidRDefault="00000000">
      <w:pPr>
        <w:spacing w:line="360" w:lineRule="auto"/>
        <w:rPr>
          <w:rFonts w:ascii="黑体" w:eastAsia="黑体" w:hAnsi="黑体" w:cs="黑体" w:hint="eastAsia"/>
          <w:b/>
          <w:sz w:val="36"/>
          <w:szCs w:val="36"/>
        </w:rPr>
      </w:pPr>
      <w:r>
        <w:rPr>
          <w:rFonts w:ascii="黑体" w:eastAsia="黑体" w:hAnsi="黑体" w:cs="黑体" w:hint="eastAsia"/>
          <w:b/>
          <w:sz w:val="36"/>
          <w:szCs w:val="36"/>
        </w:rPr>
        <w:t>三、数据安全与运维</w:t>
      </w:r>
    </w:p>
    <w:p w14:paraId="1D06DC99" w14:textId="0AE8463B" w:rsidR="00A82504" w:rsidRDefault="00000000">
      <w:pPr>
        <w:spacing w:line="360" w:lineRule="auto"/>
      </w:pPr>
      <w:r>
        <w:rPr>
          <w:rFonts w:ascii="黑体" w:eastAsia="黑体" w:hAnsi="黑体" w:cs="黑体" w:hint="eastAsia"/>
          <w:b/>
          <w:sz w:val="24"/>
          <w:szCs w:val="32"/>
        </w:rPr>
        <w:t>（一）数据安全</w:t>
      </w:r>
    </w:p>
    <w:p w14:paraId="638DDBAC" w14:textId="61A6B0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w:t>
      </w:r>
      <w:r>
        <w:rPr>
          <w:rFonts w:ascii="Times New Roman" w:hAnsi="Times New Roman" w:cs="Times New Roman" w:hint="eastAsia"/>
          <w:sz w:val="24"/>
        </w:rPr>
        <w:t>30</w:t>
      </w:r>
      <w:r>
        <w:rPr>
          <w:rFonts w:ascii="Times New Roman" w:hAnsi="Times New Roman" w:cs="Times New Roman"/>
          <w:sz w:val="24"/>
        </w:rPr>
        <w:t>.</w:t>
      </w:r>
      <w:r>
        <w:rPr>
          <w:rFonts w:ascii="Times New Roman" w:hAnsi="Times New Roman" w:cs="Times New Roman"/>
          <w:sz w:val="24"/>
          <w:szCs w:val="32"/>
        </w:rPr>
        <w:t>加密存储：</w:t>
      </w:r>
      <w:r>
        <w:rPr>
          <w:rFonts w:ascii="Times New Roman" w:hAnsi="Times New Roman" w:cs="Times New Roman" w:hint="eastAsia"/>
          <w:sz w:val="24"/>
          <w:szCs w:val="32"/>
        </w:rPr>
        <w:t>平台具备相关的数据安全资质认证，</w:t>
      </w:r>
      <w:r>
        <w:rPr>
          <w:sz w:val="24"/>
        </w:rPr>
        <w:t>依法取得</w:t>
      </w:r>
      <w:r>
        <w:rPr>
          <w:sz w:val="24"/>
        </w:rPr>
        <w:t>ICP</w:t>
      </w:r>
      <w:r>
        <w:rPr>
          <w:sz w:val="24"/>
        </w:rPr>
        <w:t>备案或</w:t>
      </w:r>
      <w:r>
        <w:rPr>
          <w:sz w:val="24"/>
        </w:rPr>
        <w:t>ICP</w:t>
      </w:r>
      <w:r>
        <w:rPr>
          <w:sz w:val="24"/>
        </w:rPr>
        <w:t>经营许可资质，并按信息安全等级三级或以上系统进行安全防护。</w:t>
      </w:r>
      <w:r>
        <w:rPr>
          <w:rFonts w:ascii="Times New Roman" w:hAnsi="Times New Roman" w:cs="Times New Roman" w:hint="eastAsia"/>
          <w:sz w:val="24"/>
          <w:szCs w:val="32"/>
        </w:rPr>
        <w:t>平台运营方须持有经信息安全相关证明文件，包括但不限于质量管理体系认证证书、信息安全管理体系认证证书、国家增值电信业务经营许可证</w:t>
      </w:r>
      <w:r>
        <w:rPr>
          <w:rFonts w:ascii="Times New Roman" w:hAnsi="Times New Roman" w:cs="Times New Roman" w:hint="eastAsia"/>
          <w:sz w:val="24"/>
          <w:szCs w:val="32"/>
        </w:rPr>
        <w:t>-</w:t>
      </w:r>
      <w:r>
        <w:rPr>
          <w:rFonts w:ascii="Times New Roman" w:hAnsi="Times New Roman" w:cs="Times New Roman" w:hint="eastAsia"/>
          <w:sz w:val="24"/>
          <w:szCs w:val="32"/>
        </w:rPr>
        <w:t>在线数据处理与交易业务等。</w:t>
      </w:r>
    </w:p>
    <w:p w14:paraId="54E822BE" w14:textId="52CCA12B"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31</w:t>
      </w:r>
      <w:r>
        <w:rPr>
          <w:rFonts w:ascii="Times New Roman" w:hAnsi="Times New Roman" w:cs="Times New Roman"/>
          <w:sz w:val="24"/>
        </w:rPr>
        <w:t>.</w:t>
      </w:r>
      <w:r>
        <w:rPr>
          <w:rFonts w:ascii="Times New Roman" w:hAnsi="Times New Roman" w:cs="Times New Roman"/>
          <w:sz w:val="24"/>
          <w:szCs w:val="32"/>
        </w:rPr>
        <w:t>数据保密：</w:t>
      </w:r>
      <w:r>
        <w:rPr>
          <w:rFonts w:ascii="Times New Roman" w:hAnsi="Times New Roman" w:cs="Times New Roman" w:hint="eastAsia"/>
          <w:sz w:val="24"/>
          <w:szCs w:val="32"/>
        </w:rPr>
        <w:t>平台应建立严格的数据访问控制机制，</w:t>
      </w:r>
      <w:r>
        <w:rPr>
          <w:rFonts w:ascii="Times New Roman" w:hAnsi="Times New Roman" w:cs="Times New Roman"/>
          <w:sz w:val="24"/>
          <w:szCs w:val="32"/>
        </w:rPr>
        <w:t>未经采购方授权，</w:t>
      </w:r>
      <w:r>
        <w:rPr>
          <w:rFonts w:ascii="Times New Roman" w:hAnsi="Times New Roman" w:cs="Times New Roman" w:hint="eastAsia"/>
          <w:sz w:val="24"/>
          <w:szCs w:val="32"/>
        </w:rPr>
        <w:t>严禁</w:t>
      </w:r>
      <w:r>
        <w:rPr>
          <w:rFonts w:ascii="Times New Roman" w:hAnsi="Times New Roman" w:cs="Times New Roman"/>
          <w:sz w:val="24"/>
          <w:szCs w:val="32"/>
        </w:rPr>
        <w:t>向第三方披露采购数据。在数据使用和传输过程中，应采取严格的保密措施，确保数据的保密性。</w:t>
      </w:r>
    </w:p>
    <w:p w14:paraId="111EBB9D"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32</w:t>
      </w:r>
      <w:r>
        <w:rPr>
          <w:rFonts w:ascii="Times New Roman" w:hAnsi="Times New Roman" w:cs="Times New Roman"/>
          <w:sz w:val="24"/>
        </w:rPr>
        <w:t>.</w:t>
      </w:r>
      <w:r>
        <w:rPr>
          <w:rFonts w:ascii="Times New Roman" w:hAnsi="Times New Roman" w:cs="Times New Roman"/>
          <w:sz w:val="24"/>
          <w:szCs w:val="32"/>
        </w:rPr>
        <w:t>数据备份与追溯：定期（如每日、每周）对采购数据进行备份，备份数</w:t>
      </w:r>
      <w:r>
        <w:rPr>
          <w:rFonts w:ascii="Times New Roman" w:hAnsi="Times New Roman" w:cs="Times New Roman"/>
          <w:sz w:val="24"/>
          <w:szCs w:val="32"/>
        </w:rPr>
        <w:lastRenderedPageBreak/>
        <w:t>据应存储在异地，防止因本地灾难导致数据丢失。同时，建立完善的日志追溯系统，记录所有操作记录、采购流程、审批记录等信息，便于在出现问题时进行追溯和审计。</w:t>
      </w:r>
    </w:p>
    <w:p w14:paraId="76B2015D" w14:textId="0F4FC398" w:rsidR="00A82504" w:rsidRDefault="00000000">
      <w:pPr>
        <w:spacing w:line="360" w:lineRule="auto"/>
      </w:pPr>
      <w:r>
        <w:rPr>
          <w:rFonts w:ascii="黑体" w:eastAsia="黑体" w:hAnsi="黑体" w:cs="黑体" w:hint="eastAsia"/>
          <w:b/>
          <w:sz w:val="24"/>
          <w:szCs w:val="32"/>
        </w:rPr>
        <w:t>（二）</w:t>
      </w:r>
      <w:r w:rsidR="00FD311B" w:rsidRPr="00FD311B">
        <w:rPr>
          <w:rFonts w:ascii="黑体" w:eastAsia="黑体" w:hAnsi="黑体" w:cs="黑体" w:hint="eastAsia"/>
          <w:b/>
          <w:sz w:val="24"/>
          <w:szCs w:val="32"/>
        </w:rPr>
        <w:t>★</w:t>
      </w:r>
      <w:r>
        <w:rPr>
          <w:rFonts w:ascii="黑体" w:eastAsia="黑体" w:hAnsi="黑体" w:cs="黑体" w:hint="eastAsia"/>
          <w:b/>
          <w:sz w:val="24"/>
          <w:szCs w:val="32"/>
        </w:rPr>
        <w:t>运维要求</w:t>
      </w:r>
    </w:p>
    <w:p w14:paraId="1B7CB227"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33</w:t>
      </w:r>
      <w:r>
        <w:rPr>
          <w:rFonts w:ascii="Times New Roman" w:hAnsi="Times New Roman" w:cs="Times New Roman"/>
          <w:sz w:val="24"/>
        </w:rPr>
        <w:t>.</w:t>
      </w:r>
      <w:r>
        <w:rPr>
          <w:rFonts w:ascii="Times New Roman" w:hAnsi="Times New Roman" w:cs="Times New Roman"/>
          <w:sz w:val="24"/>
          <w:szCs w:val="32"/>
        </w:rPr>
        <w:t>系统稳定性：系统必须具备完善的日志监控、错误报告和故障处理机制，确保故障发生时系统能够快速恢复，保证故障停机时间最短。系统应具备一定的故障检测能力，能够实时监测系统运行状态，并在问题发生前发出预警。</w:t>
      </w:r>
    </w:p>
    <w:p w14:paraId="698301E5"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34</w:t>
      </w:r>
      <w:r>
        <w:rPr>
          <w:rFonts w:ascii="Times New Roman" w:hAnsi="Times New Roman" w:cs="Times New Roman"/>
          <w:sz w:val="24"/>
        </w:rPr>
        <w:t>.</w:t>
      </w:r>
      <w:r>
        <w:rPr>
          <w:rFonts w:ascii="Times New Roman" w:hAnsi="Times New Roman" w:cs="Times New Roman"/>
          <w:sz w:val="24"/>
          <w:szCs w:val="32"/>
        </w:rPr>
        <w:t>客服响应：提供</w:t>
      </w:r>
      <w:r>
        <w:rPr>
          <w:rFonts w:ascii="Times New Roman" w:hAnsi="Times New Roman" w:cs="Times New Roman"/>
          <w:sz w:val="24"/>
          <w:szCs w:val="32"/>
        </w:rPr>
        <w:t>7×24</w:t>
      </w:r>
      <w:r>
        <w:rPr>
          <w:rFonts w:ascii="Times New Roman" w:hAnsi="Times New Roman" w:cs="Times New Roman"/>
          <w:sz w:val="24"/>
          <w:szCs w:val="32"/>
        </w:rPr>
        <w:t>小时的客服响应服务，设立专门的</w:t>
      </w:r>
      <w:r>
        <w:rPr>
          <w:rFonts w:ascii="Times New Roman" w:hAnsi="Times New Roman" w:cs="Times New Roman" w:hint="eastAsia"/>
          <w:sz w:val="24"/>
          <w:szCs w:val="32"/>
        </w:rPr>
        <w:t>400</w:t>
      </w:r>
      <w:r>
        <w:rPr>
          <w:rFonts w:ascii="Times New Roman" w:hAnsi="Times New Roman" w:cs="Times New Roman" w:hint="eastAsia"/>
          <w:sz w:val="24"/>
          <w:szCs w:val="32"/>
        </w:rPr>
        <w:t>电话和在线</w:t>
      </w:r>
      <w:r>
        <w:rPr>
          <w:rFonts w:ascii="Times New Roman" w:hAnsi="Times New Roman" w:cs="Times New Roman" w:hint="eastAsia"/>
          <w:sz w:val="24"/>
          <w:szCs w:val="32"/>
        </w:rPr>
        <w:t>QQ</w:t>
      </w:r>
      <w:r>
        <w:rPr>
          <w:rFonts w:ascii="Times New Roman" w:hAnsi="Times New Roman" w:cs="Times New Roman" w:hint="eastAsia"/>
          <w:sz w:val="24"/>
          <w:szCs w:val="32"/>
        </w:rPr>
        <w:t>客服服务</w:t>
      </w:r>
      <w:r>
        <w:rPr>
          <w:rFonts w:ascii="Times New Roman" w:hAnsi="Times New Roman" w:cs="Times New Roman"/>
          <w:sz w:val="24"/>
          <w:szCs w:val="32"/>
        </w:rPr>
        <w:t>。用户在使用平台过程中遇到问题，可随时联系客服人员，客服人员应在接到咨询后的</w:t>
      </w:r>
      <w:r>
        <w:rPr>
          <w:rFonts w:ascii="Times New Roman" w:hAnsi="Times New Roman" w:cs="Times New Roman"/>
          <w:sz w:val="24"/>
          <w:szCs w:val="32"/>
        </w:rPr>
        <w:t>10</w:t>
      </w:r>
      <w:r>
        <w:rPr>
          <w:rFonts w:ascii="Times New Roman" w:hAnsi="Times New Roman" w:cs="Times New Roman"/>
          <w:sz w:val="24"/>
          <w:szCs w:val="32"/>
        </w:rPr>
        <w:t>分钟内做出初步响应，及时解答用户疑问或记录问题并转交给相关技术人员处理。</w:t>
      </w:r>
    </w:p>
    <w:p w14:paraId="059BE806"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hint="eastAsia"/>
          <w:sz w:val="24"/>
        </w:rPr>
        <w:t>35</w:t>
      </w:r>
      <w:r>
        <w:rPr>
          <w:rFonts w:ascii="Times New Roman" w:hAnsi="Times New Roman" w:cs="Times New Roman"/>
          <w:sz w:val="24"/>
        </w:rPr>
        <w:t>.</w:t>
      </w:r>
      <w:r>
        <w:rPr>
          <w:rFonts w:ascii="Times New Roman" w:hAnsi="Times New Roman" w:cs="Times New Roman"/>
          <w:sz w:val="24"/>
          <w:szCs w:val="32"/>
        </w:rPr>
        <w:t>故障处理：对于平台出现的故障，</w:t>
      </w:r>
      <w:r>
        <w:rPr>
          <w:rFonts w:ascii="Times New Roman" w:hAnsi="Times New Roman" w:cs="Times New Roman" w:hint="eastAsia"/>
          <w:sz w:val="24"/>
          <w:szCs w:val="32"/>
        </w:rPr>
        <w:t>平台</w:t>
      </w:r>
      <w:r>
        <w:rPr>
          <w:rFonts w:ascii="Times New Roman" w:hAnsi="Times New Roman" w:cs="Times New Roman"/>
          <w:sz w:val="24"/>
          <w:szCs w:val="32"/>
        </w:rPr>
        <w:t>应在</w:t>
      </w:r>
      <w:r>
        <w:rPr>
          <w:rFonts w:ascii="Times New Roman" w:hAnsi="Times New Roman" w:cs="Times New Roman"/>
          <w:sz w:val="24"/>
          <w:szCs w:val="32"/>
        </w:rPr>
        <w:t>2</w:t>
      </w:r>
      <w:r>
        <w:rPr>
          <w:rFonts w:ascii="Times New Roman" w:hAnsi="Times New Roman" w:cs="Times New Roman"/>
          <w:sz w:val="24"/>
          <w:szCs w:val="32"/>
        </w:rPr>
        <w:t>小时内响应，并在</w:t>
      </w:r>
      <w:r>
        <w:rPr>
          <w:rFonts w:ascii="Times New Roman" w:hAnsi="Times New Roman" w:cs="Times New Roman"/>
          <w:sz w:val="24"/>
          <w:szCs w:val="32"/>
        </w:rPr>
        <w:t>24</w:t>
      </w:r>
      <w:r>
        <w:rPr>
          <w:rFonts w:ascii="Times New Roman" w:hAnsi="Times New Roman" w:cs="Times New Roman"/>
          <w:sz w:val="24"/>
          <w:szCs w:val="32"/>
        </w:rPr>
        <w:t>小时内解决。故障处理过程中，应及时向采购方通报故障原因、处理进度和预计恢复时间。对于重大故障，应启动应急预案，确保平台尽快恢复正常运行，减少对采购工作的影响。</w:t>
      </w:r>
    </w:p>
    <w:p w14:paraId="093ED781"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3</w:t>
      </w:r>
      <w:r>
        <w:rPr>
          <w:rFonts w:ascii="Times New Roman" w:hAnsi="Times New Roman" w:cs="Times New Roman" w:hint="eastAsia"/>
          <w:sz w:val="24"/>
        </w:rPr>
        <w:t>6</w:t>
      </w:r>
      <w:r>
        <w:rPr>
          <w:rFonts w:ascii="Times New Roman" w:hAnsi="Times New Roman" w:cs="Times New Roman"/>
          <w:sz w:val="24"/>
        </w:rPr>
        <w:t>.</w:t>
      </w:r>
      <w:r>
        <w:rPr>
          <w:rFonts w:ascii="Times New Roman" w:hAnsi="Times New Roman" w:cs="Times New Roman"/>
          <w:sz w:val="24"/>
          <w:szCs w:val="32"/>
        </w:rPr>
        <w:t>上门维护：每月进行</w:t>
      </w:r>
      <w:r>
        <w:rPr>
          <w:rFonts w:ascii="Times New Roman" w:hAnsi="Times New Roman" w:cs="Times New Roman"/>
          <w:sz w:val="24"/>
          <w:szCs w:val="32"/>
        </w:rPr>
        <w:t>1</w:t>
      </w:r>
      <w:r>
        <w:rPr>
          <w:rFonts w:ascii="Times New Roman" w:hAnsi="Times New Roman" w:cs="Times New Roman"/>
          <w:sz w:val="24"/>
          <w:szCs w:val="32"/>
        </w:rPr>
        <w:t>次上门维护服务，维护内容包括数据备份、系统检测、性能优化等。维护人员应具备专业的技术能力，能够及时发现并解决平台运行中存在的问题，确保平台的稳定运行。</w:t>
      </w:r>
    </w:p>
    <w:p w14:paraId="5F342898" w14:textId="77777777" w:rsidR="00A82504" w:rsidRDefault="00000000">
      <w:pPr>
        <w:spacing w:line="360" w:lineRule="auto"/>
      </w:pPr>
      <w:r>
        <w:rPr>
          <w:rFonts w:ascii="黑体" w:eastAsia="黑体" w:hAnsi="黑体" w:cs="黑体" w:hint="eastAsia"/>
          <w:b/>
          <w:sz w:val="24"/>
          <w:szCs w:val="32"/>
        </w:rPr>
        <w:t>（三）扩展要求</w:t>
      </w:r>
    </w:p>
    <w:p w14:paraId="053EF485" w14:textId="020F50F3"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rPr>
        <w:t>▲3</w:t>
      </w:r>
      <w:r>
        <w:rPr>
          <w:rFonts w:ascii="Times New Roman" w:hAnsi="Times New Roman" w:cs="Times New Roman" w:hint="eastAsia"/>
          <w:sz w:val="24"/>
        </w:rPr>
        <w:t>7</w:t>
      </w:r>
      <w:r>
        <w:rPr>
          <w:rFonts w:ascii="Times New Roman" w:hAnsi="Times New Roman" w:cs="Times New Roman"/>
          <w:sz w:val="24"/>
        </w:rPr>
        <w:t>.</w:t>
      </w:r>
      <w:r>
        <w:rPr>
          <w:rFonts w:ascii="Times New Roman" w:hAnsi="Times New Roman" w:cs="Times New Roman"/>
          <w:sz w:val="24"/>
          <w:szCs w:val="32"/>
        </w:rPr>
        <w:t>平台系统具备二次开发能力，具有较强的应用集成能力和扩展能力，采用开放式标准接口。可以实现财务结算信息化，实现科研人员无纸化结账，且技术成熟，具有成功业绩案例，需在投标文件中提供合同和成功案例方案复印件并加盖公章。</w:t>
      </w:r>
    </w:p>
    <w:p w14:paraId="355FC311" w14:textId="77777777" w:rsidR="00A82504" w:rsidRDefault="00000000">
      <w:pPr>
        <w:pStyle w:val="2"/>
        <w:widowControl/>
        <w:shd w:val="clear" w:color="auto" w:fill="FFFFFF"/>
        <w:spacing w:after="60" w:afterAutospacing="0" w:line="360" w:lineRule="auto"/>
        <w:rPr>
          <w:rFonts w:ascii="黑体" w:eastAsia="黑体" w:hAnsi="黑体" w:cs="黑体"/>
          <w:sz w:val="32"/>
          <w:szCs w:val="32"/>
        </w:rPr>
      </w:pPr>
      <w:r>
        <w:rPr>
          <w:rFonts w:ascii="黑体" w:eastAsia="黑体" w:hAnsi="黑体" w:cs="黑体"/>
          <w:sz w:val="32"/>
          <w:szCs w:val="32"/>
          <w:shd w:val="clear" w:color="auto" w:fill="FFFFFF"/>
        </w:rPr>
        <w:t>四、</w:t>
      </w:r>
      <w:r>
        <w:rPr>
          <w:rFonts w:ascii="仿宋" w:eastAsia="仿宋" w:hAnsi="仿宋" w:cs="仿宋"/>
          <w:sz w:val="32"/>
          <w:szCs w:val="32"/>
        </w:rPr>
        <w:t>★</w:t>
      </w:r>
      <w:r>
        <w:rPr>
          <w:rFonts w:ascii="黑体" w:eastAsia="黑体" w:hAnsi="黑体" w:cs="黑体"/>
          <w:sz w:val="32"/>
          <w:szCs w:val="32"/>
          <w:shd w:val="clear" w:color="auto" w:fill="FFFFFF"/>
        </w:rPr>
        <w:t>商务要求</w:t>
      </w:r>
    </w:p>
    <w:p w14:paraId="35CB3692" w14:textId="77777777" w:rsidR="00A82504" w:rsidRDefault="00000000">
      <w:pPr>
        <w:spacing w:line="360" w:lineRule="auto"/>
        <w:rPr>
          <w:rFonts w:ascii="黑体" w:eastAsia="黑体" w:hAnsi="黑体" w:cs="黑体" w:hint="eastAsia"/>
          <w:b/>
          <w:sz w:val="24"/>
          <w:szCs w:val="32"/>
        </w:rPr>
      </w:pPr>
      <w:r>
        <w:rPr>
          <w:rFonts w:ascii="黑体" w:eastAsia="黑体" w:hAnsi="黑体" w:cs="黑体" w:hint="eastAsia"/>
          <w:b/>
          <w:sz w:val="24"/>
          <w:szCs w:val="32"/>
        </w:rPr>
        <w:t>（一）服务期限</w:t>
      </w:r>
    </w:p>
    <w:p w14:paraId="4FF95F3F"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服务期限为</w:t>
      </w:r>
      <w:r>
        <w:rPr>
          <w:rFonts w:ascii="Times New Roman" w:hAnsi="Times New Roman" w:cs="Times New Roman"/>
          <w:sz w:val="24"/>
          <w:szCs w:val="32"/>
        </w:rPr>
        <w:t>3</w:t>
      </w:r>
      <w:r>
        <w:rPr>
          <w:rFonts w:ascii="Times New Roman" w:hAnsi="Times New Roman" w:cs="Times New Roman"/>
          <w:sz w:val="24"/>
          <w:szCs w:val="32"/>
        </w:rPr>
        <w:t>年，自合同签订并平台正式上线运营之日起计算，该期限内包含完整的免费维保期。在服务期内，供应商需持续为采购方提供稳定、高效的平台服务，保障平台的正常运行及功能的不断优化。</w:t>
      </w:r>
    </w:p>
    <w:p w14:paraId="2CC7D66B" w14:textId="77777777" w:rsidR="00A82504" w:rsidRDefault="00000000">
      <w:pPr>
        <w:spacing w:line="360" w:lineRule="auto"/>
        <w:rPr>
          <w:rFonts w:ascii="黑体" w:eastAsia="黑体" w:hAnsi="黑体" w:cs="黑体" w:hint="eastAsia"/>
          <w:b/>
          <w:sz w:val="24"/>
          <w:szCs w:val="32"/>
        </w:rPr>
      </w:pPr>
      <w:r>
        <w:rPr>
          <w:rFonts w:ascii="黑体" w:eastAsia="黑体" w:hAnsi="黑体" w:cs="黑体" w:hint="eastAsia"/>
          <w:b/>
          <w:sz w:val="24"/>
          <w:szCs w:val="32"/>
        </w:rPr>
        <w:lastRenderedPageBreak/>
        <w:t>（二）交付及验收</w:t>
      </w:r>
    </w:p>
    <w:p w14:paraId="09799B3E"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合同签订后的</w:t>
      </w:r>
      <w:r>
        <w:rPr>
          <w:rFonts w:ascii="Times New Roman" w:hAnsi="Times New Roman" w:cs="Times New Roman"/>
          <w:sz w:val="24"/>
          <w:szCs w:val="32"/>
        </w:rPr>
        <w:t>30</w:t>
      </w:r>
      <w:r>
        <w:rPr>
          <w:rFonts w:ascii="Times New Roman" w:hAnsi="Times New Roman" w:cs="Times New Roman"/>
          <w:sz w:val="24"/>
          <w:szCs w:val="32"/>
        </w:rPr>
        <w:t>日内，供应商需完成平台的部署、调试及上线工作。系统在试运行正常</w:t>
      </w:r>
      <w:r>
        <w:rPr>
          <w:rFonts w:ascii="Times New Roman" w:hAnsi="Times New Roman" w:cs="Times New Roman" w:hint="eastAsia"/>
          <w:sz w:val="24"/>
          <w:szCs w:val="32"/>
        </w:rPr>
        <w:t>30</w:t>
      </w:r>
      <w:r>
        <w:rPr>
          <w:rFonts w:ascii="Times New Roman" w:hAnsi="Times New Roman" w:cs="Times New Roman"/>
          <w:sz w:val="24"/>
          <w:szCs w:val="32"/>
        </w:rPr>
        <w:t>日后，由</w:t>
      </w:r>
      <w:r>
        <w:rPr>
          <w:rFonts w:ascii="Times New Roman" w:hAnsi="Times New Roman" w:cs="Times New Roman" w:hint="eastAsia"/>
          <w:sz w:val="24"/>
          <w:szCs w:val="32"/>
        </w:rPr>
        <w:t>供应商</w:t>
      </w:r>
      <w:r>
        <w:rPr>
          <w:rFonts w:ascii="Times New Roman" w:hAnsi="Times New Roman" w:cs="Times New Roman"/>
          <w:sz w:val="24"/>
          <w:szCs w:val="32"/>
        </w:rPr>
        <w:t>提出验收申请，由采购人负责部门对系统组织验收。验收</w:t>
      </w:r>
      <w:proofErr w:type="gramStart"/>
      <w:r>
        <w:rPr>
          <w:rFonts w:ascii="Times New Roman" w:hAnsi="Times New Roman" w:cs="Times New Roman"/>
          <w:sz w:val="24"/>
          <w:szCs w:val="32"/>
        </w:rPr>
        <w:t>时供应</w:t>
      </w:r>
      <w:proofErr w:type="gramEnd"/>
      <w:r>
        <w:rPr>
          <w:rFonts w:ascii="Times New Roman" w:hAnsi="Times New Roman" w:cs="Times New Roman"/>
          <w:sz w:val="24"/>
          <w:szCs w:val="32"/>
        </w:rPr>
        <w:t>商必须提供系统需求说明书、系统使用说明书、操作手册等有关技术文档。</w:t>
      </w:r>
    </w:p>
    <w:p w14:paraId="1945613C" w14:textId="77777777" w:rsidR="00A82504" w:rsidRDefault="00000000">
      <w:pPr>
        <w:widowControl/>
        <w:spacing w:line="360" w:lineRule="auto"/>
        <w:jc w:val="left"/>
        <w:rPr>
          <w:rFonts w:ascii="黑体" w:eastAsia="黑体" w:hAnsi="黑体" w:cs="黑体" w:hint="eastAsia"/>
          <w:b/>
          <w:sz w:val="24"/>
          <w:szCs w:val="32"/>
        </w:rPr>
      </w:pPr>
      <w:r>
        <w:rPr>
          <w:rFonts w:ascii="黑体" w:eastAsia="黑体" w:hAnsi="黑体" w:cs="黑体" w:hint="eastAsia"/>
          <w:b/>
          <w:sz w:val="24"/>
          <w:szCs w:val="32"/>
        </w:rPr>
        <w:t>（三）培训要求：</w:t>
      </w:r>
    </w:p>
    <w:p w14:paraId="15AFE7C2"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对系统平台使用进行全面培训，提供针对本系统的管理人员和使用人员的培训方案。每年培训，培训方式包含但不限于</w:t>
      </w:r>
      <w:r>
        <w:rPr>
          <w:rFonts w:ascii="Times New Roman" w:hAnsi="Times New Roman" w:cs="Times New Roman" w:hint="eastAsia"/>
          <w:sz w:val="24"/>
          <w:szCs w:val="32"/>
        </w:rPr>
        <w:t>现场讲课培训、</w:t>
      </w:r>
      <w:r>
        <w:rPr>
          <w:rFonts w:ascii="Times New Roman" w:hAnsi="Times New Roman" w:cs="Times New Roman"/>
          <w:sz w:val="24"/>
          <w:szCs w:val="32"/>
        </w:rPr>
        <w:t>录制系统操作视频、制定简易的图文版说明书等。</w:t>
      </w:r>
    </w:p>
    <w:p w14:paraId="185AB05B" w14:textId="77777777" w:rsidR="00A82504" w:rsidRDefault="00000000">
      <w:pPr>
        <w:numPr>
          <w:ilvl w:val="0"/>
          <w:numId w:val="1"/>
        </w:numPr>
        <w:spacing w:line="360" w:lineRule="auto"/>
        <w:rPr>
          <w:rFonts w:ascii="黑体" w:eastAsia="黑体" w:hAnsi="黑体" w:cs="黑体" w:hint="eastAsia"/>
          <w:b/>
          <w:sz w:val="24"/>
          <w:szCs w:val="32"/>
        </w:rPr>
      </w:pPr>
      <w:r>
        <w:rPr>
          <w:rFonts w:ascii="黑体" w:eastAsia="黑体" w:hAnsi="黑体" w:cs="黑体" w:hint="eastAsia"/>
          <w:b/>
          <w:sz w:val="24"/>
          <w:szCs w:val="32"/>
        </w:rPr>
        <w:t>服务要求：</w:t>
      </w:r>
    </w:p>
    <w:p w14:paraId="6A2C5358"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平台上线实施时，必须有专业</w:t>
      </w:r>
      <w:r>
        <w:rPr>
          <w:rFonts w:ascii="Times New Roman" w:hAnsi="Times New Roman" w:cs="Times New Roman" w:hint="eastAsia"/>
          <w:sz w:val="24"/>
          <w:szCs w:val="32"/>
        </w:rPr>
        <w:t>服务团队</w:t>
      </w:r>
      <w:r>
        <w:rPr>
          <w:rFonts w:ascii="Times New Roman" w:hAnsi="Times New Roman" w:cs="Times New Roman"/>
          <w:sz w:val="24"/>
          <w:szCs w:val="32"/>
        </w:rPr>
        <w:t>，确定</w:t>
      </w:r>
      <w:r>
        <w:rPr>
          <w:rFonts w:ascii="Times New Roman" w:hAnsi="Times New Roman" w:cs="Times New Roman" w:hint="eastAsia"/>
          <w:sz w:val="24"/>
          <w:szCs w:val="32"/>
        </w:rPr>
        <w:t>1</w:t>
      </w:r>
      <w:r>
        <w:rPr>
          <w:rFonts w:ascii="Times New Roman" w:hAnsi="Times New Roman" w:cs="Times New Roman"/>
          <w:sz w:val="24"/>
          <w:szCs w:val="32"/>
        </w:rPr>
        <w:t>名项目负责人，制定详细的实施计划。服务团队负责平台的开发、维护、升级等工作，确保平台的技术先进性和稳定性，能够及时响应采购方的技术需求和问题。</w:t>
      </w:r>
    </w:p>
    <w:p w14:paraId="41865154" w14:textId="77777777" w:rsidR="00A82504" w:rsidRDefault="00000000">
      <w:pPr>
        <w:spacing w:line="360" w:lineRule="auto"/>
        <w:rPr>
          <w:rFonts w:ascii="黑体" w:eastAsia="黑体" w:hAnsi="黑体" w:cs="黑体" w:hint="eastAsia"/>
          <w:b/>
          <w:sz w:val="24"/>
          <w:szCs w:val="32"/>
        </w:rPr>
      </w:pPr>
      <w:r>
        <w:rPr>
          <w:rFonts w:ascii="黑体" w:eastAsia="黑体" w:hAnsi="黑体" w:cs="黑体" w:hint="eastAsia"/>
          <w:b/>
          <w:sz w:val="24"/>
          <w:szCs w:val="32"/>
        </w:rPr>
        <w:t>（五）</w:t>
      </w:r>
      <w:r>
        <w:rPr>
          <w:rFonts w:ascii="黑体" w:eastAsia="黑体" w:hAnsi="黑体" w:cs="黑体"/>
          <w:b/>
          <w:sz w:val="24"/>
          <w:szCs w:val="32"/>
        </w:rPr>
        <w:t>交付地点</w:t>
      </w:r>
      <w:r>
        <w:rPr>
          <w:rFonts w:ascii="黑体" w:eastAsia="黑体" w:hAnsi="黑体" w:cs="黑体" w:hint="eastAsia"/>
          <w:b/>
          <w:sz w:val="24"/>
          <w:szCs w:val="32"/>
        </w:rPr>
        <w:t>：</w:t>
      </w:r>
    </w:p>
    <w:p w14:paraId="58EACEBE" w14:textId="77777777"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采购人指定地点（四川省妇幼保健院）。</w:t>
      </w:r>
    </w:p>
    <w:p w14:paraId="688CEC2B" w14:textId="77777777" w:rsidR="00A82504" w:rsidRPr="00DC7EFF" w:rsidRDefault="00000000" w:rsidP="00DC7EFF">
      <w:pPr>
        <w:widowControl/>
        <w:spacing w:line="360" w:lineRule="auto"/>
        <w:rPr>
          <w:rFonts w:ascii="黑体" w:eastAsia="黑体" w:hAnsi="黑体" w:cs="黑体" w:hint="eastAsia"/>
          <w:sz w:val="24"/>
          <w:szCs w:val="32"/>
        </w:rPr>
      </w:pPr>
      <w:r>
        <w:rPr>
          <w:rFonts w:ascii="黑体" w:eastAsia="黑体" w:hAnsi="黑体" w:cs="黑体" w:hint="eastAsia"/>
          <w:b/>
          <w:sz w:val="24"/>
          <w:szCs w:val="32"/>
        </w:rPr>
        <w:t>（六）质保期：3年质保。</w:t>
      </w:r>
    </w:p>
    <w:p w14:paraId="1CB7E0FA" w14:textId="20A12CA2" w:rsidR="00A82504" w:rsidRDefault="00000000">
      <w:pPr>
        <w:spacing w:line="360" w:lineRule="auto"/>
        <w:rPr>
          <w:rFonts w:ascii="黑体" w:eastAsia="黑体" w:hAnsi="黑体" w:cs="黑体" w:hint="eastAsia"/>
          <w:b/>
          <w:sz w:val="36"/>
          <w:szCs w:val="36"/>
        </w:rPr>
      </w:pPr>
      <w:r>
        <w:rPr>
          <w:rFonts w:ascii="黑体" w:eastAsia="黑体" w:hAnsi="黑体" w:cs="黑体" w:hint="eastAsia"/>
          <w:b/>
          <w:sz w:val="36"/>
          <w:szCs w:val="36"/>
        </w:rPr>
        <w:t>★五、平台服务承诺</w:t>
      </w:r>
      <w:r w:rsidR="008B7191">
        <w:rPr>
          <w:rFonts w:ascii="黑体" w:eastAsia="黑体" w:hAnsi="黑体" w:cs="黑体" w:hint="eastAsia"/>
          <w:b/>
          <w:sz w:val="36"/>
          <w:szCs w:val="36"/>
        </w:rPr>
        <w:t>（提供承诺函并加盖公章）</w:t>
      </w:r>
    </w:p>
    <w:p w14:paraId="300C60C6" w14:textId="77777777" w:rsidR="00A82504" w:rsidRDefault="00000000">
      <w:pPr>
        <w:spacing w:line="360" w:lineRule="auto"/>
      </w:pPr>
      <w:r>
        <w:rPr>
          <w:rFonts w:ascii="黑体" w:eastAsia="黑体" w:hAnsi="黑体" w:cs="黑体" w:hint="eastAsia"/>
          <w:b/>
          <w:sz w:val="24"/>
          <w:szCs w:val="32"/>
        </w:rPr>
        <w:t>（一）价格保障</w:t>
      </w:r>
    </w:p>
    <w:p w14:paraId="71432960" w14:textId="791EAD9F"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盈利模式：</w:t>
      </w:r>
      <w:r>
        <w:rPr>
          <w:rFonts w:ascii="Times New Roman" w:hAnsi="Times New Roman" w:cs="Times New Roman" w:hint="eastAsia"/>
          <w:sz w:val="24"/>
          <w:szCs w:val="32"/>
        </w:rPr>
        <w:t>平台</w:t>
      </w:r>
      <w:r>
        <w:rPr>
          <w:rFonts w:ascii="Times New Roman" w:hAnsi="Times New Roman" w:cs="Times New Roman"/>
          <w:sz w:val="24"/>
          <w:szCs w:val="32"/>
        </w:rPr>
        <w:t>承诺不通过赚取商品差价获取利润，平台运营的交易服务费由供应商承担，避免因利益驱动导致商品价格虚高，保障采购方的经济利益。</w:t>
      </w:r>
    </w:p>
    <w:p w14:paraId="2D6E48E0" w14:textId="1EB033EE"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优惠政策：为采购方提供大客户协议价，对于采购量大的客户给予一定的价格优惠。同时，定期开展优惠活动，如团购、限时折扣等，进一步降低采购成本，提高采购方的采购效益。</w:t>
      </w:r>
    </w:p>
    <w:p w14:paraId="017B3AE1" w14:textId="77777777" w:rsidR="00A82504" w:rsidRDefault="00000000">
      <w:pPr>
        <w:spacing w:line="360" w:lineRule="auto"/>
      </w:pPr>
      <w:r>
        <w:rPr>
          <w:rFonts w:ascii="黑体" w:eastAsia="黑体" w:hAnsi="黑体" w:cs="黑体" w:hint="eastAsia"/>
          <w:b/>
          <w:sz w:val="24"/>
          <w:szCs w:val="32"/>
        </w:rPr>
        <w:t>（二）售后服务</w:t>
      </w:r>
    </w:p>
    <w:p w14:paraId="388067AC" w14:textId="68D9AB74"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质保期：同签署的合同有效期。</w:t>
      </w:r>
      <w:proofErr w:type="gramStart"/>
      <w:r>
        <w:rPr>
          <w:rFonts w:ascii="Times New Roman" w:hAnsi="Times New Roman" w:cs="Times New Roman"/>
          <w:sz w:val="24"/>
          <w:szCs w:val="32"/>
        </w:rPr>
        <w:t>自系统</w:t>
      </w:r>
      <w:proofErr w:type="gramEnd"/>
      <w:r>
        <w:rPr>
          <w:rFonts w:ascii="Times New Roman" w:hAnsi="Times New Roman" w:cs="Times New Roman"/>
          <w:sz w:val="24"/>
          <w:szCs w:val="32"/>
        </w:rPr>
        <w:t>正式上线运行之日起计算。质保期内，平台服务方需提供免费的技术支持</w:t>
      </w:r>
      <w:r>
        <w:rPr>
          <w:rFonts w:ascii="Times New Roman" w:hAnsi="Times New Roman" w:cs="Times New Roman" w:hint="eastAsia"/>
          <w:sz w:val="24"/>
          <w:szCs w:val="32"/>
        </w:rPr>
        <w:t>、</w:t>
      </w:r>
      <w:r>
        <w:rPr>
          <w:rFonts w:ascii="Times New Roman" w:hAnsi="Times New Roman" w:cs="Times New Roman"/>
          <w:sz w:val="24"/>
          <w:szCs w:val="32"/>
        </w:rPr>
        <w:t>维护</w:t>
      </w:r>
      <w:r>
        <w:rPr>
          <w:rFonts w:ascii="Times New Roman" w:hAnsi="Times New Roman" w:cs="Times New Roman" w:hint="eastAsia"/>
          <w:sz w:val="24"/>
          <w:szCs w:val="32"/>
        </w:rPr>
        <w:t>和系统升级</w:t>
      </w:r>
      <w:r>
        <w:rPr>
          <w:rFonts w:ascii="Times New Roman" w:hAnsi="Times New Roman" w:cs="Times New Roman"/>
          <w:sz w:val="24"/>
          <w:szCs w:val="32"/>
        </w:rPr>
        <w:t>服务，确保系统稳定运行。</w:t>
      </w:r>
    </w:p>
    <w:p w14:paraId="6CDD2028" w14:textId="1290E1BF"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培训服务：提供免费的培训服务，包括操作手册编写、视频教程制作以及现场培训等多种方式。操作手册应详细介绍平台的功能和使用方法，视频教程应直观展示操作流程，方便用户学习。对于采购方人员变动，供应商应根据需求提供</w:t>
      </w:r>
      <w:r>
        <w:rPr>
          <w:rFonts w:ascii="Times New Roman" w:hAnsi="Times New Roman" w:cs="Times New Roman"/>
          <w:sz w:val="24"/>
          <w:szCs w:val="32"/>
        </w:rPr>
        <w:lastRenderedPageBreak/>
        <w:t>重复培训服务，确保新入职人员能够快速熟悉平台操作。</w:t>
      </w:r>
    </w:p>
    <w:p w14:paraId="7BD0BDD2" w14:textId="077C08F5" w:rsidR="00A82504" w:rsidRDefault="00000000">
      <w:pPr>
        <w:spacing w:line="360" w:lineRule="auto"/>
        <w:ind w:firstLineChars="200" w:firstLine="480"/>
        <w:rPr>
          <w:rFonts w:ascii="Times New Roman" w:hAnsi="Times New Roman" w:cs="Times New Roman"/>
          <w:sz w:val="24"/>
          <w:szCs w:val="32"/>
        </w:rPr>
      </w:pPr>
      <w:r>
        <w:rPr>
          <w:rFonts w:ascii="Times New Roman" w:hAnsi="Times New Roman" w:cs="Times New Roman"/>
          <w:sz w:val="24"/>
          <w:szCs w:val="32"/>
        </w:rPr>
        <w:t>系统升级：</w:t>
      </w:r>
      <w:r>
        <w:rPr>
          <w:rFonts w:ascii="Times New Roman" w:hAnsi="Times New Roman" w:cs="Times New Roman" w:hint="eastAsia"/>
          <w:sz w:val="24"/>
          <w:szCs w:val="32"/>
        </w:rPr>
        <w:t>因采购</w:t>
      </w:r>
      <w:proofErr w:type="gramStart"/>
      <w:r>
        <w:rPr>
          <w:rFonts w:ascii="Times New Roman" w:hAnsi="Times New Roman" w:cs="Times New Roman" w:hint="eastAsia"/>
          <w:sz w:val="24"/>
          <w:szCs w:val="32"/>
        </w:rPr>
        <w:t>方制度</w:t>
      </w:r>
      <w:proofErr w:type="gramEnd"/>
      <w:r>
        <w:rPr>
          <w:rFonts w:ascii="Times New Roman" w:hAnsi="Times New Roman" w:cs="Times New Roman" w:hint="eastAsia"/>
          <w:sz w:val="24"/>
          <w:szCs w:val="32"/>
        </w:rPr>
        <w:t>变化导致采购流程发生变化的，平台免费对系统进行相应的调整、对接、升级改造等工作</w:t>
      </w:r>
      <w:r>
        <w:rPr>
          <w:rFonts w:ascii="Times New Roman" w:hAnsi="Times New Roman" w:cs="Times New Roman"/>
          <w:sz w:val="24"/>
          <w:szCs w:val="32"/>
        </w:rPr>
        <w:t>。</w:t>
      </w:r>
    </w:p>
    <w:p w14:paraId="4130997D" w14:textId="77777777" w:rsidR="00A82504" w:rsidRDefault="00000000">
      <w:pPr>
        <w:rPr>
          <w:rFonts w:cs="宋体"/>
          <w:color w:val="000000"/>
          <w:sz w:val="24"/>
        </w:rPr>
      </w:pPr>
      <w:r>
        <w:rPr>
          <w:rFonts w:cs="宋体" w:hint="eastAsia"/>
          <w:color w:val="000000"/>
          <w:sz w:val="24"/>
        </w:rPr>
        <w:br w:type="page"/>
      </w:r>
    </w:p>
    <w:p w14:paraId="60CAD244" w14:textId="3C705ACC" w:rsidR="00A82504" w:rsidRPr="00DC7EFF" w:rsidRDefault="00000000">
      <w:pPr>
        <w:spacing w:line="360" w:lineRule="auto"/>
        <w:rPr>
          <w:rFonts w:ascii="黑体" w:eastAsia="黑体" w:hAnsi="黑体" w:cs="黑体" w:hint="eastAsia"/>
          <w:b/>
          <w:sz w:val="36"/>
          <w:szCs w:val="36"/>
        </w:rPr>
      </w:pPr>
      <w:r>
        <w:rPr>
          <w:rFonts w:ascii="黑体" w:eastAsia="黑体" w:hAnsi="黑体" w:cs="黑体" w:hint="eastAsia"/>
          <w:b/>
          <w:sz w:val="36"/>
          <w:szCs w:val="36"/>
        </w:rPr>
        <w:lastRenderedPageBreak/>
        <w:t>六、</w:t>
      </w:r>
      <w:r w:rsidRPr="00DC7EFF">
        <w:rPr>
          <w:rFonts w:ascii="黑体" w:eastAsia="黑体" w:hAnsi="黑体" w:cs="黑体" w:hint="eastAsia"/>
          <w:b/>
          <w:sz w:val="36"/>
          <w:szCs w:val="36"/>
        </w:rPr>
        <w:t>评分细则</w:t>
      </w:r>
    </w:p>
    <w:tbl>
      <w:tblPr>
        <w:tblStyle w:val="ad"/>
        <w:tblW w:w="0" w:type="auto"/>
        <w:jc w:val="center"/>
        <w:tblLook w:val="04A0" w:firstRow="1" w:lastRow="0" w:firstColumn="1" w:lastColumn="0" w:noHBand="0" w:noVBand="1"/>
      </w:tblPr>
      <w:tblGrid>
        <w:gridCol w:w="866"/>
        <w:gridCol w:w="746"/>
        <w:gridCol w:w="518"/>
        <w:gridCol w:w="5773"/>
      </w:tblGrid>
      <w:tr w:rsidR="00E521DF" w14:paraId="49E269F7" w14:textId="77777777" w:rsidTr="00E521DF">
        <w:trPr>
          <w:jc w:val="center"/>
        </w:trPr>
        <w:tc>
          <w:tcPr>
            <w:tcW w:w="866" w:type="dxa"/>
          </w:tcPr>
          <w:p w14:paraId="35B94EEB" w14:textId="77777777" w:rsidR="00E521DF" w:rsidRDefault="00E521DF">
            <w:pPr>
              <w:spacing w:line="360" w:lineRule="auto"/>
              <w:jc w:val="center"/>
              <w:rPr>
                <w:rFonts w:cs="宋体"/>
                <w:b/>
                <w:bCs/>
                <w:color w:val="000000"/>
                <w:sz w:val="24"/>
              </w:rPr>
            </w:pPr>
            <w:r>
              <w:rPr>
                <w:rFonts w:cs="宋体" w:hint="eastAsia"/>
                <w:b/>
                <w:bCs/>
                <w:color w:val="000000"/>
                <w:sz w:val="24"/>
              </w:rPr>
              <w:t>序号</w:t>
            </w:r>
          </w:p>
        </w:tc>
        <w:tc>
          <w:tcPr>
            <w:tcW w:w="746" w:type="dxa"/>
          </w:tcPr>
          <w:p w14:paraId="5F9C09CA" w14:textId="77777777" w:rsidR="00E521DF" w:rsidRDefault="00E521DF">
            <w:pPr>
              <w:spacing w:line="360" w:lineRule="auto"/>
              <w:jc w:val="center"/>
              <w:rPr>
                <w:rFonts w:cs="宋体"/>
                <w:b/>
                <w:bCs/>
                <w:color w:val="000000"/>
                <w:sz w:val="24"/>
              </w:rPr>
            </w:pPr>
            <w:r>
              <w:rPr>
                <w:rFonts w:cs="宋体" w:hint="eastAsia"/>
                <w:b/>
                <w:bCs/>
                <w:color w:val="000000"/>
                <w:sz w:val="24"/>
              </w:rPr>
              <w:t>评审因素</w:t>
            </w:r>
          </w:p>
        </w:tc>
        <w:tc>
          <w:tcPr>
            <w:tcW w:w="518" w:type="dxa"/>
          </w:tcPr>
          <w:p w14:paraId="5DB99CB3" w14:textId="77777777" w:rsidR="00E521DF" w:rsidRDefault="00E521DF">
            <w:pPr>
              <w:spacing w:line="360" w:lineRule="auto"/>
              <w:jc w:val="center"/>
              <w:rPr>
                <w:rFonts w:cs="宋体"/>
                <w:b/>
                <w:bCs/>
                <w:color w:val="000000"/>
                <w:sz w:val="24"/>
              </w:rPr>
            </w:pPr>
            <w:r>
              <w:rPr>
                <w:rFonts w:cs="宋体" w:hint="eastAsia"/>
                <w:b/>
                <w:bCs/>
                <w:color w:val="000000"/>
                <w:sz w:val="24"/>
              </w:rPr>
              <w:t>分值</w:t>
            </w:r>
          </w:p>
        </w:tc>
        <w:tc>
          <w:tcPr>
            <w:tcW w:w="5773" w:type="dxa"/>
          </w:tcPr>
          <w:p w14:paraId="2A841587" w14:textId="77777777" w:rsidR="00E521DF" w:rsidRDefault="00E521DF">
            <w:pPr>
              <w:spacing w:line="360" w:lineRule="auto"/>
              <w:jc w:val="center"/>
              <w:rPr>
                <w:rFonts w:cs="宋体"/>
                <w:b/>
                <w:bCs/>
                <w:color w:val="000000"/>
                <w:sz w:val="24"/>
              </w:rPr>
            </w:pPr>
            <w:r>
              <w:rPr>
                <w:rFonts w:cs="宋体" w:hint="eastAsia"/>
                <w:b/>
                <w:bCs/>
                <w:color w:val="000000"/>
                <w:sz w:val="24"/>
              </w:rPr>
              <w:t>评分标准</w:t>
            </w:r>
          </w:p>
        </w:tc>
      </w:tr>
      <w:tr w:rsidR="00E521DF" w14:paraId="3B96A01E" w14:textId="77777777" w:rsidTr="00E521DF">
        <w:trPr>
          <w:jc w:val="center"/>
        </w:trPr>
        <w:tc>
          <w:tcPr>
            <w:tcW w:w="866" w:type="dxa"/>
          </w:tcPr>
          <w:p w14:paraId="1938B224" w14:textId="77777777" w:rsidR="00E521DF" w:rsidRDefault="00E521DF">
            <w:pPr>
              <w:spacing w:line="360" w:lineRule="auto"/>
              <w:rPr>
                <w:rFonts w:cs="宋体"/>
                <w:color w:val="000000"/>
                <w:szCs w:val="21"/>
              </w:rPr>
            </w:pPr>
            <w:r>
              <w:rPr>
                <w:rFonts w:cs="宋体" w:hint="eastAsia"/>
                <w:color w:val="000000"/>
                <w:szCs w:val="21"/>
              </w:rPr>
              <w:t>1</w:t>
            </w:r>
          </w:p>
        </w:tc>
        <w:tc>
          <w:tcPr>
            <w:tcW w:w="746" w:type="dxa"/>
          </w:tcPr>
          <w:p w14:paraId="32439037"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报价</w:t>
            </w:r>
          </w:p>
        </w:tc>
        <w:tc>
          <w:tcPr>
            <w:tcW w:w="518" w:type="dxa"/>
          </w:tcPr>
          <w:p w14:paraId="338728B3" w14:textId="3D581C00"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15</w:t>
            </w:r>
          </w:p>
        </w:tc>
        <w:tc>
          <w:tcPr>
            <w:tcW w:w="5773" w:type="dxa"/>
          </w:tcPr>
          <w:p w14:paraId="6AF71FA2" w14:textId="77777777" w:rsidR="00E521DF" w:rsidRDefault="00E521DF" w:rsidP="00DC7EFF">
            <w:pPr>
              <w:widowControl/>
              <w:spacing w:line="500" w:lineRule="exact"/>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以满足文件要求且所报交易服务费率最低的最终报价为评审基准价，得15分，其他</w:t>
            </w:r>
            <w:proofErr w:type="gramStart"/>
            <w:r>
              <w:rPr>
                <w:rFonts w:asciiTheme="minorEastAsia" w:hAnsiTheme="minorEastAsia" w:cstheme="minorEastAsia" w:hint="eastAsia"/>
                <w:color w:val="000000"/>
                <w:szCs w:val="21"/>
              </w:rPr>
              <w:t>供应商该部分</w:t>
            </w:r>
            <w:proofErr w:type="gramEnd"/>
            <w:r>
              <w:rPr>
                <w:rFonts w:asciiTheme="minorEastAsia" w:hAnsiTheme="minorEastAsia" w:cstheme="minorEastAsia" w:hint="eastAsia"/>
                <w:color w:val="000000"/>
                <w:szCs w:val="21"/>
              </w:rPr>
              <w:t>价格</w:t>
            </w:r>
            <w:proofErr w:type="gramStart"/>
            <w:r>
              <w:rPr>
                <w:rFonts w:asciiTheme="minorEastAsia" w:hAnsiTheme="minorEastAsia" w:cstheme="minorEastAsia" w:hint="eastAsia"/>
                <w:color w:val="000000"/>
                <w:szCs w:val="21"/>
              </w:rPr>
              <w:t>分按照</w:t>
            </w:r>
            <w:proofErr w:type="gramEnd"/>
            <w:r>
              <w:rPr>
                <w:rFonts w:asciiTheme="minorEastAsia" w:hAnsiTheme="minorEastAsia" w:cstheme="minorEastAsia" w:hint="eastAsia"/>
                <w:color w:val="000000"/>
                <w:szCs w:val="21"/>
              </w:rPr>
              <w:t>下列公式计算：得分=（评审基准价/交易服务费率）×15，得分精确到小数点后2位。</w:t>
            </w:r>
          </w:p>
          <w:p w14:paraId="67A6701F" w14:textId="49D776F5"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注：</w:t>
            </w:r>
            <w:r>
              <w:rPr>
                <w:rFonts w:asciiTheme="minorEastAsia" w:hAnsiTheme="minorEastAsia" w:cstheme="minorEastAsia" w:hint="eastAsia"/>
                <w:szCs w:val="21"/>
              </w:rPr>
              <w:t>本项目为零预算，投标人向科研物资采购平台系统供应商收取一定比例的交易流水作为服务费收益。</w:t>
            </w:r>
            <w:r>
              <w:rPr>
                <w:rFonts w:asciiTheme="minorEastAsia" w:hAnsiTheme="minorEastAsia" w:cstheme="minorEastAsia" w:hint="eastAsia"/>
                <w:color w:val="000000"/>
                <w:szCs w:val="21"/>
              </w:rPr>
              <w:t>收取的系统供应商平台交易服务费不得高于交易额的5%，否则为投标文件无效。</w:t>
            </w:r>
          </w:p>
        </w:tc>
      </w:tr>
      <w:tr w:rsidR="00E521DF" w14:paraId="3EFF2535" w14:textId="77777777" w:rsidTr="00E521DF">
        <w:trPr>
          <w:jc w:val="center"/>
        </w:trPr>
        <w:tc>
          <w:tcPr>
            <w:tcW w:w="866" w:type="dxa"/>
          </w:tcPr>
          <w:p w14:paraId="50EAEEA1"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2</w:t>
            </w:r>
          </w:p>
        </w:tc>
        <w:tc>
          <w:tcPr>
            <w:tcW w:w="746" w:type="dxa"/>
          </w:tcPr>
          <w:p w14:paraId="37E28998"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技术参数</w:t>
            </w:r>
          </w:p>
        </w:tc>
        <w:tc>
          <w:tcPr>
            <w:tcW w:w="518" w:type="dxa"/>
          </w:tcPr>
          <w:p w14:paraId="5D16750E" w14:textId="69FB69F8"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43</w:t>
            </w:r>
          </w:p>
        </w:tc>
        <w:tc>
          <w:tcPr>
            <w:tcW w:w="5773" w:type="dxa"/>
          </w:tcPr>
          <w:p w14:paraId="34B81335" w14:textId="7456D90D"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根据响应方对采购需求的技术指标响应程度进行评价打分，其中标注“★”的参数条款需全部满足，否则投标文件无效；标注“</w:t>
            </w:r>
            <w:r>
              <w:rPr>
                <w:rFonts w:ascii="Times New Roman" w:hAnsi="Times New Roman" w:cs="Times New Roman"/>
                <w:sz w:val="24"/>
              </w:rPr>
              <w:t>▲</w:t>
            </w:r>
            <w:r>
              <w:rPr>
                <w:rFonts w:asciiTheme="minorEastAsia" w:hAnsiTheme="minorEastAsia" w:cstheme="minorEastAsia" w:hint="eastAsia"/>
                <w:color w:val="000000"/>
                <w:szCs w:val="21"/>
              </w:rPr>
              <w:t>”的为重要参数条款（共10项），</w:t>
            </w:r>
            <w:proofErr w:type="gramStart"/>
            <w:r>
              <w:rPr>
                <w:rFonts w:asciiTheme="minorEastAsia" w:hAnsiTheme="minorEastAsia" w:cstheme="minorEastAsia" w:hint="eastAsia"/>
                <w:color w:val="000000"/>
                <w:szCs w:val="21"/>
              </w:rPr>
              <w:t>每负偏离</w:t>
            </w:r>
            <w:proofErr w:type="gramEnd"/>
            <w:r>
              <w:rPr>
                <w:rFonts w:asciiTheme="minorEastAsia" w:hAnsiTheme="minorEastAsia" w:cstheme="minorEastAsia" w:hint="eastAsia"/>
                <w:color w:val="000000"/>
                <w:szCs w:val="21"/>
              </w:rPr>
              <w:t>或者不满足一项扣2分，其他一般参数条款（共23项）不能响应或负偏离每项扣1分。</w:t>
            </w:r>
          </w:p>
        </w:tc>
      </w:tr>
      <w:tr w:rsidR="00E521DF" w14:paraId="6655359A" w14:textId="77777777" w:rsidTr="00E521DF">
        <w:trPr>
          <w:jc w:val="center"/>
        </w:trPr>
        <w:tc>
          <w:tcPr>
            <w:tcW w:w="866" w:type="dxa"/>
          </w:tcPr>
          <w:p w14:paraId="354D71AB"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3</w:t>
            </w:r>
          </w:p>
        </w:tc>
        <w:tc>
          <w:tcPr>
            <w:tcW w:w="746" w:type="dxa"/>
          </w:tcPr>
          <w:p w14:paraId="2C8A1AF0"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投标人能力评价</w:t>
            </w:r>
          </w:p>
        </w:tc>
        <w:tc>
          <w:tcPr>
            <w:tcW w:w="518" w:type="dxa"/>
          </w:tcPr>
          <w:p w14:paraId="30429E0C" w14:textId="42D1C18E"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2</w:t>
            </w:r>
          </w:p>
        </w:tc>
        <w:tc>
          <w:tcPr>
            <w:tcW w:w="5773" w:type="dxa"/>
          </w:tcPr>
          <w:p w14:paraId="3CE37F9B" w14:textId="06C3F1CE"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投标人拥有与本项目建设平台系统相关的计算机软件著作权登记证书，提供证书复印件并加盖投标人公章，每提供一个得1分，最高得2分。</w:t>
            </w:r>
          </w:p>
        </w:tc>
      </w:tr>
      <w:tr w:rsidR="00E521DF" w14:paraId="0FBF3399" w14:textId="77777777" w:rsidTr="00E521DF">
        <w:trPr>
          <w:jc w:val="center"/>
        </w:trPr>
        <w:tc>
          <w:tcPr>
            <w:tcW w:w="866" w:type="dxa"/>
          </w:tcPr>
          <w:p w14:paraId="37C32412"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4</w:t>
            </w:r>
          </w:p>
        </w:tc>
        <w:tc>
          <w:tcPr>
            <w:tcW w:w="746" w:type="dxa"/>
          </w:tcPr>
          <w:p w14:paraId="141ED7EC"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服务团队评价</w:t>
            </w:r>
          </w:p>
        </w:tc>
        <w:tc>
          <w:tcPr>
            <w:tcW w:w="518" w:type="dxa"/>
          </w:tcPr>
          <w:p w14:paraId="5AB858FF" w14:textId="26200CF5"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4</w:t>
            </w:r>
          </w:p>
        </w:tc>
        <w:tc>
          <w:tcPr>
            <w:tcW w:w="5773" w:type="dxa"/>
          </w:tcPr>
          <w:p w14:paraId="25CF33FC" w14:textId="0097AF86"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szCs w:val="21"/>
              </w:rPr>
              <w:t>（1）服务团队负责人具有计算机技术及软件或生物医药类相关专业教育背景得2分，提供证明材料，不提供不得分。</w:t>
            </w:r>
            <w:r>
              <w:rPr>
                <w:rFonts w:asciiTheme="minorEastAsia" w:hAnsiTheme="minorEastAsia" w:cstheme="minorEastAsia" w:hint="eastAsia"/>
                <w:szCs w:val="21"/>
              </w:rPr>
              <w:br/>
              <w:t>（2）服务团队负责人具有高级证书或者</w:t>
            </w:r>
            <w:proofErr w:type="gramStart"/>
            <w:r>
              <w:rPr>
                <w:rFonts w:asciiTheme="minorEastAsia" w:hAnsiTheme="minorEastAsia" w:cstheme="minorEastAsia" w:hint="eastAsia"/>
                <w:szCs w:val="21"/>
              </w:rPr>
              <w:t>软考类</w:t>
            </w:r>
            <w:proofErr w:type="gramEnd"/>
            <w:r>
              <w:rPr>
                <w:rFonts w:asciiTheme="minorEastAsia" w:hAnsiTheme="minorEastAsia" w:cstheme="minorEastAsia" w:hint="eastAsia"/>
                <w:szCs w:val="21"/>
              </w:rPr>
              <w:t>高级证书，得2分，提供证明材料，不提供不得分。</w:t>
            </w:r>
            <w:r>
              <w:rPr>
                <w:rFonts w:asciiTheme="minorEastAsia" w:hAnsiTheme="minorEastAsia" w:cstheme="minorEastAsia" w:hint="eastAsia"/>
                <w:szCs w:val="21"/>
              </w:rPr>
              <w:br/>
            </w:r>
          </w:p>
        </w:tc>
      </w:tr>
      <w:tr w:rsidR="00E521DF" w14:paraId="1F96A23A" w14:textId="77777777" w:rsidTr="00E521DF">
        <w:trPr>
          <w:jc w:val="center"/>
        </w:trPr>
        <w:tc>
          <w:tcPr>
            <w:tcW w:w="866" w:type="dxa"/>
          </w:tcPr>
          <w:p w14:paraId="79F09936"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5</w:t>
            </w:r>
          </w:p>
        </w:tc>
        <w:tc>
          <w:tcPr>
            <w:tcW w:w="746" w:type="dxa"/>
          </w:tcPr>
          <w:p w14:paraId="34981D21"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售后服务方案评价</w:t>
            </w:r>
          </w:p>
        </w:tc>
        <w:tc>
          <w:tcPr>
            <w:tcW w:w="518" w:type="dxa"/>
          </w:tcPr>
          <w:p w14:paraId="25CAD118" w14:textId="56356532"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6</w:t>
            </w:r>
          </w:p>
        </w:tc>
        <w:tc>
          <w:tcPr>
            <w:tcW w:w="5773" w:type="dxa"/>
          </w:tcPr>
          <w:p w14:paraId="7412CFA9"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（1）根据投标人针对本项目提供的售后服务方案进行评审，包括但不限于①响应时间及故障处理时间、②售后服务人员情况、③售后巡检、系统运维。</w:t>
            </w:r>
          </w:p>
          <w:p w14:paraId="54E2DDB6" w14:textId="6DB9201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（2）方案完整、详尽每个要点得2分，合计6分，每有一处</w:t>
            </w:r>
            <w:r>
              <w:rPr>
                <w:rFonts w:asciiTheme="minorEastAsia" w:hAnsiTheme="minorEastAsia" w:cstheme="minorEastAsia" w:hint="eastAsia"/>
                <w:szCs w:val="21"/>
              </w:rPr>
              <w:lastRenderedPageBreak/>
              <w:t>缺陷或不足扣1分，扣完为止。</w:t>
            </w:r>
          </w:p>
        </w:tc>
      </w:tr>
      <w:tr w:rsidR="00E521DF" w14:paraId="7E11EFDD" w14:textId="77777777" w:rsidTr="00E521DF">
        <w:trPr>
          <w:jc w:val="center"/>
        </w:trPr>
        <w:tc>
          <w:tcPr>
            <w:tcW w:w="866" w:type="dxa"/>
          </w:tcPr>
          <w:p w14:paraId="41E1F1C8"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lastRenderedPageBreak/>
              <w:t>6</w:t>
            </w:r>
          </w:p>
        </w:tc>
        <w:tc>
          <w:tcPr>
            <w:tcW w:w="746" w:type="dxa"/>
          </w:tcPr>
          <w:p w14:paraId="4BF100DB"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安装调试培训评价</w:t>
            </w:r>
          </w:p>
        </w:tc>
        <w:tc>
          <w:tcPr>
            <w:tcW w:w="518" w:type="dxa"/>
          </w:tcPr>
          <w:p w14:paraId="308252A8"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6</w:t>
            </w:r>
          </w:p>
        </w:tc>
        <w:tc>
          <w:tcPr>
            <w:tcW w:w="5773" w:type="dxa"/>
          </w:tcPr>
          <w:p w14:paraId="3734CFCB"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（1）根据投标人针对本项目提供的安装调试培训方案进行评审，包括但不限于①安装调试培训人员情况、②安装调试培训计划、③安装调试培训效果等内容。</w:t>
            </w:r>
          </w:p>
          <w:p w14:paraId="3E42D528"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（2）方案完整、详尽每个要点得2分，合计6分，每有一处缺陷或不足扣1分，扣完为止。</w:t>
            </w:r>
          </w:p>
        </w:tc>
      </w:tr>
      <w:tr w:rsidR="00E521DF" w14:paraId="4FC0B3F1" w14:textId="77777777" w:rsidTr="00E521DF">
        <w:trPr>
          <w:jc w:val="center"/>
        </w:trPr>
        <w:tc>
          <w:tcPr>
            <w:tcW w:w="866" w:type="dxa"/>
          </w:tcPr>
          <w:p w14:paraId="44419CCE"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7</w:t>
            </w:r>
          </w:p>
        </w:tc>
        <w:tc>
          <w:tcPr>
            <w:tcW w:w="746" w:type="dxa"/>
          </w:tcPr>
          <w:p w14:paraId="2B7BA3FA"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质量保证体系及措施评价</w:t>
            </w:r>
          </w:p>
        </w:tc>
        <w:tc>
          <w:tcPr>
            <w:tcW w:w="518" w:type="dxa"/>
          </w:tcPr>
          <w:p w14:paraId="6CFA26DE"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6</w:t>
            </w:r>
          </w:p>
        </w:tc>
        <w:tc>
          <w:tcPr>
            <w:tcW w:w="5773" w:type="dxa"/>
          </w:tcPr>
          <w:p w14:paraId="53252D99"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（1）根据投标人针对本项目提供的质量保证体系及措施进行评审，包括但不限于①质量保证体系、②质量承诺、质量目标及质量控制的保证措施、③质量管理制度及检查制度等内容。</w:t>
            </w:r>
          </w:p>
          <w:p w14:paraId="1B1C741E"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（2）方案完整、详尽每个要点得2分，合计6分，每有一处缺陷或不足扣1分，扣完为止。</w:t>
            </w:r>
          </w:p>
        </w:tc>
      </w:tr>
      <w:tr w:rsidR="00E521DF" w14:paraId="00EDE53F" w14:textId="77777777" w:rsidTr="00E521DF">
        <w:trPr>
          <w:jc w:val="center"/>
        </w:trPr>
        <w:tc>
          <w:tcPr>
            <w:tcW w:w="866" w:type="dxa"/>
          </w:tcPr>
          <w:p w14:paraId="10A64D4F"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8</w:t>
            </w:r>
          </w:p>
        </w:tc>
        <w:tc>
          <w:tcPr>
            <w:tcW w:w="746" w:type="dxa"/>
          </w:tcPr>
          <w:p w14:paraId="26620F9B"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应急预案评价</w:t>
            </w:r>
          </w:p>
        </w:tc>
        <w:tc>
          <w:tcPr>
            <w:tcW w:w="518" w:type="dxa"/>
          </w:tcPr>
          <w:p w14:paraId="7957110E"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6</w:t>
            </w:r>
          </w:p>
        </w:tc>
        <w:tc>
          <w:tcPr>
            <w:tcW w:w="5773" w:type="dxa"/>
          </w:tcPr>
          <w:p w14:paraId="029F0534"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（1）根据投标人针对本项目提供的应急预案进行评审，包括但不限于①网络与信息安全具体内容、②安全事件等级划分合理处置、③管理制度及处理流程、应急事件的评估和改进执行等内容。</w:t>
            </w:r>
          </w:p>
          <w:p w14:paraId="5CC8C74C" w14:textId="77777777"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（2）方案完整、详尽每个要点得2分，合计6分，每有一处缺陷或不足扣1分，扣完为止。</w:t>
            </w:r>
          </w:p>
        </w:tc>
      </w:tr>
      <w:tr w:rsidR="00E521DF" w14:paraId="4E2FEA8C" w14:textId="77777777" w:rsidTr="00E521DF">
        <w:trPr>
          <w:jc w:val="center"/>
        </w:trPr>
        <w:tc>
          <w:tcPr>
            <w:tcW w:w="866" w:type="dxa"/>
          </w:tcPr>
          <w:p w14:paraId="2D4B1E04"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9</w:t>
            </w:r>
          </w:p>
        </w:tc>
        <w:tc>
          <w:tcPr>
            <w:tcW w:w="746" w:type="dxa"/>
          </w:tcPr>
          <w:p w14:paraId="530F424D"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szCs w:val="21"/>
              </w:rPr>
              <w:t>仓储建设评价</w:t>
            </w:r>
          </w:p>
        </w:tc>
        <w:tc>
          <w:tcPr>
            <w:tcW w:w="518" w:type="dxa"/>
          </w:tcPr>
          <w:p w14:paraId="19EBEA92" w14:textId="72110AC3"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4</w:t>
            </w:r>
          </w:p>
        </w:tc>
        <w:tc>
          <w:tcPr>
            <w:tcW w:w="5773" w:type="dxa"/>
          </w:tcPr>
          <w:p w14:paraId="4A209064" w14:textId="12D6D726" w:rsidR="00E521DF" w:rsidRDefault="00E521DF">
            <w:pPr>
              <w:spacing w:line="360" w:lineRule="auto"/>
              <w:rPr>
                <w:rFonts w:asciiTheme="minorEastAsia" w:hAnsiTheme="minorEastAsia" w:cstheme="minorEastAsia" w:hint="eastAsia"/>
                <w:szCs w:val="21"/>
              </w:rPr>
            </w:pPr>
            <w:r>
              <w:rPr>
                <w:rFonts w:asciiTheme="minorEastAsia" w:hAnsiTheme="minorEastAsia" w:cstheme="minorEastAsia" w:hint="eastAsia"/>
                <w:szCs w:val="21"/>
              </w:rPr>
              <w:t>投标人提供川内仓储建设案例，一个得2分，本小项最高得4分。（提供川内房产证明复印件/合同复印件及</w:t>
            </w:r>
            <w:proofErr w:type="gramStart"/>
            <w:r>
              <w:rPr>
                <w:rFonts w:asciiTheme="minorEastAsia" w:hAnsiTheme="minorEastAsia" w:cstheme="minorEastAsia" w:hint="eastAsia"/>
                <w:szCs w:val="21"/>
              </w:rPr>
              <w:t>物业费</w:t>
            </w:r>
            <w:proofErr w:type="gramEnd"/>
            <w:r>
              <w:rPr>
                <w:rFonts w:asciiTheme="minorEastAsia" w:hAnsiTheme="minorEastAsia" w:cstheme="minorEastAsia" w:hint="eastAsia"/>
                <w:szCs w:val="21"/>
              </w:rPr>
              <w:t>和租金缴费或水电、网络费缴纳证明，其签订主体必须为投标企业或投标企业的分公司、全资子公司）</w:t>
            </w:r>
          </w:p>
        </w:tc>
      </w:tr>
      <w:tr w:rsidR="00E521DF" w14:paraId="6100E82C" w14:textId="77777777" w:rsidTr="00E521DF">
        <w:trPr>
          <w:jc w:val="center"/>
        </w:trPr>
        <w:tc>
          <w:tcPr>
            <w:tcW w:w="866" w:type="dxa"/>
          </w:tcPr>
          <w:p w14:paraId="06980F1B"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10</w:t>
            </w:r>
          </w:p>
        </w:tc>
        <w:tc>
          <w:tcPr>
            <w:tcW w:w="746" w:type="dxa"/>
          </w:tcPr>
          <w:p w14:paraId="29186D96" w14:textId="777777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同类项目业绩</w:t>
            </w:r>
          </w:p>
        </w:tc>
        <w:tc>
          <w:tcPr>
            <w:tcW w:w="518" w:type="dxa"/>
          </w:tcPr>
          <w:p w14:paraId="03DA00C5" w14:textId="57088D77"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color w:val="000000"/>
                <w:szCs w:val="21"/>
              </w:rPr>
              <w:t>8</w:t>
            </w:r>
          </w:p>
        </w:tc>
        <w:tc>
          <w:tcPr>
            <w:tcW w:w="5773" w:type="dxa"/>
          </w:tcPr>
          <w:p w14:paraId="15AC6A8D" w14:textId="1578F24C" w:rsidR="00E521DF" w:rsidRDefault="00E521DF">
            <w:pPr>
              <w:spacing w:line="360" w:lineRule="auto"/>
              <w:rPr>
                <w:rFonts w:asciiTheme="minorEastAsia" w:hAnsiTheme="minorEastAsia" w:cstheme="minorEastAsia" w:hint="eastAsia"/>
                <w:color w:val="000000"/>
                <w:szCs w:val="21"/>
              </w:rPr>
            </w:pPr>
            <w:r>
              <w:rPr>
                <w:rFonts w:asciiTheme="minorEastAsia" w:hAnsiTheme="minorEastAsia" w:cstheme="minorEastAsia" w:hint="eastAsia"/>
                <w:szCs w:val="21"/>
              </w:rPr>
              <w:t>投标人自2022年1月1日至今提供类似系统项目业绩，每提供一份业绩合同（以合同复印件为准）得2分，最多得8分。</w:t>
            </w:r>
          </w:p>
        </w:tc>
      </w:tr>
    </w:tbl>
    <w:p w14:paraId="4C66EAFF" w14:textId="77777777" w:rsidR="00A82504" w:rsidRDefault="00A82504">
      <w:pPr>
        <w:spacing w:line="360" w:lineRule="auto"/>
        <w:rPr>
          <w:rFonts w:asciiTheme="minorEastAsia" w:hAnsiTheme="minorEastAsia" w:cstheme="minorEastAsia" w:hint="eastAsia"/>
          <w:color w:val="000000"/>
          <w:szCs w:val="21"/>
        </w:rPr>
      </w:pPr>
    </w:p>
    <w:p w14:paraId="4006361B" w14:textId="77777777" w:rsidR="00A82504" w:rsidRDefault="00A82504">
      <w:pPr>
        <w:spacing w:line="360" w:lineRule="auto"/>
        <w:rPr>
          <w:rFonts w:cs="宋体"/>
          <w:color w:val="000000"/>
          <w:sz w:val="24"/>
        </w:rPr>
      </w:pPr>
    </w:p>
    <w:p w14:paraId="1400E3FD" w14:textId="77777777" w:rsidR="00A82504" w:rsidRDefault="00A82504">
      <w:pPr>
        <w:pStyle w:val="1"/>
      </w:pPr>
    </w:p>
    <w:sectPr w:rsidR="00A825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E28490" w14:textId="77777777" w:rsidR="003B1573" w:rsidRDefault="003B1573" w:rsidP="00FD311B">
      <w:r>
        <w:separator/>
      </w:r>
    </w:p>
  </w:endnote>
  <w:endnote w:type="continuationSeparator" w:id="0">
    <w:p w14:paraId="6E27B8F9" w14:textId="77777777" w:rsidR="003B1573" w:rsidRDefault="003B1573" w:rsidP="00FD3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E27A76" w14:textId="77777777" w:rsidR="003B1573" w:rsidRDefault="003B1573" w:rsidP="00FD311B">
      <w:r>
        <w:separator/>
      </w:r>
    </w:p>
  </w:footnote>
  <w:footnote w:type="continuationSeparator" w:id="0">
    <w:p w14:paraId="17C16393" w14:textId="77777777" w:rsidR="003B1573" w:rsidRDefault="003B1573" w:rsidP="00FD31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178900"/>
    <w:multiLevelType w:val="singleLevel"/>
    <w:tmpl w:val="3A178900"/>
    <w:lvl w:ilvl="0">
      <w:start w:val="1"/>
      <w:numFmt w:val="decimal"/>
      <w:suff w:val="nothing"/>
      <w:lvlText w:val="（%1）"/>
      <w:lvlJc w:val="left"/>
    </w:lvl>
  </w:abstractNum>
  <w:abstractNum w:abstractNumId="1" w15:restartNumberingAfterBreak="0">
    <w:nsid w:val="3CC73979"/>
    <w:multiLevelType w:val="singleLevel"/>
    <w:tmpl w:val="3CC73979"/>
    <w:lvl w:ilvl="0">
      <w:start w:val="4"/>
      <w:numFmt w:val="chineseCounting"/>
      <w:suff w:val="nothing"/>
      <w:lvlText w:val="（%1）"/>
      <w:lvlJc w:val="left"/>
      <w:rPr>
        <w:rFonts w:hint="eastAsia"/>
      </w:rPr>
    </w:lvl>
  </w:abstractNum>
  <w:num w:numId="1" w16cid:durableId="431635366">
    <w:abstractNumId w:val="1"/>
  </w:num>
  <w:num w:numId="2" w16cid:durableId="13292853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1855F29"/>
    <w:rsid w:val="000242E0"/>
    <w:rsid w:val="000E707F"/>
    <w:rsid w:val="000F3ACE"/>
    <w:rsid w:val="00101590"/>
    <w:rsid w:val="00105071"/>
    <w:rsid w:val="002172E6"/>
    <w:rsid w:val="00246DED"/>
    <w:rsid w:val="00251D92"/>
    <w:rsid w:val="00253C69"/>
    <w:rsid w:val="002546F6"/>
    <w:rsid w:val="002E1BAA"/>
    <w:rsid w:val="002E50E4"/>
    <w:rsid w:val="00301E2C"/>
    <w:rsid w:val="003B1573"/>
    <w:rsid w:val="003C4BE5"/>
    <w:rsid w:val="00460F44"/>
    <w:rsid w:val="004C480C"/>
    <w:rsid w:val="004C768F"/>
    <w:rsid w:val="004D29C5"/>
    <w:rsid w:val="00651CCF"/>
    <w:rsid w:val="00675D64"/>
    <w:rsid w:val="006D7A85"/>
    <w:rsid w:val="006F5DFA"/>
    <w:rsid w:val="00765EFD"/>
    <w:rsid w:val="008B7191"/>
    <w:rsid w:val="008E6CAF"/>
    <w:rsid w:val="008E76FE"/>
    <w:rsid w:val="00925729"/>
    <w:rsid w:val="009257E8"/>
    <w:rsid w:val="00930BF9"/>
    <w:rsid w:val="00931B8F"/>
    <w:rsid w:val="00946CAF"/>
    <w:rsid w:val="00A610C4"/>
    <w:rsid w:val="00A82504"/>
    <w:rsid w:val="00B02779"/>
    <w:rsid w:val="00B411EF"/>
    <w:rsid w:val="00BC4B68"/>
    <w:rsid w:val="00C207CE"/>
    <w:rsid w:val="00C27F2F"/>
    <w:rsid w:val="00C954AB"/>
    <w:rsid w:val="00CA1852"/>
    <w:rsid w:val="00CC597A"/>
    <w:rsid w:val="00D64663"/>
    <w:rsid w:val="00DC7EFF"/>
    <w:rsid w:val="00E074D8"/>
    <w:rsid w:val="00E521DF"/>
    <w:rsid w:val="00FD311B"/>
    <w:rsid w:val="029F3AE7"/>
    <w:rsid w:val="037A65BE"/>
    <w:rsid w:val="058A7DCB"/>
    <w:rsid w:val="0A9430F1"/>
    <w:rsid w:val="0AEB19BD"/>
    <w:rsid w:val="0B9D0F35"/>
    <w:rsid w:val="0BB92464"/>
    <w:rsid w:val="0E2B4231"/>
    <w:rsid w:val="105A1BD4"/>
    <w:rsid w:val="151C02FC"/>
    <w:rsid w:val="15A80CEE"/>
    <w:rsid w:val="168510C7"/>
    <w:rsid w:val="17F50FB9"/>
    <w:rsid w:val="191D25D6"/>
    <w:rsid w:val="19BB14E6"/>
    <w:rsid w:val="1C0B7C92"/>
    <w:rsid w:val="1CBC12DB"/>
    <w:rsid w:val="1E7720D4"/>
    <w:rsid w:val="21571736"/>
    <w:rsid w:val="22547BC0"/>
    <w:rsid w:val="249828C7"/>
    <w:rsid w:val="267A4284"/>
    <w:rsid w:val="27882138"/>
    <w:rsid w:val="28F72E4F"/>
    <w:rsid w:val="29773D99"/>
    <w:rsid w:val="2A186F15"/>
    <w:rsid w:val="2AEA4492"/>
    <w:rsid w:val="2C3D01C2"/>
    <w:rsid w:val="2E580F8D"/>
    <w:rsid w:val="2FF10EF9"/>
    <w:rsid w:val="347C0B50"/>
    <w:rsid w:val="35014F78"/>
    <w:rsid w:val="372100C0"/>
    <w:rsid w:val="38F159A3"/>
    <w:rsid w:val="3B7D37CF"/>
    <w:rsid w:val="3DC7732F"/>
    <w:rsid w:val="3FE2574C"/>
    <w:rsid w:val="41761844"/>
    <w:rsid w:val="44554024"/>
    <w:rsid w:val="4873341F"/>
    <w:rsid w:val="4CBA6AF8"/>
    <w:rsid w:val="51A46042"/>
    <w:rsid w:val="51C754A6"/>
    <w:rsid w:val="53C65F39"/>
    <w:rsid w:val="566E79D2"/>
    <w:rsid w:val="5B8E5344"/>
    <w:rsid w:val="5C9A533B"/>
    <w:rsid w:val="5D546C86"/>
    <w:rsid w:val="5D7A25A3"/>
    <w:rsid w:val="5D96442A"/>
    <w:rsid w:val="5EB225C6"/>
    <w:rsid w:val="607F4AFF"/>
    <w:rsid w:val="6133134B"/>
    <w:rsid w:val="61F320D0"/>
    <w:rsid w:val="64A27E2A"/>
    <w:rsid w:val="6CED7081"/>
    <w:rsid w:val="6EA47FD0"/>
    <w:rsid w:val="6FA81B3D"/>
    <w:rsid w:val="6FBF1849"/>
    <w:rsid w:val="70125B90"/>
    <w:rsid w:val="70C50497"/>
    <w:rsid w:val="70CF06E5"/>
    <w:rsid w:val="71257C6E"/>
    <w:rsid w:val="71855F29"/>
    <w:rsid w:val="71C461E7"/>
    <w:rsid w:val="72096158"/>
    <w:rsid w:val="7A917EC7"/>
    <w:rsid w:val="7C750751"/>
    <w:rsid w:val="7E575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57D65"/>
  <w15:docId w15:val="{DF337EA7-BC02-412E-93CF-BF5868C24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link w:val="30"/>
    <w:semiHidden/>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next w:val="a"/>
    <w:link w:val="a6"/>
    <w:qFormat/>
    <w:pPr>
      <w:adjustRightInd w:val="0"/>
      <w:snapToGrid w:val="0"/>
      <w:spacing w:line="360" w:lineRule="auto"/>
      <w:jc w:val="left"/>
      <w:textAlignment w:val="baseline"/>
    </w:pPr>
    <w:rPr>
      <w:rFonts w:ascii="宋体" w:eastAsia="宋体" w:hAnsi="Times New Roman" w:cs="Times New Roman"/>
      <w:szCs w:val="20"/>
    </w:rPr>
  </w:style>
  <w:style w:type="paragraph" w:styleId="a7">
    <w:name w:val="footer"/>
    <w:basedOn w:val="a"/>
    <w:link w:val="a8"/>
    <w:qFormat/>
    <w:pPr>
      <w:tabs>
        <w:tab w:val="center" w:pos="4153"/>
        <w:tab w:val="right" w:pos="8306"/>
      </w:tabs>
      <w:snapToGrid w:val="0"/>
      <w:jc w:val="left"/>
    </w:pPr>
    <w:rPr>
      <w:sz w:val="18"/>
      <w:szCs w:val="18"/>
    </w:rPr>
  </w:style>
  <w:style w:type="paragraph" w:styleId="a9">
    <w:name w:val="header"/>
    <w:basedOn w:val="a"/>
    <w:link w:val="aa"/>
    <w:qFormat/>
    <w:pPr>
      <w:tabs>
        <w:tab w:val="center" w:pos="4153"/>
        <w:tab w:val="right" w:pos="8306"/>
      </w:tabs>
      <w:snapToGrid w:val="0"/>
      <w:jc w:val="center"/>
    </w:pPr>
    <w:rPr>
      <w:sz w:val="18"/>
      <w:szCs w:val="18"/>
    </w:rPr>
  </w:style>
  <w:style w:type="paragraph" w:styleId="ab">
    <w:name w:val="annotation subject"/>
    <w:basedOn w:val="a3"/>
    <w:next w:val="a3"/>
    <w:link w:val="ac"/>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qFormat/>
    <w:rPr>
      <w:sz w:val="21"/>
      <w:szCs w:val="21"/>
    </w:rPr>
  </w:style>
  <w:style w:type="paragraph" w:customStyle="1" w:styleId="10">
    <w:name w:val="修订1"/>
    <w:hidden/>
    <w:uiPriority w:val="99"/>
    <w:unhideWhenUsed/>
    <w:qFormat/>
    <w:rPr>
      <w:kern w:val="2"/>
      <w:sz w:val="21"/>
      <w:szCs w:val="24"/>
    </w:rPr>
  </w:style>
  <w:style w:type="character" w:customStyle="1" w:styleId="a4">
    <w:name w:val="批注文字 字符"/>
    <w:basedOn w:val="a0"/>
    <w:link w:val="a3"/>
    <w:qFormat/>
    <w:rPr>
      <w:kern w:val="2"/>
      <w:sz w:val="21"/>
      <w:szCs w:val="24"/>
    </w:rPr>
  </w:style>
  <w:style w:type="character" w:customStyle="1" w:styleId="ac">
    <w:name w:val="批注主题 字符"/>
    <w:basedOn w:val="a4"/>
    <w:link w:val="ab"/>
    <w:qFormat/>
    <w:rPr>
      <w:b/>
      <w:bCs/>
      <w:kern w:val="2"/>
      <w:sz w:val="21"/>
      <w:szCs w:val="24"/>
    </w:rPr>
  </w:style>
  <w:style w:type="character" w:customStyle="1" w:styleId="aa">
    <w:name w:val="页眉 字符"/>
    <w:basedOn w:val="a0"/>
    <w:link w:val="a9"/>
    <w:qFormat/>
    <w:rPr>
      <w:kern w:val="2"/>
      <w:sz w:val="18"/>
      <w:szCs w:val="18"/>
    </w:rPr>
  </w:style>
  <w:style w:type="character" w:customStyle="1" w:styleId="a8">
    <w:name w:val="页脚 字符"/>
    <w:basedOn w:val="a0"/>
    <w:link w:val="a7"/>
    <w:qFormat/>
    <w:rPr>
      <w:kern w:val="2"/>
      <w:sz w:val="18"/>
      <w:szCs w:val="18"/>
    </w:rPr>
  </w:style>
  <w:style w:type="character" w:customStyle="1" w:styleId="a6">
    <w:name w:val="正文文本 字符"/>
    <w:basedOn w:val="a0"/>
    <w:link w:val="a5"/>
    <w:qFormat/>
    <w:rPr>
      <w:rFonts w:ascii="宋体" w:eastAsia="宋体" w:hAnsi="Times New Roman" w:cs="Times New Roman"/>
      <w:kern w:val="2"/>
      <w:sz w:val="21"/>
    </w:rPr>
  </w:style>
  <w:style w:type="character" w:customStyle="1" w:styleId="30">
    <w:name w:val="标题 3 字符"/>
    <w:basedOn w:val="a0"/>
    <w:link w:val="3"/>
    <w:semiHidden/>
    <w:qFormat/>
    <w:rPr>
      <w:b/>
      <w:bCs/>
      <w:kern w:val="2"/>
      <w:sz w:val="32"/>
      <w:szCs w:val="32"/>
    </w:rPr>
  </w:style>
  <w:style w:type="paragraph" w:styleId="af">
    <w:name w:val="List Paragraph"/>
    <w:basedOn w:val="a"/>
    <w:uiPriority w:val="34"/>
    <w:qFormat/>
    <w:pPr>
      <w:ind w:firstLineChars="200" w:firstLine="420"/>
    </w:pPr>
    <w:rPr>
      <w:rFonts w:ascii="Calibri" w:eastAsia="宋体" w:hAnsi="Calibri" w:cs="Times New Roman"/>
      <w:sz w:val="28"/>
      <w:szCs w:val="22"/>
    </w:rPr>
  </w:style>
  <w:style w:type="paragraph" w:styleId="af0">
    <w:name w:val="Revision"/>
    <w:hidden/>
    <w:uiPriority w:val="99"/>
    <w:unhideWhenUsed/>
    <w:rsid w:val="00FD311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9</Pages>
  <Words>858</Words>
  <Characters>4894</Characters>
  <Application>Microsoft Office Word</Application>
  <DocSecurity>0</DocSecurity>
  <Lines>40</Lines>
  <Paragraphs>11</Paragraphs>
  <ScaleCrop>false</ScaleCrop>
  <Company/>
  <LinksUpToDate>false</LinksUpToDate>
  <CharactersWithSpaces>5741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Elsa.chan</dc:creator>
  <cp:lastModifiedBy>子 欢</cp:lastModifiedBy>
  <cp:revision>22</cp:revision>
  <dcterms:created xsi:type="dcterms:W3CDTF">2025-02-19T02:53:00Z</dcterms:created>
  <dcterms:modified xsi:type="dcterms:W3CDTF">2025-04-09T00:37:00Z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6028866892974333B24A1226AD54284A_13</vt:lpwstr>
  </property>
  <property fmtid="{D5CDD505-2E9C-101B-9397-08002B2CF9AE}" pid="4" name="KSOTemplateDocerSaveRecord">
    <vt:lpwstr>eyJoZGlkIjoiOGU2MzhkMTFhMTk3OWM3NzU4YjE5YzlkYmZhMmQ0MzIiLCJ1c2VySWQiOiI0NjAzMzU5ODEifQ==</vt:lpwstr>
  </property>
</Properties>
</file>