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EF4DE" w14:textId="77777777" w:rsidR="00607CF9" w:rsidRDefault="00607CF9">
      <w:pPr>
        <w:pStyle w:val="a0"/>
      </w:pPr>
    </w:p>
    <w:p w14:paraId="0854DB11" w14:textId="77777777" w:rsidR="00607CF9" w:rsidRDefault="00000000">
      <w:pPr>
        <w:tabs>
          <w:tab w:val="left" w:pos="5250"/>
        </w:tabs>
        <w:spacing w:line="24" w:lineRule="atLeast"/>
        <w:jc w:val="center"/>
        <w:rPr>
          <w:b/>
          <w:bCs/>
          <w:sz w:val="44"/>
          <w:szCs w:val="52"/>
        </w:rPr>
      </w:pPr>
      <w:r>
        <w:rPr>
          <w:rFonts w:hint="eastAsia"/>
          <w:b/>
          <w:bCs/>
          <w:sz w:val="44"/>
          <w:szCs w:val="52"/>
        </w:rPr>
        <w:t>绩效管理咨询服务参数</w:t>
      </w:r>
    </w:p>
    <w:p w14:paraId="3A64DCBD" w14:textId="77777777" w:rsidR="00607CF9" w:rsidRDefault="00000000">
      <w:pPr>
        <w:spacing w:line="24" w:lineRule="atLeast"/>
        <w:rPr>
          <w:sz w:val="28"/>
          <w:szCs w:val="28"/>
        </w:rPr>
      </w:pPr>
      <w:r>
        <w:rPr>
          <w:rFonts w:hint="eastAsia"/>
          <w:sz w:val="28"/>
          <w:szCs w:val="28"/>
        </w:rPr>
        <w:t>说明：</w:t>
      </w:r>
    </w:p>
    <w:p w14:paraId="4A751607" w14:textId="77777777" w:rsidR="00607CF9" w:rsidRDefault="00000000">
      <w:pPr>
        <w:rPr>
          <w:rFonts w:asciiTheme="majorEastAsia" w:eastAsiaTheme="majorEastAsia" w:hAnsiTheme="majorEastAsia" w:cs="仿宋" w:hint="eastAsia"/>
          <w:bCs/>
          <w:sz w:val="24"/>
        </w:rPr>
      </w:pPr>
      <w:r>
        <w:rPr>
          <w:rFonts w:asciiTheme="majorEastAsia" w:eastAsiaTheme="majorEastAsia" w:hAnsiTheme="majorEastAsia" w:cs="仿宋" w:hint="eastAsia"/>
          <w:bCs/>
          <w:sz w:val="24"/>
        </w:rPr>
        <w:t>带★指标为本项目的实质性要求，供应商应全部满足，否则其投标文件作无效处理。</w:t>
      </w:r>
    </w:p>
    <w:p w14:paraId="08DADC71" w14:textId="77777777" w:rsidR="00607CF9" w:rsidRDefault="00000000">
      <w:pPr>
        <w:pStyle w:val="1"/>
      </w:pPr>
      <w:r>
        <w:rPr>
          <w:rFonts w:hint="eastAsia"/>
        </w:rPr>
        <w:t>采购清单</w:t>
      </w:r>
    </w:p>
    <w:p w14:paraId="4F47A2FB" w14:textId="77777777" w:rsidR="00607CF9" w:rsidRDefault="00000000">
      <w:pPr>
        <w:numPr>
          <w:ilvl w:val="1"/>
          <w:numId w:val="2"/>
        </w:numPr>
        <w:spacing w:line="360" w:lineRule="auto"/>
      </w:pPr>
      <w:r>
        <w:rPr>
          <w:rFonts w:hint="eastAsia"/>
        </w:rPr>
        <w:t>最高限价：</w:t>
      </w:r>
      <w:r>
        <w:rPr>
          <w:rFonts w:hint="eastAsia"/>
        </w:rPr>
        <w:t>11.625</w:t>
      </w:r>
      <w:r>
        <w:rPr>
          <w:rFonts w:hint="eastAsia"/>
        </w:rPr>
        <w:t>万元</w:t>
      </w:r>
    </w:p>
    <w:p w14:paraId="0A445F6A" w14:textId="77777777" w:rsidR="00607CF9" w:rsidRDefault="00000000">
      <w:pPr>
        <w:pStyle w:val="a0"/>
        <w:numPr>
          <w:ilvl w:val="1"/>
          <w:numId w:val="2"/>
        </w:numPr>
        <w:spacing w:line="360" w:lineRule="auto"/>
      </w:pPr>
      <w:r>
        <w:rPr>
          <w:rFonts w:hint="eastAsia"/>
        </w:rPr>
        <w:t>采购清单：</w:t>
      </w:r>
    </w:p>
    <w:tbl>
      <w:tblPr>
        <w:tblW w:w="4259" w:type="pct"/>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89"/>
        <w:gridCol w:w="4986"/>
        <w:gridCol w:w="1308"/>
      </w:tblGrid>
      <w:tr w:rsidR="00607CF9" w14:paraId="2B184551" w14:textId="77777777">
        <w:trPr>
          <w:trHeight w:val="518"/>
        </w:trPr>
        <w:tc>
          <w:tcPr>
            <w:tcW w:w="737" w:type="pct"/>
            <w:tcBorders>
              <w:tl2br w:val="nil"/>
              <w:tr2bl w:val="nil"/>
            </w:tcBorders>
            <w:shd w:val="clear" w:color="auto" w:fill="FFFFFF"/>
            <w:vAlign w:val="center"/>
          </w:tcPr>
          <w:p w14:paraId="7C0D0C05" w14:textId="77777777" w:rsidR="00607CF9" w:rsidRDefault="00000000">
            <w:pPr>
              <w:widowControl/>
              <w:snapToGrid w:val="0"/>
              <w:spacing w:line="24" w:lineRule="atLeast"/>
              <w:jc w:val="center"/>
              <w:textAlignment w:val="top"/>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序号</w:t>
            </w:r>
          </w:p>
        </w:tc>
        <w:tc>
          <w:tcPr>
            <w:tcW w:w="3377" w:type="pct"/>
            <w:tcBorders>
              <w:tl2br w:val="nil"/>
              <w:tr2bl w:val="nil"/>
            </w:tcBorders>
            <w:shd w:val="clear" w:color="auto" w:fill="FFFFFF"/>
            <w:vAlign w:val="center"/>
          </w:tcPr>
          <w:p w14:paraId="1B930398" w14:textId="77777777" w:rsidR="00607CF9" w:rsidRDefault="00000000">
            <w:pPr>
              <w:widowControl/>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sz w:val="28"/>
                <w:szCs w:val="28"/>
              </w:rPr>
              <w:t>采购标的</w:t>
            </w:r>
          </w:p>
        </w:tc>
        <w:tc>
          <w:tcPr>
            <w:tcW w:w="886" w:type="pct"/>
            <w:tcBorders>
              <w:tl2br w:val="nil"/>
              <w:tr2bl w:val="nil"/>
            </w:tcBorders>
            <w:shd w:val="clear" w:color="auto" w:fill="FFFFFF"/>
            <w:vAlign w:val="center"/>
          </w:tcPr>
          <w:p w14:paraId="71FDA7B8" w14:textId="77777777" w:rsidR="00607CF9" w:rsidRDefault="00000000">
            <w:pPr>
              <w:widowControl/>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kern w:val="0"/>
                <w:sz w:val="28"/>
                <w:szCs w:val="28"/>
                <w:lang w:bidi="ar"/>
              </w:rPr>
              <w:t>数量</w:t>
            </w:r>
          </w:p>
        </w:tc>
      </w:tr>
      <w:tr w:rsidR="00607CF9" w14:paraId="7A876549" w14:textId="77777777">
        <w:trPr>
          <w:trHeight w:val="471"/>
        </w:trPr>
        <w:tc>
          <w:tcPr>
            <w:tcW w:w="737" w:type="pct"/>
            <w:tcBorders>
              <w:tl2br w:val="nil"/>
              <w:tr2bl w:val="nil"/>
            </w:tcBorders>
            <w:shd w:val="clear" w:color="auto" w:fill="FFFFFF"/>
            <w:vAlign w:val="center"/>
          </w:tcPr>
          <w:p w14:paraId="5D27F77C" w14:textId="77777777" w:rsidR="00607CF9" w:rsidRDefault="00000000">
            <w:pPr>
              <w:spacing w:line="240" w:lineRule="atLeast"/>
              <w:jc w:val="center"/>
              <w:rPr>
                <w:rFonts w:ascii="宋体" w:hAnsi="宋体" w:cs="Arial" w:hint="eastAsia"/>
                <w:szCs w:val="21"/>
              </w:rPr>
            </w:pPr>
            <w:r>
              <w:rPr>
                <w:rFonts w:ascii="宋体" w:hAnsi="宋体" w:cs="Arial" w:hint="eastAsia"/>
                <w:szCs w:val="21"/>
              </w:rPr>
              <w:t>1</w:t>
            </w:r>
          </w:p>
        </w:tc>
        <w:tc>
          <w:tcPr>
            <w:tcW w:w="3377" w:type="pct"/>
            <w:tcBorders>
              <w:tl2br w:val="nil"/>
              <w:tr2bl w:val="nil"/>
            </w:tcBorders>
            <w:shd w:val="clear" w:color="auto" w:fill="FFFFFF"/>
            <w:vAlign w:val="center"/>
          </w:tcPr>
          <w:p w14:paraId="614E3FB0" w14:textId="77777777" w:rsidR="00607CF9" w:rsidRDefault="00000000">
            <w:pPr>
              <w:spacing w:line="240" w:lineRule="atLeast"/>
              <w:jc w:val="center"/>
              <w:rPr>
                <w:rFonts w:ascii="宋体" w:hAnsi="宋体" w:cs="Arial" w:hint="eastAsia"/>
                <w:szCs w:val="21"/>
              </w:rPr>
            </w:pPr>
            <w:r>
              <w:rPr>
                <w:rFonts w:ascii="宋体" w:hAnsi="宋体" w:cs="宋体" w:hint="eastAsia"/>
                <w:szCs w:val="21"/>
              </w:rPr>
              <w:t>绩效管理咨询服务</w:t>
            </w:r>
          </w:p>
        </w:tc>
        <w:tc>
          <w:tcPr>
            <w:tcW w:w="886" w:type="pct"/>
            <w:tcBorders>
              <w:tl2br w:val="nil"/>
              <w:tr2bl w:val="nil"/>
            </w:tcBorders>
            <w:shd w:val="clear" w:color="auto" w:fill="FFFFFF"/>
            <w:vAlign w:val="center"/>
          </w:tcPr>
          <w:p w14:paraId="11EE3582" w14:textId="77777777" w:rsidR="00607CF9" w:rsidRDefault="00000000">
            <w:pPr>
              <w:spacing w:line="240" w:lineRule="atLeast"/>
              <w:jc w:val="center"/>
              <w:rPr>
                <w:rFonts w:ascii="宋体" w:hAnsi="宋体" w:cs="Arial" w:hint="eastAsia"/>
                <w:szCs w:val="21"/>
              </w:rPr>
            </w:pPr>
            <w:r>
              <w:rPr>
                <w:rFonts w:ascii="宋体" w:hAnsi="宋体" w:cs="Arial" w:hint="eastAsia"/>
                <w:szCs w:val="21"/>
              </w:rPr>
              <w:t>1年</w:t>
            </w:r>
          </w:p>
        </w:tc>
      </w:tr>
    </w:tbl>
    <w:p w14:paraId="3745900A" w14:textId="77777777" w:rsidR="00607CF9" w:rsidRDefault="00000000">
      <w:pPr>
        <w:pStyle w:val="1"/>
      </w:pPr>
      <w:r>
        <w:rPr>
          <w:rFonts w:hint="eastAsia"/>
        </w:rPr>
        <w:t>★技术要求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171"/>
        <w:gridCol w:w="6273"/>
      </w:tblGrid>
      <w:tr w:rsidR="00607CF9" w14:paraId="16E4A1DC" w14:textId="77777777">
        <w:trPr>
          <w:trHeight w:val="467"/>
          <w:jc w:val="center"/>
        </w:trPr>
        <w:tc>
          <w:tcPr>
            <w:tcW w:w="0" w:type="auto"/>
            <w:shd w:val="clear" w:color="auto" w:fill="auto"/>
            <w:vAlign w:val="center"/>
          </w:tcPr>
          <w:p w14:paraId="02B3A67B" w14:textId="77777777" w:rsidR="00607CF9" w:rsidRDefault="00000000">
            <w:pPr>
              <w:widowControl/>
              <w:jc w:val="center"/>
              <w:textAlignment w:val="center"/>
              <w:rPr>
                <w:rFonts w:asciiTheme="minorEastAsia" w:eastAsiaTheme="minorEastAsia" w:hAnsiTheme="minorEastAsia" w:cstheme="minorEastAsia" w:hint="eastAsia"/>
                <w:b/>
                <w:bCs/>
                <w:color w:val="000000" w:themeColor="text1"/>
                <w:szCs w:val="21"/>
              </w:rPr>
            </w:pPr>
            <w:r>
              <w:rPr>
                <w:rFonts w:asciiTheme="minorEastAsia" w:eastAsiaTheme="minorEastAsia" w:hAnsiTheme="minorEastAsia" w:cstheme="minorEastAsia" w:hint="eastAsia"/>
                <w:b/>
                <w:bCs/>
                <w:color w:val="000000" w:themeColor="text1"/>
                <w:szCs w:val="21"/>
              </w:rPr>
              <w:t>分类</w:t>
            </w:r>
          </w:p>
        </w:tc>
        <w:tc>
          <w:tcPr>
            <w:tcW w:w="1171" w:type="dxa"/>
            <w:shd w:val="clear" w:color="auto" w:fill="auto"/>
            <w:vAlign w:val="center"/>
          </w:tcPr>
          <w:p w14:paraId="41065DCD" w14:textId="77777777" w:rsidR="00607CF9" w:rsidRDefault="00000000">
            <w:pPr>
              <w:widowControl/>
              <w:jc w:val="center"/>
              <w:textAlignment w:val="center"/>
              <w:rPr>
                <w:rFonts w:asciiTheme="minorEastAsia" w:eastAsiaTheme="minorEastAsia" w:hAnsiTheme="minorEastAsia" w:cstheme="minorEastAsia" w:hint="eastAsia"/>
                <w:b/>
                <w:bCs/>
                <w:color w:val="000000" w:themeColor="text1"/>
                <w:szCs w:val="21"/>
              </w:rPr>
            </w:pPr>
            <w:r>
              <w:rPr>
                <w:rFonts w:asciiTheme="minorEastAsia" w:eastAsiaTheme="minorEastAsia" w:hAnsiTheme="minorEastAsia" w:cstheme="minorEastAsia" w:hint="eastAsia"/>
                <w:b/>
                <w:bCs/>
                <w:color w:val="000000" w:themeColor="text1"/>
                <w:kern w:val="0"/>
                <w:szCs w:val="21"/>
                <w:lang w:bidi="ar"/>
              </w:rPr>
              <w:t>服务项目</w:t>
            </w:r>
          </w:p>
        </w:tc>
        <w:tc>
          <w:tcPr>
            <w:tcW w:w="6273" w:type="dxa"/>
            <w:shd w:val="clear" w:color="auto" w:fill="auto"/>
            <w:vAlign w:val="center"/>
          </w:tcPr>
          <w:p w14:paraId="2C496641" w14:textId="77777777" w:rsidR="00607CF9" w:rsidRDefault="00000000">
            <w:pPr>
              <w:jc w:val="center"/>
              <w:rPr>
                <w:rFonts w:asciiTheme="minorEastAsia" w:eastAsiaTheme="minorEastAsia" w:hAnsiTheme="minorEastAsia" w:cstheme="minorEastAsia" w:hint="eastAsia"/>
                <w:b/>
                <w:bCs/>
                <w:color w:val="000000" w:themeColor="text1"/>
                <w:szCs w:val="21"/>
              </w:rPr>
            </w:pPr>
            <w:r>
              <w:rPr>
                <w:rFonts w:asciiTheme="minorEastAsia" w:eastAsiaTheme="minorEastAsia" w:hAnsiTheme="minorEastAsia" w:cstheme="minorEastAsia" w:hint="eastAsia"/>
                <w:b/>
                <w:bCs/>
                <w:color w:val="000000" w:themeColor="text1"/>
                <w:kern w:val="0"/>
                <w:szCs w:val="21"/>
                <w:lang w:bidi="ar"/>
              </w:rPr>
              <w:t>技术服务要求</w:t>
            </w:r>
          </w:p>
        </w:tc>
      </w:tr>
      <w:tr w:rsidR="00607CF9" w14:paraId="59E8ACB0" w14:textId="77777777">
        <w:trPr>
          <w:trHeight w:val="545"/>
          <w:jc w:val="center"/>
        </w:trPr>
        <w:tc>
          <w:tcPr>
            <w:tcW w:w="1056" w:type="dxa"/>
            <w:vMerge w:val="restart"/>
            <w:shd w:val="clear" w:color="auto" w:fill="auto"/>
            <w:vAlign w:val="center"/>
          </w:tcPr>
          <w:p w14:paraId="5C222B05" w14:textId="77777777" w:rsidR="00607CF9" w:rsidRDefault="00000000">
            <w:pPr>
              <w:widowControl/>
              <w:jc w:val="center"/>
              <w:textAlignment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总体要求</w:t>
            </w:r>
          </w:p>
        </w:tc>
        <w:tc>
          <w:tcPr>
            <w:tcW w:w="1171" w:type="dxa"/>
            <w:shd w:val="clear" w:color="auto" w:fill="auto"/>
            <w:vAlign w:val="center"/>
          </w:tcPr>
          <w:p w14:paraId="25D93E34" w14:textId="77777777" w:rsidR="00607CF9" w:rsidRDefault="00000000">
            <w:pPr>
              <w:widowControl/>
              <w:jc w:val="center"/>
              <w:textAlignment w:val="center"/>
              <w:rPr>
                <w:rFonts w:asciiTheme="minorEastAsia" w:eastAsiaTheme="minorEastAsia" w:hAnsiTheme="minorEastAsia" w:cstheme="minorEastAsia" w:hint="eastAsia"/>
                <w:color w:val="000000" w:themeColor="text1"/>
                <w:kern w:val="0"/>
                <w:szCs w:val="21"/>
                <w:lang w:bidi="ar"/>
              </w:rPr>
            </w:pPr>
            <w:r>
              <w:rPr>
                <w:rFonts w:asciiTheme="minorEastAsia" w:eastAsiaTheme="minorEastAsia" w:hAnsiTheme="minorEastAsia" w:cstheme="minorEastAsia" w:hint="eastAsia"/>
                <w:color w:val="000000" w:themeColor="text1"/>
                <w:szCs w:val="21"/>
              </w:rPr>
              <w:t>总体要求</w:t>
            </w:r>
          </w:p>
        </w:tc>
        <w:tc>
          <w:tcPr>
            <w:tcW w:w="6273" w:type="dxa"/>
            <w:shd w:val="clear" w:color="auto" w:fill="auto"/>
            <w:vAlign w:val="center"/>
          </w:tcPr>
          <w:p w14:paraId="1A340D23" w14:textId="77777777" w:rsidR="00607CF9" w:rsidRDefault="00000000">
            <w:pPr>
              <w:jc w:val="left"/>
              <w:rPr>
                <w:rFonts w:asciiTheme="minorEastAsia" w:eastAsiaTheme="minorEastAsia" w:hAnsiTheme="minorEastAsia" w:cstheme="minorEastAsia" w:hint="eastAsia"/>
                <w:color w:val="000000" w:themeColor="text1"/>
                <w:kern w:val="0"/>
                <w:szCs w:val="21"/>
                <w:lang w:bidi="ar"/>
              </w:rPr>
            </w:pPr>
            <w:r>
              <w:rPr>
                <w:rFonts w:asciiTheme="minorEastAsia" w:eastAsiaTheme="minorEastAsia" w:hAnsiTheme="minorEastAsia" w:cstheme="minorEastAsia" w:hint="eastAsia"/>
                <w:color w:val="000000" w:themeColor="text1"/>
                <w:kern w:val="0"/>
                <w:szCs w:val="21"/>
                <w:lang w:bidi="ar"/>
              </w:rPr>
              <w:t>配合医院做好绩效管理咨询售后相关工作。</w:t>
            </w:r>
          </w:p>
        </w:tc>
      </w:tr>
      <w:tr w:rsidR="00607CF9" w14:paraId="3F599C15" w14:textId="77777777">
        <w:trPr>
          <w:trHeight w:val="734"/>
          <w:jc w:val="center"/>
        </w:trPr>
        <w:tc>
          <w:tcPr>
            <w:tcW w:w="1056" w:type="dxa"/>
            <w:vMerge/>
            <w:shd w:val="clear" w:color="auto" w:fill="auto"/>
            <w:vAlign w:val="center"/>
          </w:tcPr>
          <w:p w14:paraId="4E35C5E3" w14:textId="77777777" w:rsidR="00607CF9" w:rsidRDefault="00607CF9">
            <w:pPr>
              <w:widowControl/>
              <w:jc w:val="center"/>
              <w:textAlignment w:val="center"/>
              <w:rPr>
                <w:rFonts w:asciiTheme="minorEastAsia" w:eastAsiaTheme="minorEastAsia" w:hAnsiTheme="minorEastAsia" w:cstheme="minorEastAsia" w:hint="eastAsia"/>
                <w:color w:val="000000" w:themeColor="text1"/>
                <w:szCs w:val="21"/>
              </w:rPr>
            </w:pPr>
          </w:p>
        </w:tc>
        <w:tc>
          <w:tcPr>
            <w:tcW w:w="1171" w:type="dxa"/>
            <w:shd w:val="clear" w:color="auto" w:fill="auto"/>
            <w:vAlign w:val="center"/>
          </w:tcPr>
          <w:p w14:paraId="7FF56928" w14:textId="77777777" w:rsidR="00607CF9" w:rsidRDefault="00000000">
            <w:pPr>
              <w:widowControl/>
              <w:jc w:val="center"/>
              <w:textAlignment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日常管理</w:t>
            </w:r>
          </w:p>
        </w:tc>
        <w:tc>
          <w:tcPr>
            <w:tcW w:w="6273" w:type="dxa"/>
            <w:shd w:val="clear" w:color="auto" w:fill="auto"/>
            <w:vAlign w:val="center"/>
          </w:tcPr>
          <w:p w14:paraId="04D01F9E" w14:textId="77777777" w:rsidR="00607CF9" w:rsidRDefault="00000000">
            <w:pPr>
              <w:jc w:val="lef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按照医院要求及时调整系统相关设置；保证医院绩效系统的稳定正常运行；保障系统相关的数据库保密、高效、稳定、安全运行。对绩效系统进行日常管理；根据医院要求及时调整系统设置（包括项目赋值、方案调整等）；提供绩效系统全系统咨询服务及必要运维服务。</w:t>
            </w:r>
          </w:p>
        </w:tc>
      </w:tr>
      <w:tr w:rsidR="00607CF9" w14:paraId="56F84942" w14:textId="77777777">
        <w:trPr>
          <w:trHeight w:val="90"/>
          <w:jc w:val="center"/>
        </w:trPr>
        <w:tc>
          <w:tcPr>
            <w:tcW w:w="1056" w:type="dxa"/>
            <w:vMerge/>
            <w:shd w:val="clear" w:color="auto" w:fill="auto"/>
            <w:vAlign w:val="center"/>
          </w:tcPr>
          <w:p w14:paraId="6BC5A77F" w14:textId="77777777" w:rsidR="00607CF9" w:rsidRDefault="00607CF9">
            <w:pPr>
              <w:widowControl/>
              <w:jc w:val="center"/>
              <w:textAlignment w:val="center"/>
              <w:rPr>
                <w:rFonts w:asciiTheme="minorEastAsia" w:eastAsiaTheme="minorEastAsia" w:hAnsiTheme="minorEastAsia" w:cstheme="minorEastAsia" w:hint="eastAsia"/>
                <w:color w:val="000000" w:themeColor="text1"/>
                <w:kern w:val="0"/>
                <w:szCs w:val="21"/>
                <w:lang w:bidi="ar"/>
              </w:rPr>
            </w:pPr>
          </w:p>
        </w:tc>
        <w:tc>
          <w:tcPr>
            <w:tcW w:w="1171" w:type="dxa"/>
            <w:shd w:val="clear" w:color="auto" w:fill="auto"/>
            <w:vAlign w:val="center"/>
          </w:tcPr>
          <w:p w14:paraId="18B7931F" w14:textId="77777777" w:rsidR="00607CF9" w:rsidRDefault="00000000">
            <w:pPr>
              <w:widowControl/>
              <w:jc w:val="center"/>
              <w:textAlignment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项目赋值</w:t>
            </w:r>
          </w:p>
        </w:tc>
        <w:tc>
          <w:tcPr>
            <w:tcW w:w="6273" w:type="dxa"/>
            <w:shd w:val="clear" w:color="auto" w:fill="auto"/>
            <w:vAlign w:val="center"/>
          </w:tcPr>
          <w:p w14:paraId="5593D9F6" w14:textId="77777777" w:rsidR="00607CF9" w:rsidRDefault="00000000">
            <w:pPr>
              <w:pStyle w:val="a4"/>
              <w:numPr>
                <w:ilvl w:val="0"/>
                <w:numId w:val="3"/>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每月及时根据HIS数据抽取情况，对未配点数收费项目进行RBRVS</w:t>
            </w:r>
            <w:proofErr w:type="gramStart"/>
            <w:r>
              <w:rPr>
                <w:rFonts w:asciiTheme="minorEastAsia" w:eastAsiaTheme="minorEastAsia" w:hAnsiTheme="minorEastAsia" w:cstheme="minorEastAsia" w:hint="eastAsia"/>
                <w:sz w:val="21"/>
              </w:rPr>
              <w:t>赋点值</w:t>
            </w:r>
            <w:proofErr w:type="gramEnd"/>
            <w:r>
              <w:rPr>
                <w:rFonts w:asciiTheme="minorEastAsia" w:eastAsiaTheme="minorEastAsia" w:hAnsiTheme="minorEastAsia" w:cstheme="minorEastAsia" w:hint="eastAsia"/>
                <w:sz w:val="21"/>
              </w:rPr>
              <w:t>；</w:t>
            </w:r>
          </w:p>
          <w:p w14:paraId="241D9A12" w14:textId="77777777" w:rsidR="00607CF9" w:rsidRDefault="00000000">
            <w:pPr>
              <w:pStyle w:val="a4"/>
              <w:numPr>
                <w:ilvl w:val="0"/>
                <w:numId w:val="3"/>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根据收费项目变动文件（收费、内涵等变动）重新</w:t>
            </w:r>
            <w:proofErr w:type="gramStart"/>
            <w:r>
              <w:rPr>
                <w:rFonts w:asciiTheme="minorEastAsia" w:eastAsiaTheme="minorEastAsia" w:hAnsiTheme="minorEastAsia" w:cstheme="minorEastAsia" w:hint="eastAsia"/>
                <w:sz w:val="21"/>
              </w:rPr>
              <w:t>评估赋点值</w:t>
            </w:r>
            <w:proofErr w:type="gramEnd"/>
            <w:r>
              <w:rPr>
                <w:rFonts w:asciiTheme="minorEastAsia" w:eastAsiaTheme="minorEastAsia" w:hAnsiTheme="minorEastAsia" w:cstheme="minorEastAsia" w:hint="eastAsia"/>
                <w:sz w:val="21"/>
              </w:rPr>
              <w:t>项目，并及时在系统中进行调整；</w:t>
            </w:r>
          </w:p>
          <w:p w14:paraId="1EAC6701" w14:textId="77777777" w:rsidR="00607CF9" w:rsidRDefault="00000000">
            <w:pPr>
              <w:pStyle w:val="a4"/>
              <w:numPr>
                <w:ilvl w:val="0"/>
                <w:numId w:val="3"/>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对医院存疑项目赋值情况提供相关支撑材料。</w:t>
            </w:r>
          </w:p>
        </w:tc>
      </w:tr>
      <w:tr w:rsidR="00607CF9" w14:paraId="2F6B6DB6" w14:textId="77777777">
        <w:trPr>
          <w:trHeight w:val="90"/>
          <w:jc w:val="center"/>
        </w:trPr>
        <w:tc>
          <w:tcPr>
            <w:tcW w:w="1056" w:type="dxa"/>
            <w:vMerge/>
            <w:shd w:val="clear" w:color="auto" w:fill="auto"/>
            <w:vAlign w:val="center"/>
          </w:tcPr>
          <w:p w14:paraId="0E1F5627" w14:textId="77777777" w:rsidR="00607CF9" w:rsidRDefault="00607CF9">
            <w:pPr>
              <w:jc w:val="center"/>
              <w:rPr>
                <w:rFonts w:asciiTheme="minorEastAsia" w:eastAsiaTheme="minorEastAsia" w:hAnsiTheme="minorEastAsia" w:cstheme="minorEastAsia" w:hint="eastAsia"/>
                <w:color w:val="000000" w:themeColor="text1"/>
                <w:szCs w:val="21"/>
              </w:rPr>
            </w:pPr>
          </w:p>
        </w:tc>
        <w:tc>
          <w:tcPr>
            <w:tcW w:w="1171" w:type="dxa"/>
            <w:shd w:val="clear" w:color="auto" w:fill="auto"/>
            <w:vAlign w:val="center"/>
          </w:tcPr>
          <w:p w14:paraId="6338BC3B" w14:textId="77777777" w:rsidR="00607CF9" w:rsidRDefault="00000000">
            <w:pPr>
              <w:widowControl/>
              <w:jc w:val="center"/>
              <w:textAlignment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方案调整</w:t>
            </w:r>
          </w:p>
        </w:tc>
        <w:tc>
          <w:tcPr>
            <w:tcW w:w="6273" w:type="dxa"/>
            <w:shd w:val="clear" w:color="auto" w:fill="auto"/>
            <w:vAlign w:val="center"/>
          </w:tcPr>
          <w:p w14:paraId="129A07C4" w14:textId="77777777" w:rsidR="00607CF9" w:rsidRDefault="00000000">
            <w:pPr>
              <w:pStyle w:val="a4"/>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此部分方案调整为针对现已上线方案模块框架内的调整服务：</w:t>
            </w:r>
          </w:p>
          <w:p w14:paraId="3A28A5FF" w14:textId="77777777" w:rsidR="00607CF9" w:rsidRDefault="00000000">
            <w:pPr>
              <w:pStyle w:val="a4"/>
              <w:numPr>
                <w:ilvl w:val="0"/>
                <w:numId w:val="4"/>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每月定期从his中间库中抽取数据，根据每月抽取数据情况或绩效独立核算单元变化等情况，及时调整成本单元、HIS单元等与绩效核算单元的对应情况；</w:t>
            </w:r>
          </w:p>
          <w:p w14:paraId="4474FF87" w14:textId="13E70BF1" w:rsidR="00607CF9" w:rsidRDefault="00000000">
            <w:pPr>
              <w:pStyle w:val="a4"/>
              <w:numPr>
                <w:ilvl w:val="0"/>
                <w:numId w:val="4"/>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对变更、新增的核算单元绩效数据进行业务调研、制定核算规则、绩效结果调整、软件配置参数等提出绩效测算建议，提供包含业务调研、数据测算、测算结果等的完整绩效核算建议方案提交医院审议，并将审议通过后的核算规则及时导入；</w:t>
            </w:r>
          </w:p>
          <w:p w14:paraId="577BBA5B" w14:textId="77777777" w:rsidR="00607CF9" w:rsidRDefault="00000000">
            <w:pPr>
              <w:pStyle w:val="a4"/>
              <w:numPr>
                <w:ilvl w:val="0"/>
                <w:numId w:val="4"/>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t>根据医院要求对核算单元的绩效数据进行分析、调整参数规则；</w:t>
            </w:r>
          </w:p>
          <w:p w14:paraId="40A90682" w14:textId="77777777" w:rsidR="00607CF9" w:rsidRDefault="00000000">
            <w:pPr>
              <w:pStyle w:val="a4"/>
              <w:numPr>
                <w:ilvl w:val="0"/>
                <w:numId w:val="4"/>
              </w:numPr>
              <w:spacing w:after="0" w:line="240" w:lineRule="auto"/>
              <w:ind w:firstLineChars="0" w:firstLine="0"/>
              <w:jc w:val="left"/>
              <w:rPr>
                <w:rFonts w:asciiTheme="minorEastAsia" w:eastAsiaTheme="minorEastAsia" w:hAnsiTheme="minorEastAsia" w:cstheme="minorEastAsia" w:hint="eastAsia"/>
                <w:sz w:val="21"/>
              </w:rPr>
            </w:pPr>
            <w:r>
              <w:rPr>
                <w:rFonts w:asciiTheme="minorEastAsia" w:eastAsiaTheme="minorEastAsia" w:hAnsiTheme="minorEastAsia" w:cstheme="minorEastAsia" w:hint="eastAsia"/>
                <w:sz w:val="21"/>
              </w:rPr>
              <w:lastRenderedPageBreak/>
              <w:t>根据医院要求对单项奖模块进行调整（手术专项模块），包括基数、规则、口径等内容，并提供方案测算及校平服务。</w:t>
            </w:r>
          </w:p>
        </w:tc>
      </w:tr>
      <w:tr w:rsidR="00607CF9" w14:paraId="3A66626A" w14:textId="77777777">
        <w:trPr>
          <w:trHeight w:val="385"/>
          <w:jc w:val="center"/>
        </w:trPr>
        <w:tc>
          <w:tcPr>
            <w:tcW w:w="1056" w:type="dxa"/>
            <w:vMerge/>
            <w:shd w:val="clear" w:color="auto" w:fill="auto"/>
            <w:vAlign w:val="center"/>
          </w:tcPr>
          <w:p w14:paraId="475CB9B5" w14:textId="77777777" w:rsidR="00607CF9" w:rsidRDefault="00607CF9">
            <w:pPr>
              <w:jc w:val="center"/>
              <w:rPr>
                <w:rFonts w:asciiTheme="minorEastAsia" w:eastAsiaTheme="minorEastAsia" w:hAnsiTheme="minorEastAsia" w:cstheme="minorEastAsia" w:hint="eastAsia"/>
                <w:color w:val="000000" w:themeColor="text1"/>
                <w:szCs w:val="21"/>
              </w:rPr>
            </w:pPr>
          </w:p>
        </w:tc>
        <w:tc>
          <w:tcPr>
            <w:tcW w:w="1171" w:type="dxa"/>
            <w:shd w:val="clear" w:color="auto" w:fill="auto"/>
            <w:vAlign w:val="center"/>
          </w:tcPr>
          <w:p w14:paraId="4B4D1F62" w14:textId="77777777" w:rsidR="00607CF9" w:rsidRDefault="00000000">
            <w:pPr>
              <w:widowControl/>
              <w:jc w:val="center"/>
              <w:textAlignment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绩效数据查询和分析支持</w:t>
            </w:r>
          </w:p>
        </w:tc>
        <w:tc>
          <w:tcPr>
            <w:tcW w:w="6273" w:type="dxa"/>
            <w:shd w:val="clear" w:color="auto" w:fill="auto"/>
            <w:vAlign w:val="center"/>
          </w:tcPr>
          <w:p w14:paraId="68B9C924" w14:textId="77777777" w:rsidR="00607CF9" w:rsidRDefault="00000000">
            <w:pPr>
              <w:spacing w:line="360" w:lineRule="auto"/>
              <w:rPr>
                <w:sz w:val="24"/>
              </w:rPr>
            </w:pPr>
            <w:r>
              <w:rPr>
                <w:rFonts w:hint="eastAsia"/>
                <w:sz w:val="24"/>
              </w:rPr>
              <w:t>对核算单元公式、规则、数据来源、项目点数、成本、绩效水平等数据不符合医院对某核算单元的绩效预期提供检查核对及服务，并形成报告。</w:t>
            </w:r>
          </w:p>
        </w:tc>
      </w:tr>
    </w:tbl>
    <w:p w14:paraId="04DA4B69" w14:textId="77777777" w:rsidR="00607CF9" w:rsidRDefault="00607CF9"/>
    <w:p w14:paraId="458BB8E3" w14:textId="77777777" w:rsidR="00607CF9" w:rsidRDefault="00000000">
      <w:pPr>
        <w:pStyle w:val="1"/>
        <w:snapToGrid w:val="0"/>
        <w:spacing w:line="24" w:lineRule="atLeast"/>
      </w:pPr>
      <w:r>
        <w:rPr>
          <w:rFonts w:hint="eastAsia"/>
        </w:rPr>
        <w:t>★商务要求</w:t>
      </w:r>
    </w:p>
    <w:p w14:paraId="1C40A9B8" w14:textId="77777777" w:rsidR="00607CF9" w:rsidRDefault="00000000">
      <w:pPr>
        <w:pStyle w:val="2"/>
        <w:snapToGrid w:val="0"/>
        <w:spacing w:line="24" w:lineRule="atLeast"/>
      </w:pPr>
      <w:r>
        <w:rPr>
          <w:rFonts w:hint="eastAsia"/>
        </w:rPr>
        <w:t>项目实施完成期限及地点</w:t>
      </w:r>
    </w:p>
    <w:p w14:paraId="77BBB5BB" w14:textId="77777777" w:rsidR="00607CF9" w:rsidRDefault="00000000">
      <w:pPr>
        <w:numPr>
          <w:ilvl w:val="0"/>
          <w:numId w:val="5"/>
        </w:numPr>
        <w:snapToGrid w:val="0"/>
        <w:spacing w:line="24" w:lineRule="atLeast"/>
        <w:contextualSpacing/>
        <w:rPr>
          <w:rFonts w:ascii="宋体" w:hAnsi="宋体" w:cs="宋体" w:hint="eastAsia"/>
          <w:szCs w:val="21"/>
        </w:rPr>
      </w:pPr>
      <w:r>
        <w:rPr>
          <w:rFonts w:ascii="宋体" w:hAnsi="宋体" w:cs="宋体" w:hint="eastAsia"/>
          <w:szCs w:val="21"/>
        </w:rPr>
        <w:t>服务期限：1年。</w:t>
      </w:r>
    </w:p>
    <w:p w14:paraId="7737C87B" w14:textId="77777777" w:rsidR="00607CF9" w:rsidRDefault="00000000">
      <w:pPr>
        <w:numPr>
          <w:ilvl w:val="0"/>
          <w:numId w:val="5"/>
        </w:numPr>
        <w:snapToGrid w:val="0"/>
        <w:spacing w:line="24" w:lineRule="atLeast"/>
        <w:contextualSpacing/>
        <w:rPr>
          <w:rFonts w:ascii="宋体" w:hAnsi="宋体" w:cs="宋体" w:hint="eastAsia"/>
          <w:szCs w:val="21"/>
        </w:rPr>
      </w:pPr>
      <w:r>
        <w:rPr>
          <w:rFonts w:ascii="宋体" w:hAnsi="宋体" w:cs="宋体" w:hint="eastAsia"/>
          <w:szCs w:val="21"/>
        </w:rPr>
        <w:t>服务地点：四川省妇幼保健院指定地点。</w:t>
      </w:r>
    </w:p>
    <w:p w14:paraId="32131923" w14:textId="77777777" w:rsidR="00607CF9" w:rsidRDefault="00000000">
      <w:pPr>
        <w:pStyle w:val="2"/>
        <w:snapToGrid w:val="0"/>
        <w:spacing w:line="24" w:lineRule="atLeast"/>
      </w:pPr>
      <w:r>
        <w:rPr>
          <w:rFonts w:hint="eastAsia"/>
        </w:rPr>
        <w:t>付款方法和条件</w:t>
      </w:r>
    </w:p>
    <w:p w14:paraId="21B81056" w14:textId="77777777" w:rsidR="00607CF9" w:rsidRDefault="00000000">
      <w:pPr>
        <w:snapToGrid w:val="0"/>
        <w:spacing w:line="24" w:lineRule="atLeast"/>
        <w:ind w:leftChars="100" w:left="210" w:firstLineChars="200" w:firstLine="420"/>
        <w:contextualSpacing/>
        <w:rPr>
          <w:rFonts w:ascii="宋体" w:hAnsi="宋体" w:cs="宋体" w:hint="eastAsia"/>
          <w:bCs/>
          <w:szCs w:val="21"/>
        </w:rPr>
      </w:pPr>
      <w:r>
        <w:rPr>
          <w:rFonts w:ascii="宋体" w:hAnsi="宋体" w:cs="宋体" w:hint="eastAsia"/>
          <w:bCs/>
          <w:szCs w:val="21"/>
        </w:rPr>
        <w:t>合同签订支付40%，服务期结束支付60%。</w:t>
      </w:r>
    </w:p>
    <w:p w14:paraId="2D5764B2" w14:textId="77777777" w:rsidR="00607CF9" w:rsidRDefault="00000000">
      <w:pPr>
        <w:pStyle w:val="2"/>
        <w:snapToGrid w:val="0"/>
        <w:spacing w:line="24" w:lineRule="atLeast"/>
      </w:pPr>
      <w:r>
        <w:rPr>
          <w:rFonts w:hint="eastAsia"/>
        </w:rPr>
        <w:t>报价要求</w:t>
      </w:r>
    </w:p>
    <w:p w14:paraId="0CBED603" w14:textId="77777777" w:rsidR="00607CF9" w:rsidRDefault="00000000">
      <w:pPr>
        <w:snapToGrid w:val="0"/>
        <w:spacing w:line="24" w:lineRule="atLeast"/>
        <w:ind w:leftChars="100" w:left="210" w:firstLineChars="200" w:firstLine="420"/>
        <w:contextualSpacing/>
        <w:rPr>
          <w:rFonts w:ascii="宋体" w:hAnsi="宋体" w:cs="宋体" w:hint="eastAsia"/>
          <w:bCs/>
          <w:szCs w:val="21"/>
        </w:rPr>
      </w:pPr>
      <w:r>
        <w:rPr>
          <w:rFonts w:ascii="宋体" w:hAnsi="宋体" w:cs="宋体" w:hint="eastAsia"/>
          <w:bCs/>
          <w:szCs w:val="21"/>
        </w:rPr>
        <w:t>本次报价包含完成本项目的所有费用，包含系统维护、人工费、税费、咨询服务、差旅费等一切费用，采购人</w:t>
      </w:r>
      <w:proofErr w:type="gramStart"/>
      <w:r>
        <w:rPr>
          <w:rFonts w:ascii="宋体" w:hAnsi="宋体" w:cs="宋体" w:hint="eastAsia"/>
          <w:bCs/>
          <w:szCs w:val="21"/>
        </w:rPr>
        <w:t>不</w:t>
      </w:r>
      <w:proofErr w:type="gramEnd"/>
      <w:r>
        <w:rPr>
          <w:rFonts w:ascii="宋体" w:hAnsi="宋体" w:cs="宋体" w:hint="eastAsia"/>
          <w:bCs/>
          <w:szCs w:val="21"/>
        </w:rPr>
        <w:t>额外支付费用。</w:t>
      </w:r>
    </w:p>
    <w:p w14:paraId="1024E04C" w14:textId="77777777" w:rsidR="00607CF9" w:rsidRDefault="00000000">
      <w:pPr>
        <w:pStyle w:val="2"/>
        <w:snapToGrid w:val="0"/>
        <w:spacing w:line="24" w:lineRule="atLeast"/>
      </w:pPr>
      <w:r>
        <w:rPr>
          <w:rFonts w:hint="eastAsia"/>
        </w:rPr>
        <w:t>验收标准</w:t>
      </w:r>
    </w:p>
    <w:p w14:paraId="71BD87B7" w14:textId="77777777" w:rsidR="00607CF9" w:rsidRDefault="00000000">
      <w:pPr>
        <w:snapToGrid w:val="0"/>
        <w:spacing w:after="160" w:line="24" w:lineRule="atLeast"/>
        <w:ind w:leftChars="100" w:left="210" w:firstLineChars="200" w:firstLine="420"/>
        <w:contextualSpacing/>
      </w:pPr>
      <w:r>
        <w:rPr>
          <w:rFonts w:ascii="宋体" w:hAnsi="宋体" w:cs="宋体" w:hint="eastAsia"/>
          <w:szCs w:val="21"/>
        </w:rPr>
        <w:t>以招标文件技术参数及要求和相关行业标准为准。</w:t>
      </w:r>
    </w:p>
    <w:p w14:paraId="0F0C7BF5" w14:textId="77777777" w:rsidR="00607CF9" w:rsidRDefault="00607CF9">
      <w:pPr>
        <w:rPr>
          <w:rFonts w:asciiTheme="minorEastAsia" w:eastAsiaTheme="minorEastAsia" w:hAnsiTheme="minorEastAsia" w:hint="eastAsia"/>
          <w:szCs w:val="21"/>
        </w:rPr>
      </w:pPr>
    </w:p>
    <w:p w14:paraId="6CFC1EDF" w14:textId="77777777" w:rsidR="00607CF9" w:rsidRDefault="00607CF9">
      <w:pPr>
        <w:pStyle w:val="1"/>
        <w:numPr>
          <w:ilvl w:val="0"/>
          <w:numId w:val="0"/>
        </w:numPr>
        <w:snapToGrid w:val="0"/>
        <w:spacing w:line="24" w:lineRule="atLeast"/>
      </w:pPr>
    </w:p>
    <w:p w14:paraId="1F394C0C" w14:textId="77777777" w:rsidR="00607CF9" w:rsidRDefault="00607CF9"/>
    <w:sectPr w:rsidR="00607CF9">
      <w:pgSz w:w="11906" w:h="16838"/>
      <w:pgMar w:top="851" w:right="1800"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E44B7C"/>
    <w:multiLevelType w:val="singleLevel"/>
    <w:tmpl w:val="92E44B7C"/>
    <w:lvl w:ilvl="0">
      <w:start w:val="1"/>
      <w:numFmt w:val="decimal"/>
      <w:suff w:val="space"/>
      <w:lvlText w:val="%1."/>
      <w:lvlJc w:val="left"/>
      <w:pPr>
        <w:ind w:left="420"/>
      </w:pPr>
    </w:lvl>
  </w:abstractNum>
  <w:abstractNum w:abstractNumId="1" w15:restartNumberingAfterBreak="0">
    <w:nsid w:val="95BF2318"/>
    <w:multiLevelType w:val="singleLevel"/>
    <w:tmpl w:val="95BF2318"/>
    <w:lvl w:ilvl="0">
      <w:start w:val="1"/>
      <w:numFmt w:val="decimal"/>
      <w:suff w:val="nothing"/>
      <w:lvlText w:val="%1、"/>
      <w:lvlJc w:val="left"/>
    </w:lvl>
  </w:abstractNum>
  <w:abstractNum w:abstractNumId="2" w15:restartNumberingAfterBreak="0">
    <w:nsid w:val="F2120F9A"/>
    <w:multiLevelType w:val="multilevel"/>
    <w:tmpl w:val="F2120F9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000DC265"/>
    <w:multiLevelType w:val="multilevel"/>
    <w:tmpl w:val="000DC265"/>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1" w:hanging="1151"/>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3" w:hanging="1583"/>
      </w:pPr>
      <w:rPr>
        <w:rFonts w:hint="default"/>
      </w:rPr>
    </w:lvl>
  </w:abstractNum>
  <w:abstractNum w:abstractNumId="4" w15:restartNumberingAfterBreak="0">
    <w:nsid w:val="1B102C3A"/>
    <w:multiLevelType w:val="singleLevel"/>
    <w:tmpl w:val="1B102C3A"/>
    <w:lvl w:ilvl="0">
      <w:start w:val="1"/>
      <w:numFmt w:val="decimal"/>
      <w:suff w:val="nothing"/>
      <w:lvlText w:val="%1、"/>
      <w:lvlJc w:val="left"/>
    </w:lvl>
  </w:abstractNum>
  <w:num w:numId="1" w16cid:durableId="432018637">
    <w:abstractNumId w:val="3"/>
  </w:num>
  <w:num w:numId="2" w16cid:durableId="848524509">
    <w:abstractNumId w:val="2"/>
  </w:num>
  <w:num w:numId="3" w16cid:durableId="1566914083">
    <w:abstractNumId w:val="4"/>
  </w:num>
  <w:num w:numId="4" w16cid:durableId="964191966">
    <w:abstractNumId w:val="1"/>
  </w:num>
  <w:num w:numId="5" w16cid:durableId="671371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6D81C4E"/>
    <w:rsid w:val="00031A3D"/>
    <w:rsid w:val="001940F8"/>
    <w:rsid w:val="001E34A3"/>
    <w:rsid w:val="002B2C7B"/>
    <w:rsid w:val="003A792B"/>
    <w:rsid w:val="00414CA0"/>
    <w:rsid w:val="00426426"/>
    <w:rsid w:val="00546A5F"/>
    <w:rsid w:val="005B7D61"/>
    <w:rsid w:val="00607CF9"/>
    <w:rsid w:val="006B3C5A"/>
    <w:rsid w:val="0070201F"/>
    <w:rsid w:val="00714F2F"/>
    <w:rsid w:val="007B0847"/>
    <w:rsid w:val="009A51F9"/>
    <w:rsid w:val="009C7940"/>
    <w:rsid w:val="00A23645"/>
    <w:rsid w:val="00AC7DE2"/>
    <w:rsid w:val="00B12A39"/>
    <w:rsid w:val="00B87938"/>
    <w:rsid w:val="00C82E66"/>
    <w:rsid w:val="00CD02CA"/>
    <w:rsid w:val="00CF5682"/>
    <w:rsid w:val="00D942F4"/>
    <w:rsid w:val="00DB76FF"/>
    <w:rsid w:val="00DD31ED"/>
    <w:rsid w:val="00E4186F"/>
    <w:rsid w:val="00ED5820"/>
    <w:rsid w:val="00F459B6"/>
    <w:rsid w:val="07FC1AF3"/>
    <w:rsid w:val="0A5A3513"/>
    <w:rsid w:val="16D81C4E"/>
    <w:rsid w:val="17AE70A7"/>
    <w:rsid w:val="231C504B"/>
    <w:rsid w:val="23FD3977"/>
    <w:rsid w:val="2D1667C3"/>
    <w:rsid w:val="2E640EC7"/>
    <w:rsid w:val="2F24292D"/>
    <w:rsid w:val="387F65BA"/>
    <w:rsid w:val="394A0B7D"/>
    <w:rsid w:val="3A114380"/>
    <w:rsid w:val="3EA74B94"/>
    <w:rsid w:val="456D206D"/>
    <w:rsid w:val="478A25F7"/>
    <w:rsid w:val="48210E07"/>
    <w:rsid w:val="49D168D8"/>
    <w:rsid w:val="4D2612E0"/>
    <w:rsid w:val="52D131D1"/>
    <w:rsid w:val="556D5AB1"/>
    <w:rsid w:val="63DB76B0"/>
    <w:rsid w:val="65272A6B"/>
    <w:rsid w:val="6CF53D40"/>
    <w:rsid w:val="7B394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0D5EC"/>
  <w15:docId w15:val="{62DCB165-DD96-419E-A547-36EE5A4A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1"/>
      </w:numPr>
      <w:tabs>
        <w:tab w:val="left" w:pos="0"/>
        <w:tab w:val="left" w:pos="851"/>
      </w:tabs>
      <w:spacing w:before="260" w:after="260" w:line="416" w:lineRule="auto"/>
      <w:outlineLvl w:val="1"/>
    </w:pPr>
    <w:rPr>
      <w:rFonts w:ascii="Arial" w:eastAsia="黑体" w:hAnsi="Arial"/>
      <w:b/>
      <w:bCs/>
      <w:kern w:val="0"/>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uiPriority w:val="99"/>
    <w:unhideWhenUsed/>
    <w:qFormat/>
    <w:pPr>
      <w:spacing w:after="120"/>
    </w:pPr>
  </w:style>
  <w:style w:type="paragraph" w:styleId="a4">
    <w:name w:val="Body Text First Indent"/>
    <w:basedOn w:val="a0"/>
    <w:qFormat/>
    <w:pPr>
      <w:spacing w:line="360" w:lineRule="auto"/>
      <w:ind w:firstLineChars="100" w:firstLine="420"/>
    </w:pPr>
    <w:rPr>
      <w:rFonts w:cstheme="minorBidi"/>
      <w:sz w:val="24"/>
      <w:szCs w:val="21"/>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paragraph" w:customStyle="1" w:styleId="10">
    <w:name w:val="修订1"/>
    <w:hidden/>
    <w:uiPriority w:val="99"/>
    <w:unhideWhenUsed/>
    <w:qFormat/>
    <w:rPr>
      <w:rFonts w:ascii="Times New Roman" w:eastAsia="宋体" w:hAnsi="Times New Roman" w:cs="Times New Roman"/>
      <w:kern w:val="2"/>
      <w:sz w:val="21"/>
      <w:szCs w:val="24"/>
    </w:rPr>
  </w:style>
  <w:style w:type="character" w:customStyle="1" w:styleId="a8">
    <w:name w:val="页眉 字符"/>
    <w:basedOn w:val="a1"/>
    <w:link w:val="a7"/>
    <w:qFormat/>
    <w:rPr>
      <w:rFonts w:ascii="Times New Roman" w:eastAsia="宋体" w:hAnsi="Times New Roman" w:cs="Times New Roman"/>
      <w:kern w:val="2"/>
      <w:sz w:val="18"/>
      <w:szCs w:val="18"/>
    </w:rPr>
  </w:style>
  <w:style w:type="character" w:customStyle="1" w:styleId="a6">
    <w:name w:val="页脚 字符"/>
    <w:basedOn w:val="a1"/>
    <w:link w:val="a5"/>
    <w:qFormat/>
    <w:rPr>
      <w:rFonts w:ascii="Times New Roman" w:eastAsia="宋体" w:hAnsi="Times New Roman" w:cs="Times New Roman"/>
      <w:kern w:val="2"/>
      <w:sz w:val="18"/>
      <w:szCs w:val="18"/>
    </w:rPr>
  </w:style>
  <w:style w:type="paragraph" w:styleId="aa">
    <w:name w:val="Revision"/>
    <w:hidden/>
    <w:uiPriority w:val="99"/>
    <w:unhideWhenUsed/>
    <w:rsid w:val="002B2C7B"/>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0CEBC9D-D85A-44AF-B79E-15B90B9C0E4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子 欢</cp:lastModifiedBy>
  <cp:revision>4</cp:revision>
  <dcterms:created xsi:type="dcterms:W3CDTF">2025-04-07T01:12:00Z</dcterms:created>
  <dcterms:modified xsi:type="dcterms:W3CDTF">2025-04-07T02:54:00Z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