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54E9">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F06862E">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35B1A3E1">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0294CA86">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4607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8C508B0">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18ED4A2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232BC29B">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64C7980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4A75A37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年度使用量</w:t>
            </w:r>
          </w:p>
        </w:tc>
      </w:tr>
      <w:tr w14:paraId="5F85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F7057B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78E18EE">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ascii="宋体" w:hAnsi="宋体" w:eastAsia="宋体" w:cs="宋体"/>
                <w:sz w:val="24"/>
                <w:szCs w:val="24"/>
              </w:rPr>
              <w:t>克洛诺杆菌筛查试剂</w:t>
            </w:r>
          </w:p>
        </w:tc>
        <w:tc>
          <w:tcPr>
            <w:tcW w:w="1166" w:type="pct"/>
            <w:vAlign w:val="center"/>
          </w:tcPr>
          <w:p w14:paraId="33D56FB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6A54C27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25224B6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bookmarkStart w:id="34" w:name="_GoBack"/>
            <w:bookmarkEnd w:id="34"/>
          </w:p>
        </w:tc>
      </w:tr>
    </w:tbl>
    <w:p w14:paraId="61170FA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55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821"/>
        <w:gridCol w:w="2087"/>
        <w:gridCol w:w="1452"/>
        <w:gridCol w:w="1284"/>
        <w:gridCol w:w="708"/>
        <w:gridCol w:w="1021"/>
        <w:gridCol w:w="1021"/>
      </w:tblGrid>
      <w:tr w14:paraId="6C30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63" w:type="pct"/>
            <w:shd w:val="clear" w:color="auto" w:fill="auto"/>
            <w:noWrap/>
            <w:vAlign w:val="center"/>
          </w:tcPr>
          <w:p w14:paraId="2640EAB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color w:val="auto"/>
                <w:kern w:val="0"/>
                <w:sz w:val="18"/>
                <w:szCs w:val="18"/>
                <w:lang w:val="zh-CN"/>
              </w:rPr>
            </w:pPr>
            <w:r>
              <w:rPr>
                <w:rFonts w:hint="default" w:ascii="Times New Roman" w:hAnsi="Times New Roman" w:eastAsia="宋体" w:cs="Times New Roman"/>
                <w:b/>
                <w:bCs/>
                <w:color w:val="auto"/>
                <w:kern w:val="0"/>
                <w:sz w:val="18"/>
                <w:szCs w:val="18"/>
                <w:lang w:val="zh-CN"/>
              </w:rPr>
              <w:t>序号</w:t>
            </w:r>
          </w:p>
        </w:tc>
        <w:tc>
          <w:tcPr>
            <w:tcW w:w="1285" w:type="pct"/>
            <w:shd w:val="clear" w:color="auto" w:fill="auto"/>
            <w:vAlign w:val="center"/>
          </w:tcPr>
          <w:p w14:paraId="15CAB43C">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color w:val="auto"/>
                <w:kern w:val="0"/>
                <w:sz w:val="18"/>
                <w:szCs w:val="18"/>
                <w:lang w:val="zh-CN"/>
              </w:rPr>
            </w:pPr>
            <w:r>
              <w:rPr>
                <w:rFonts w:hint="default" w:ascii="Times New Roman" w:hAnsi="Times New Roman" w:eastAsia="宋体" w:cs="Times New Roman"/>
                <w:b/>
                <w:bCs/>
                <w:color w:val="auto"/>
                <w:kern w:val="0"/>
                <w:sz w:val="18"/>
                <w:szCs w:val="18"/>
                <w:lang w:val="zh-CN"/>
              </w:rPr>
              <w:t>产品名称</w:t>
            </w:r>
          </w:p>
        </w:tc>
        <w:tc>
          <w:tcPr>
            <w:tcW w:w="951" w:type="pct"/>
            <w:shd w:val="clear" w:color="auto" w:fill="auto"/>
            <w:vAlign w:val="center"/>
          </w:tcPr>
          <w:p w14:paraId="19EF06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lang w:val="zh-CN"/>
              </w:rPr>
              <w:t>生产厂家</w:t>
            </w:r>
          </w:p>
        </w:tc>
        <w:tc>
          <w:tcPr>
            <w:tcW w:w="661" w:type="pct"/>
            <w:shd w:val="clear" w:color="auto" w:fill="auto"/>
            <w:noWrap/>
            <w:vAlign w:val="center"/>
          </w:tcPr>
          <w:p w14:paraId="5C883FB1">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color w:val="auto"/>
                <w:kern w:val="0"/>
                <w:sz w:val="18"/>
                <w:szCs w:val="18"/>
                <w:lang w:val="en-US" w:eastAsia="zh-CN"/>
              </w:rPr>
            </w:pPr>
            <w:r>
              <w:rPr>
                <w:rFonts w:hint="eastAsia" w:ascii="Times New Roman" w:hAnsi="Times New Roman" w:eastAsia="宋体" w:cs="Times New Roman"/>
                <w:b/>
                <w:bCs/>
                <w:color w:val="auto"/>
                <w:kern w:val="0"/>
                <w:sz w:val="18"/>
                <w:szCs w:val="18"/>
                <w:lang w:val="en-US" w:eastAsia="zh-CN"/>
              </w:rPr>
              <w:t>注册证</w:t>
            </w:r>
          </w:p>
        </w:tc>
        <w:tc>
          <w:tcPr>
            <w:tcW w:w="585" w:type="pct"/>
            <w:shd w:val="clear" w:color="auto" w:fill="auto"/>
            <w:noWrap/>
            <w:vAlign w:val="center"/>
          </w:tcPr>
          <w:p w14:paraId="08E8AF9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color w:val="auto"/>
                <w:kern w:val="0"/>
                <w:sz w:val="18"/>
                <w:szCs w:val="18"/>
                <w:lang w:val="zh-CN"/>
              </w:rPr>
            </w:pPr>
            <w:r>
              <w:rPr>
                <w:rFonts w:hint="default" w:ascii="Times New Roman" w:hAnsi="Times New Roman" w:eastAsia="宋体" w:cs="Times New Roman"/>
                <w:b/>
                <w:bCs/>
                <w:color w:val="auto"/>
                <w:kern w:val="0"/>
                <w:sz w:val="18"/>
                <w:szCs w:val="18"/>
                <w:lang w:val="zh-CN"/>
              </w:rPr>
              <w:t>型号</w:t>
            </w:r>
          </w:p>
        </w:tc>
        <w:tc>
          <w:tcPr>
            <w:tcW w:w="322" w:type="pct"/>
            <w:shd w:val="clear" w:color="auto" w:fill="auto"/>
            <w:vAlign w:val="center"/>
          </w:tcPr>
          <w:p w14:paraId="4C3556E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color w:val="auto"/>
                <w:kern w:val="0"/>
                <w:sz w:val="18"/>
                <w:szCs w:val="18"/>
                <w:lang w:val="en-US" w:eastAsia="zh-CN"/>
              </w:rPr>
            </w:pPr>
            <w:r>
              <w:rPr>
                <w:rFonts w:hint="eastAsia" w:ascii="Times New Roman" w:hAnsi="Times New Roman" w:eastAsia="宋体" w:cs="Times New Roman"/>
                <w:b/>
                <w:bCs/>
                <w:color w:val="auto"/>
                <w:kern w:val="0"/>
                <w:sz w:val="18"/>
                <w:szCs w:val="18"/>
                <w:lang w:val="en-US" w:eastAsia="zh-CN"/>
              </w:rPr>
              <w:t>计价单位</w:t>
            </w:r>
          </w:p>
        </w:tc>
        <w:tc>
          <w:tcPr>
            <w:tcW w:w="465" w:type="pct"/>
            <w:shd w:val="clear" w:color="auto" w:fill="auto"/>
            <w:vAlign w:val="center"/>
          </w:tcPr>
          <w:p w14:paraId="10AE7D9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color w:val="auto"/>
                <w:kern w:val="0"/>
                <w:sz w:val="18"/>
                <w:szCs w:val="18"/>
                <w:lang w:val="en-US" w:eastAsia="zh-CN"/>
              </w:rPr>
            </w:pPr>
            <w:r>
              <w:rPr>
                <w:rFonts w:hint="eastAsia" w:ascii="Times New Roman" w:hAnsi="Times New Roman" w:eastAsia="宋体" w:cs="Times New Roman"/>
                <w:b/>
                <w:bCs/>
                <w:color w:val="auto"/>
                <w:kern w:val="0"/>
                <w:sz w:val="18"/>
                <w:szCs w:val="18"/>
                <w:lang w:val="en-US" w:eastAsia="zh-CN"/>
              </w:rPr>
              <w:t>限高单价（元）</w:t>
            </w:r>
          </w:p>
        </w:tc>
        <w:tc>
          <w:tcPr>
            <w:tcW w:w="465" w:type="pct"/>
            <w:shd w:val="clear" w:color="auto" w:fill="auto"/>
            <w:vAlign w:val="center"/>
          </w:tcPr>
          <w:p w14:paraId="338CF82A">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b/>
                <w:bCs/>
                <w:color w:val="auto"/>
                <w:kern w:val="0"/>
                <w:sz w:val="18"/>
                <w:szCs w:val="18"/>
                <w:lang w:val="en-US" w:eastAsia="zh-CN"/>
              </w:rPr>
            </w:pPr>
            <w:r>
              <w:rPr>
                <w:rFonts w:hint="eastAsia" w:ascii="Times New Roman" w:hAnsi="Times New Roman" w:eastAsia="宋体" w:cs="Times New Roman"/>
                <w:b/>
                <w:bCs/>
                <w:color w:val="auto"/>
                <w:kern w:val="0"/>
                <w:sz w:val="18"/>
                <w:szCs w:val="18"/>
                <w:lang w:val="en-US" w:eastAsia="zh-CN"/>
              </w:rPr>
              <w:t>年度使用量</w:t>
            </w:r>
          </w:p>
        </w:tc>
      </w:tr>
      <w:tr w14:paraId="7B70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E1BFE7B">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w:t>
            </w:r>
          </w:p>
        </w:tc>
        <w:tc>
          <w:tcPr>
            <w:tcW w:w="2821" w:type="dxa"/>
            <w:shd w:val="clear" w:color="auto" w:fill="auto"/>
            <w:vAlign w:val="center"/>
          </w:tcPr>
          <w:p w14:paraId="4069ED4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广范试纸</w:t>
            </w:r>
          </w:p>
        </w:tc>
        <w:tc>
          <w:tcPr>
            <w:tcW w:w="2087" w:type="dxa"/>
            <w:shd w:val="clear" w:color="auto" w:fill="auto"/>
            <w:vAlign w:val="center"/>
          </w:tcPr>
          <w:p w14:paraId="00040B0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杭州试三科技有限公司</w:t>
            </w:r>
          </w:p>
        </w:tc>
        <w:tc>
          <w:tcPr>
            <w:tcW w:w="1452" w:type="dxa"/>
            <w:shd w:val="clear" w:color="auto" w:fill="auto"/>
            <w:noWrap/>
            <w:vAlign w:val="center"/>
          </w:tcPr>
          <w:p w14:paraId="61C2600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527F9F8F">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PH1-14</w:t>
            </w:r>
          </w:p>
        </w:tc>
        <w:tc>
          <w:tcPr>
            <w:tcW w:w="708" w:type="dxa"/>
            <w:shd w:val="clear" w:color="auto" w:fill="auto"/>
            <w:vAlign w:val="center"/>
          </w:tcPr>
          <w:p w14:paraId="5A2B7D9E">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本</w:t>
            </w:r>
          </w:p>
        </w:tc>
        <w:tc>
          <w:tcPr>
            <w:tcW w:w="1021" w:type="dxa"/>
            <w:shd w:val="clear" w:color="auto" w:fill="auto"/>
            <w:vAlign w:val="center"/>
          </w:tcPr>
          <w:p w14:paraId="5D02E410">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5.5</w:t>
            </w:r>
          </w:p>
        </w:tc>
        <w:tc>
          <w:tcPr>
            <w:tcW w:w="1021" w:type="dxa"/>
            <w:shd w:val="clear" w:color="auto" w:fill="auto"/>
            <w:vAlign w:val="center"/>
          </w:tcPr>
          <w:p w14:paraId="14EE6DBD">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7C18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C15E0E0">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w:t>
            </w:r>
          </w:p>
        </w:tc>
        <w:tc>
          <w:tcPr>
            <w:tcW w:w="2821" w:type="dxa"/>
            <w:shd w:val="clear" w:color="auto" w:fill="auto"/>
            <w:vAlign w:val="center"/>
          </w:tcPr>
          <w:p w14:paraId="0403F9B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不锈钢酒精灯</w:t>
            </w:r>
          </w:p>
        </w:tc>
        <w:tc>
          <w:tcPr>
            <w:tcW w:w="2087" w:type="dxa"/>
            <w:shd w:val="clear" w:color="auto" w:fill="auto"/>
            <w:vAlign w:val="center"/>
          </w:tcPr>
          <w:p w14:paraId="03A58262">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国产</w:t>
            </w:r>
          </w:p>
        </w:tc>
        <w:tc>
          <w:tcPr>
            <w:tcW w:w="1452" w:type="dxa"/>
            <w:shd w:val="clear" w:color="auto" w:fill="auto"/>
            <w:noWrap/>
            <w:vAlign w:val="center"/>
          </w:tcPr>
          <w:p w14:paraId="446A4DCD">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3F18EB86">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400ml</w:t>
            </w:r>
          </w:p>
        </w:tc>
        <w:tc>
          <w:tcPr>
            <w:tcW w:w="708" w:type="dxa"/>
            <w:shd w:val="clear" w:color="auto" w:fill="auto"/>
            <w:vAlign w:val="center"/>
          </w:tcPr>
          <w:p w14:paraId="3F118416">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各</w:t>
            </w:r>
          </w:p>
        </w:tc>
        <w:tc>
          <w:tcPr>
            <w:tcW w:w="1021" w:type="dxa"/>
            <w:shd w:val="clear" w:color="auto" w:fill="auto"/>
            <w:vAlign w:val="center"/>
          </w:tcPr>
          <w:p w14:paraId="73CC9CCE">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50</w:t>
            </w:r>
          </w:p>
        </w:tc>
        <w:tc>
          <w:tcPr>
            <w:tcW w:w="1021" w:type="dxa"/>
            <w:shd w:val="clear" w:color="auto" w:fill="auto"/>
            <w:vAlign w:val="center"/>
          </w:tcPr>
          <w:p w14:paraId="0F0709CC">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4</w:t>
            </w:r>
          </w:p>
        </w:tc>
      </w:tr>
      <w:tr w14:paraId="5E0E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1E7F202C">
            <w:pPr>
              <w:keepNext w:val="0"/>
              <w:keepLines w:val="0"/>
              <w:widowControl/>
              <w:suppressLineNumbers w:val="0"/>
              <w:jc w:val="center"/>
              <w:textAlignment w:val="center"/>
              <w:rPr>
                <w:rFonts w:hint="default"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w:t>
            </w:r>
          </w:p>
        </w:tc>
        <w:tc>
          <w:tcPr>
            <w:tcW w:w="2821" w:type="dxa"/>
            <w:shd w:val="clear" w:color="auto" w:fill="auto"/>
            <w:vAlign w:val="center"/>
          </w:tcPr>
          <w:p w14:paraId="179B713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不锈钢镊子</w:t>
            </w:r>
          </w:p>
        </w:tc>
        <w:tc>
          <w:tcPr>
            <w:tcW w:w="2087" w:type="dxa"/>
            <w:shd w:val="clear" w:color="auto" w:fill="auto"/>
            <w:vAlign w:val="center"/>
          </w:tcPr>
          <w:p w14:paraId="73F8CBA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国产</w:t>
            </w:r>
          </w:p>
        </w:tc>
        <w:tc>
          <w:tcPr>
            <w:tcW w:w="1452" w:type="dxa"/>
            <w:shd w:val="clear" w:color="auto" w:fill="auto"/>
            <w:noWrap/>
            <w:vAlign w:val="center"/>
          </w:tcPr>
          <w:p w14:paraId="124CFB2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3CFF455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12.5cm</w:t>
            </w:r>
          </w:p>
        </w:tc>
        <w:tc>
          <w:tcPr>
            <w:tcW w:w="708" w:type="dxa"/>
            <w:shd w:val="clear" w:color="auto" w:fill="auto"/>
            <w:vAlign w:val="center"/>
          </w:tcPr>
          <w:p w14:paraId="28E429D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把</w:t>
            </w:r>
          </w:p>
        </w:tc>
        <w:tc>
          <w:tcPr>
            <w:tcW w:w="1021" w:type="dxa"/>
            <w:shd w:val="clear" w:color="auto" w:fill="auto"/>
            <w:vAlign w:val="center"/>
          </w:tcPr>
          <w:p w14:paraId="41D78DAA">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11.5</w:t>
            </w:r>
          </w:p>
        </w:tc>
        <w:tc>
          <w:tcPr>
            <w:tcW w:w="1021" w:type="dxa"/>
            <w:shd w:val="clear" w:color="auto" w:fill="auto"/>
            <w:vAlign w:val="center"/>
          </w:tcPr>
          <w:p w14:paraId="0D84466C">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5</w:t>
            </w:r>
          </w:p>
        </w:tc>
      </w:tr>
      <w:tr w14:paraId="7D9B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1A696D42">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w:t>
            </w:r>
          </w:p>
        </w:tc>
        <w:tc>
          <w:tcPr>
            <w:tcW w:w="2821" w:type="dxa"/>
            <w:shd w:val="clear" w:color="auto" w:fill="auto"/>
            <w:vAlign w:val="center"/>
          </w:tcPr>
          <w:p w14:paraId="1A1944D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不锈钢镊子</w:t>
            </w:r>
          </w:p>
        </w:tc>
        <w:tc>
          <w:tcPr>
            <w:tcW w:w="2087" w:type="dxa"/>
            <w:shd w:val="clear" w:color="auto" w:fill="auto"/>
            <w:vAlign w:val="center"/>
          </w:tcPr>
          <w:p w14:paraId="0710428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国产</w:t>
            </w:r>
          </w:p>
        </w:tc>
        <w:tc>
          <w:tcPr>
            <w:tcW w:w="1452" w:type="dxa"/>
            <w:shd w:val="clear" w:color="auto" w:fill="auto"/>
            <w:noWrap/>
            <w:vAlign w:val="center"/>
          </w:tcPr>
          <w:p w14:paraId="25995F5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20D9C16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16cm</w:t>
            </w:r>
          </w:p>
        </w:tc>
        <w:tc>
          <w:tcPr>
            <w:tcW w:w="708" w:type="dxa"/>
            <w:shd w:val="clear" w:color="auto" w:fill="auto"/>
            <w:vAlign w:val="center"/>
          </w:tcPr>
          <w:p w14:paraId="514C1B4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把</w:t>
            </w:r>
          </w:p>
        </w:tc>
        <w:tc>
          <w:tcPr>
            <w:tcW w:w="1021" w:type="dxa"/>
            <w:shd w:val="clear" w:color="auto" w:fill="auto"/>
            <w:vAlign w:val="center"/>
          </w:tcPr>
          <w:p w14:paraId="5753ABDB">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12.5</w:t>
            </w:r>
          </w:p>
        </w:tc>
        <w:tc>
          <w:tcPr>
            <w:tcW w:w="1021" w:type="dxa"/>
            <w:shd w:val="clear" w:color="auto" w:fill="auto"/>
            <w:vAlign w:val="center"/>
          </w:tcPr>
          <w:p w14:paraId="27F7744A">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3</w:t>
            </w:r>
          </w:p>
        </w:tc>
      </w:tr>
      <w:tr w14:paraId="1428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1EF054B0">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w:t>
            </w:r>
          </w:p>
        </w:tc>
        <w:tc>
          <w:tcPr>
            <w:tcW w:w="2821" w:type="dxa"/>
            <w:shd w:val="clear" w:color="auto" w:fill="auto"/>
            <w:vAlign w:val="center"/>
          </w:tcPr>
          <w:p w14:paraId="36F2CCD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克洛诺菌筛选肉汤基础（CSB增菌液）</w:t>
            </w:r>
          </w:p>
        </w:tc>
        <w:tc>
          <w:tcPr>
            <w:tcW w:w="2087" w:type="dxa"/>
            <w:shd w:val="clear" w:color="auto" w:fill="auto"/>
            <w:vAlign w:val="center"/>
          </w:tcPr>
          <w:p w14:paraId="4B14321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青岛高科技工业园海博生物技术有限公司</w:t>
            </w:r>
          </w:p>
        </w:tc>
        <w:tc>
          <w:tcPr>
            <w:tcW w:w="1452" w:type="dxa"/>
            <w:shd w:val="clear" w:color="auto" w:fill="auto"/>
            <w:noWrap/>
            <w:vAlign w:val="center"/>
          </w:tcPr>
          <w:p w14:paraId="4115907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0908D65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250g</w:t>
            </w:r>
          </w:p>
        </w:tc>
        <w:tc>
          <w:tcPr>
            <w:tcW w:w="708" w:type="dxa"/>
            <w:shd w:val="clear" w:color="auto" w:fill="auto"/>
            <w:vAlign w:val="center"/>
          </w:tcPr>
          <w:p w14:paraId="762025BB">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15AF521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140</w:t>
            </w:r>
          </w:p>
        </w:tc>
        <w:tc>
          <w:tcPr>
            <w:tcW w:w="1021" w:type="dxa"/>
            <w:shd w:val="clear" w:color="auto" w:fill="auto"/>
            <w:vAlign w:val="center"/>
          </w:tcPr>
          <w:p w14:paraId="1CEA9A2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18E3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B2131B8">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6</w:t>
            </w:r>
          </w:p>
        </w:tc>
        <w:tc>
          <w:tcPr>
            <w:tcW w:w="2821" w:type="dxa"/>
            <w:shd w:val="clear" w:color="auto" w:fill="auto"/>
            <w:vAlign w:val="center"/>
          </w:tcPr>
          <w:p w14:paraId="6CB48DE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克罗诺杆菌显色培养基</w:t>
            </w:r>
          </w:p>
        </w:tc>
        <w:tc>
          <w:tcPr>
            <w:tcW w:w="2087" w:type="dxa"/>
            <w:shd w:val="clear" w:color="auto" w:fill="auto"/>
            <w:vAlign w:val="center"/>
          </w:tcPr>
          <w:p w14:paraId="0B89357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青岛高科技工业园海博生物技术有限公司</w:t>
            </w:r>
          </w:p>
        </w:tc>
        <w:tc>
          <w:tcPr>
            <w:tcW w:w="1452" w:type="dxa"/>
            <w:shd w:val="clear" w:color="auto" w:fill="auto"/>
            <w:noWrap/>
            <w:vAlign w:val="center"/>
          </w:tcPr>
          <w:p w14:paraId="2DC59F6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44297D5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1000ml</w:t>
            </w:r>
          </w:p>
        </w:tc>
        <w:tc>
          <w:tcPr>
            <w:tcW w:w="708" w:type="dxa"/>
            <w:shd w:val="clear" w:color="auto" w:fill="auto"/>
            <w:vAlign w:val="center"/>
          </w:tcPr>
          <w:p w14:paraId="33674FD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674C781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650</w:t>
            </w:r>
          </w:p>
        </w:tc>
        <w:tc>
          <w:tcPr>
            <w:tcW w:w="1021" w:type="dxa"/>
            <w:shd w:val="clear" w:color="auto" w:fill="auto"/>
            <w:vAlign w:val="center"/>
          </w:tcPr>
          <w:p w14:paraId="3FB9AFE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37FA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F7F64DD">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7</w:t>
            </w:r>
          </w:p>
        </w:tc>
        <w:tc>
          <w:tcPr>
            <w:tcW w:w="2821" w:type="dxa"/>
            <w:shd w:val="clear" w:color="auto" w:fill="auto"/>
            <w:vAlign w:val="center"/>
          </w:tcPr>
          <w:p w14:paraId="3DC6722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胰蛋白胨大豆琼脂（TSA)</w:t>
            </w:r>
          </w:p>
        </w:tc>
        <w:tc>
          <w:tcPr>
            <w:tcW w:w="2087" w:type="dxa"/>
            <w:shd w:val="clear" w:color="auto" w:fill="auto"/>
            <w:vAlign w:val="center"/>
          </w:tcPr>
          <w:p w14:paraId="5D05F7A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青岛高科技工业园海博生物技术有限公司</w:t>
            </w:r>
          </w:p>
        </w:tc>
        <w:tc>
          <w:tcPr>
            <w:tcW w:w="1452" w:type="dxa"/>
            <w:shd w:val="clear" w:color="auto" w:fill="auto"/>
            <w:noWrap/>
            <w:vAlign w:val="center"/>
          </w:tcPr>
          <w:p w14:paraId="3C10653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4E6B1FF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250g</w:t>
            </w:r>
          </w:p>
        </w:tc>
        <w:tc>
          <w:tcPr>
            <w:tcW w:w="708" w:type="dxa"/>
            <w:shd w:val="clear" w:color="auto" w:fill="auto"/>
            <w:vAlign w:val="center"/>
          </w:tcPr>
          <w:p w14:paraId="289E30E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2C05CBC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120</w:t>
            </w:r>
          </w:p>
        </w:tc>
        <w:tc>
          <w:tcPr>
            <w:tcW w:w="1021" w:type="dxa"/>
            <w:shd w:val="clear" w:color="auto" w:fill="auto"/>
            <w:vAlign w:val="center"/>
          </w:tcPr>
          <w:p w14:paraId="3FB58D2B">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364B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1EE32C5">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8</w:t>
            </w:r>
          </w:p>
        </w:tc>
        <w:tc>
          <w:tcPr>
            <w:tcW w:w="2821" w:type="dxa"/>
            <w:shd w:val="clear" w:color="auto" w:fill="auto"/>
            <w:vAlign w:val="center"/>
          </w:tcPr>
          <w:p w14:paraId="6584002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肠道致病性大肠艾希氏菌诊断血清</w:t>
            </w:r>
          </w:p>
        </w:tc>
        <w:tc>
          <w:tcPr>
            <w:tcW w:w="2087" w:type="dxa"/>
            <w:shd w:val="clear" w:color="auto" w:fill="auto"/>
            <w:vAlign w:val="center"/>
          </w:tcPr>
          <w:p w14:paraId="22ED7C0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宁波天润生物药业有限公司</w:t>
            </w:r>
          </w:p>
        </w:tc>
        <w:tc>
          <w:tcPr>
            <w:tcW w:w="1452" w:type="dxa"/>
            <w:shd w:val="clear" w:color="auto" w:fill="auto"/>
            <w:noWrap/>
            <w:vAlign w:val="center"/>
          </w:tcPr>
          <w:p w14:paraId="34FAD55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国械注准20173404335</w:t>
            </w:r>
          </w:p>
        </w:tc>
        <w:tc>
          <w:tcPr>
            <w:tcW w:w="1284" w:type="dxa"/>
            <w:shd w:val="clear" w:color="auto" w:fill="auto"/>
            <w:noWrap/>
            <w:vAlign w:val="center"/>
          </w:tcPr>
          <w:p w14:paraId="734F774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1mL/瓶x18瓶</w:t>
            </w:r>
          </w:p>
        </w:tc>
        <w:tc>
          <w:tcPr>
            <w:tcW w:w="708" w:type="dxa"/>
            <w:shd w:val="clear" w:color="auto" w:fill="auto"/>
            <w:vAlign w:val="center"/>
          </w:tcPr>
          <w:p w14:paraId="6E187BCD">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0B148376">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1980</w:t>
            </w:r>
          </w:p>
        </w:tc>
        <w:tc>
          <w:tcPr>
            <w:tcW w:w="1021" w:type="dxa"/>
            <w:shd w:val="clear" w:color="auto" w:fill="auto"/>
            <w:vAlign w:val="center"/>
          </w:tcPr>
          <w:p w14:paraId="1E4C7FE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w:t>
            </w:r>
          </w:p>
        </w:tc>
      </w:tr>
      <w:tr w14:paraId="1423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38F7D71">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9</w:t>
            </w:r>
          </w:p>
        </w:tc>
        <w:tc>
          <w:tcPr>
            <w:tcW w:w="2821" w:type="dxa"/>
            <w:shd w:val="clear" w:color="auto" w:fill="auto"/>
            <w:vAlign w:val="center"/>
          </w:tcPr>
          <w:p w14:paraId="3A5663C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志贺氏菌属诊断血清</w:t>
            </w:r>
          </w:p>
        </w:tc>
        <w:tc>
          <w:tcPr>
            <w:tcW w:w="2087" w:type="dxa"/>
            <w:shd w:val="clear" w:color="auto" w:fill="auto"/>
            <w:vAlign w:val="center"/>
          </w:tcPr>
          <w:p w14:paraId="6ADA142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宁波天润生物药业有限公司</w:t>
            </w:r>
          </w:p>
        </w:tc>
        <w:tc>
          <w:tcPr>
            <w:tcW w:w="1452" w:type="dxa"/>
            <w:shd w:val="clear" w:color="auto" w:fill="auto"/>
            <w:noWrap/>
            <w:vAlign w:val="center"/>
          </w:tcPr>
          <w:p w14:paraId="1CB270D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国械注准20173404480</w:t>
            </w:r>
          </w:p>
        </w:tc>
        <w:tc>
          <w:tcPr>
            <w:tcW w:w="1284" w:type="dxa"/>
            <w:shd w:val="clear" w:color="auto" w:fill="auto"/>
            <w:noWrap/>
            <w:vAlign w:val="center"/>
          </w:tcPr>
          <w:p w14:paraId="6E1874B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1ml/瓶*26瓶</w:t>
            </w:r>
          </w:p>
        </w:tc>
        <w:tc>
          <w:tcPr>
            <w:tcW w:w="708" w:type="dxa"/>
            <w:shd w:val="clear" w:color="auto" w:fill="auto"/>
            <w:vAlign w:val="center"/>
          </w:tcPr>
          <w:p w14:paraId="5C624B9D">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4E173DAF">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2859.65</w:t>
            </w:r>
          </w:p>
        </w:tc>
        <w:tc>
          <w:tcPr>
            <w:tcW w:w="1021" w:type="dxa"/>
            <w:shd w:val="clear" w:color="auto" w:fill="auto"/>
            <w:vAlign w:val="center"/>
          </w:tcPr>
          <w:p w14:paraId="30634EB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w:t>
            </w:r>
          </w:p>
        </w:tc>
      </w:tr>
      <w:tr w14:paraId="2719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07A33984">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10</w:t>
            </w:r>
          </w:p>
        </w:tc>
        <w:tc>
          <w:tcPr>
            <w:tcW w:w="2821" w:type="dxa"/>
            <w:shd w:val="clear" w:color="auto" w:fill="auto"/>
            <w:vAlign w:val="center"/>
          </w:tcPr>
          <w:p w14:paraId="76D9976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沙门氏菌属诊断血清（11种）</w:t>
            </w:r>
          </w:p>
        </w:tc>
        <w:tc>
          <w:tcPr>
            <w:tcW w:w="2087" w:type="dxa"/>
            <w:shd w:val="clear" w:color="auto" w:fill="auto"/>
            <w:vAlign w:val="center"/>
          </w:tcPr>
          <w:p w14:paraId="4AA3EC5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宁波天润生物药业有限公司</w:t>
            </w:r>
          </w:p>
        </w:tc>
        <w:tc>
          <w:tcPr>
            <w:tcW w:w="1452" w:type="dxa"/>
            <w:shd w:val="clear" w:color="auto" w:fill="auto"/>
            <w:noWrap/>
            <w:vAlign w:val="center"/>
          </w:tcPr>
          <w:p w14:paraId="69DCE86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国械注准20173404479</w:t>
            </w:r>
          </w:p>
        </w:tc>
        <w:tc>
          <w:tcPr>
            <w:tcW w:w="1284" w:type="dxa"/>
            <w:shd w:val="clear" w:color="auto" w:fill="auto"/>
            <w:noWrap/>
            <w:vAlign w:val="center"/>
          </w:tcPr>
          <w:p w14:paraId="21498C0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1ml*12瓶/盒</w:t>
            </w:r>
          </w:p>
        </w:tc>
        <w:tc>
          <w:tcPr>
            <w:tcW w:w="708" w:type="dxa"/>
            <w:shd w:val="clear" w:color="auto" w:fill="auto"/>
            <w:vAlign w:val="center"/>
          </w:tcPr>
          <w:p w14:paraId="232B19A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4F6C704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1320</w:t>
            </w:r>
          </w:p>
        </w:tc>
        <w:tc>
          <w:tcPr>
            <w:tcW w:w="1021" w:type="dxa"/>
            <w:shd w:val="clear" w:color="auto" w:fill="auto"/>
            <w:vAlign w:val="center"/>
          </w:tcPr>
          <w:p w14:paraId="2B16DB2F">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w:t>
            </w:r>
          </w:p>
        </w:tc>
      </w:tr>
      <w:tr w14:paraId="5FA9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ED20703">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11</w:t>
            </w:r>
          </w:p>
        </w:tc>
        <w:tc>
          <w:tcPr>
            <w:tcW w:w="2821" w:type="dxa"/>
            <w:shd w:val="clear" w:color="auto" w:fill="auto"/>
            <w:vAlign w:val="center"/>
          </w:tcPr>
          <w:p w14:paraId="1AA4E89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含珠菌种保存管II(5颗珠）</w:t>
            </w:r>
          </w:p>
        </w:tc>
        <w:tc>
          <w:tcPr>
            <w:tcW w:w="2087" w:type="dxa"/>
            <w:shd w:val="clear" w:color="auto" w:fill="auto"/>
            <w:vAlign w:val="center"/>
          </w:tcPr>
          <w:p w14:paraId="4E8CBDC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珠海贝索生物技术有限公司</w:t>
            </w:r>
          </w:p>
        </w:tc>
        <w:tc>
          <w:tcPr>
            <w:tcW w:w="1452" w:type="dxa"/>
            <w:shd w:val="clear" w:color="auto" w:fill="auto"/>
            <w:noWrap/>
            <w:vAlign w:val="center"/>
          </w:tcPr>
          <w:p w14:paraId="65A2EE4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74CA30B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0.8ml*100</w:t>
            </w:r>
          </w:p>
        </w:tc>
        <w:tc>
          <w:tcPr>
            <w:tcW w:w="708" w:type="dxa"/>
            <w:shd w:val="clear" w:color="auto" w:fill="auto"/>
            <w:vAlign w:val="center"/>
          </w:tcPr>
          <w:p w14:paraId="423EF35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6519EC3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1000</w:t>
            </w:r>
          </w:p>
        </w:tc>
        <w:tc>
          <w:tcPr>
            <w:tcW w:w="1021" w:type="dxa"/>
            <w:shd w:val="clear" w:color="auto" w:fill="auto"/>
            <w:vAlign w:val="center"/>
          </w:tcPr>
          <w:p w14:paraId="3E3CE45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w:t>
            </w:r>
          </w:p>
        </w:tc>
      </w:tr>
      <w:tr w14:paraId="5FD0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6A0CC367">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12</w:t>
            </w:r>
          </w:p>
        </w:tc>
        <w:tc>
          <w:tcPr>
            <w:tcW w:w="2821" w:type="dxa"/>
            <w:shd w:val="clear" w:color="auto" w:fill="auto"/>
            <w:vAlign w:val="center"/>
          </w:tcPr>
          <w:p w14:paraId="5FA64ED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含珠菌种保存管I(25颗珠）</w:t>
            </w:r>
          </w:p>
        </w:tc>
        <w:tc>
          <w:tcPr>
            <w:tcW w:w="2087" w:type="dxa"/>
            <w:shd w:val="clear" w:color="auto" w:fill="auto"/>
            <w:vAlign w:val="center"/>
          </w:tcPr>
          <w:p w14:paraId="56D1C59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珠海贝索生物技术有限公司</w:t>
            </w:r>
          </w:p>
        </w:tc>
        <w:tc>
          <w:tcPr>
            <w:tcW w:w="1452" w:type="dxa"/>
            <w:shd w:val="clear" w:color="auto" w:fill="auto"/>
            <w:noWrap/>
            <w:vAlign w:val="center"/>
          </w:tcPr>
          <w:p w14:paraId="05548DD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116A141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50支/盒</w:t>
            </w:r>
          </w:p>
        </w:tc>
        <w:tc>
          <w:tcPr>
            <w:tcW w:w="708" w:type="dxa"/>
            <w:shd w:val="clear" w:color="auto" w:fill="auto"/>
            <w:vAlign w:val="center"/>
          </w:tcPr>
          <w:p w14:paraId="1EEDF75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4FCD052B">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1000</w:t>
            </w:r>
          </w:p>
        </w:tc>
        <w:tc>
          <w:tcPr>
            <w:tcW w:w="1021" w:type="dxa"/>
            <w:shd w:val="clear" w:color="auto" w:fill="auto"/>
            <w:vAlign w:val="center"/>
          </w:tcPr>
          <w:p w14:paraId="3AA679B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w:t>
            </w:r>
          </w:p>
        </w:tc>
      </w:tr>
      <w:tr w14:paraId="4D6E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5E512827">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13</w:t>
            </w:r>
          </w:p>
        </w:tc>
        <w:tc>
          <w:tcPr>
            <w:tcW w:w="2821" w:type="dxa"/>
            <w:shd w:val="clear" w:color="auto" w:fill="auto"/>
            <w:vAlign w:val="center"/>
          </w:tcPr>
          <w:p w14:paraId="0CA7597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肠杆菌科细菌生化编码管GYZ-15e</w:t>
            </w:r>
          </w:p>
        </w:tc>
        <w:tc>
          <w:tcPr>
            <w:tcW w:w="2087" w:type="dxa"/>
            <w:shd w:val="clear" w:color="auto" w:fill="auto"/>
            <w:vAlign w:val="center"/>
          </w:tcPr>
          <w:p w14:paraId="274F3BA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杭州滨和微生物试剂有限公司</w:t>
            </w:r>
          </w:p>
        </w:tc>
        <w:tc>
          <w:tcPr>
            <w:tcW w:w="1452" w:type="dxa"/>
            <w:shd w:val="clear" w:color="auto" w:fill="auto"/>
            <w:noWrap/>
            <w:vAlign w:val="center"/>
          </w:tcPr>
          <w:p w14:paraId="654D607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2F22962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15种*10支</w:t>
            </w:r>
          </w:p>
        </w:tc>
        <w:tc>
          <w:tcPr>
            <w:tcW w:w="708" w:type="dxa"/>
            <w:shd w:val="clear" w:color="auto" w:fill="auto"/>
            <w:vAlign w:val="center"/>
          </w:tcPr>
          <w:p w14:paraId="1454007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0550B81C">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160</w:t>
            </w:r>
          </w:p>
        </w:tc>
        <w:tc>
          <w:tcPr>
            <w:tcW w:w="1021" w:type="dxa"/>
            <w:shd w:val="clear" w:color="auto" w:fill="auto"/>
            <w:vAlign w:val="center"/>
          </w:tcPr>
          <w:p w14:paraId="3CA355A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5</w:t>
            </w:r>
          </w:p>
        </w:tc>
      </w:tr>
      <w:tr w14:paraId="0CCC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7A310465">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14</w:t>
            </w:r>
          </w:p>
        </w:tc>
        <w:tc>
          <w:tcPr>
            <w:tcW w:w="2821" w:type="dxa"/>
            <w:shd w:val="clear" w:color="auto" w:fill="auto"/>
            <w:vAlign w:val="center"/>
          </w:tcPr>
          <w:p w14:paraId="0C12A62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肠球菌编码鉴定盒</w:t>
            </w:r>
          </w:p>
        </w:tc>
        <w:tc>
          <w:tcPr>
            <w:tcW w:w="2087" w:type="dxa"/>
            <w:shd w:val="clear" w:color="auto" w:fill="auto"/>
            <w:vAlign w:val="center"/>
          </w:tcPr>
          <w:p w14:paraId="774696C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杭州滨和微生物试剂有限公司</w:t>
            </w:r>
          </w:p>
        </w:tc>
        <w:tc>
          <w:tcPr>
            <w:tcW w:w="1452" w:type="dxa"/>
            <w:shd w:val="clear" w:color="auto" w:fill="auto"/>
            <w:noWrap/>
            <w:vAlign w:val="center"/>
          </w:tcPr>
          <w:p w14:paraId="2FA2614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38686B5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10种*10支</w:t>
            </w:r>
          </w:p>
        </w:tc>
        <w:tc>
          <w:tcPr>
            <w:tcW w:w="708" w:type="dxa"/>
            <w:shd w:val="clear" w:color="auto" w:fill="auto"/>
            <w:vAlign w:val="center"/>
          </w:tcPr>
          <w:p w14:paraId="6DFFD32F">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1D47822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200</w:t>
            </w:r>
          </w:p>
        </w:tc>
        <w:tc>
          <w:tcPr>
            <w:tcW w:w="1021" w:type="dxa"/>
            <w:shd w:val="clear" w:color="auto" w:fill="auto"/>
            <w:vAlign w:val="center"/>
          </w:tcPr>
          <w:p w14:paraId="13632A19">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5</w:t>
            </w:r>
          </w:p>
        </w:tc>
      </w:tr>
      <w:tr w14:paraId="4A35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50820F7">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15</w:t>
            </w:r>
          </w:p>
        </w:tc>
        <w:tc>
          <w:tcPr>
            <w:tcW w:w="2821" w:type="dxa"/>
            <w:shd w:val="clear" w:color="auto" w:fill="auto"/>
            <w:vAlign w:val="center"/>
          </w:tcPr>
          <w:p w14:paraId="73BDF36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葡萄球菌属细菌生化鉴定管</w:t>
            </w:r>
          </w:p>
        </w:tc>
        <w:tc>
          <w:tcPr>
            <w:tcW w:w="2087" w:type="dxa"/>
            <w:shd w:val="clear" w:color="auto" w:fill="auto"/>
            <w:vAlign w:val="center"/>
          </w:tcPr>
          <w:p w14:paraId="3390F01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杭州滨和微生物试剂有限公司</w:t>
            </w:r>
          </w:p>
        </w:tc>
        <w:tc>
          <w:tcPr>
            <w:tcW w:w="1452" w:type="dxa"/>
            <w:shd w:val="clear" w:color="auto" w:fill="auto"/>
            <w:noWrap/>
            <w:vAlign w:val="center"/>
          </w:tcPr>
          <w:p w14:paraId="1455FA2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3A53413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10种*10支</w:t>
            </w:r>
          </w:p>
        </w:tc>
        <w:tc>
          <w:tcPr>
            <w:tcW w:w="708" w:type="dxa"/>
            <w:shd w:val="clear" w:color="auto" w:fill="auto"/>
            <w:vAlign w:val="center"/>
          </w:tcPr>
          <w:p w14:paraId="578876B6">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1827826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160</w:t>
            </w:r>
          </w:p>
        </w:tc>
        <w:tc>
          <w:tcPr>
            <w:tcW w:w="1021" w:type="dxa"/>
            <w:shd w:val="clear" w:color="auto" w:fill="auto"/>
            <w:vAlign w:val="center"/>
          </w:tcPr>
          <w:p w14:paraId="6CF2D4C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4</w:t>
            </w:r>
          </w:p>
        </w:tc>
      </w:tr>
      <w:tr w14:paraId="0C11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61A26E5">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16</w:t>
            </w:r>
          </w:p>
        </w:tc>
        <w:tc>
          <w:tcPr>
            <w:tcW w:w="2821" w:type="dxa"/>
            <w:shd w:val="clear" w:color="auto" w:fill="auto"/>
            <w:vAlign w:val="center"/>
          </w:tcPr>
          <w:p w14:paraId="528F1D2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HB2100氧化酶试纸</w:t>
            </w:r>
          </w:p>
        </w:tc>
        <w:tc>
          <w:tcPr>
            <w:tcW w:w="2087" w:type="dxa"/>
            <w:shd w:val="clear" w:color="auto" w:fill="auto"/>
            <w:vAlign w:val="center"/>
          </w:tcPr>
          <w:p w14:paraId="533031B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青岛高科技工业园海博生物技术有限公司</w:t>
            </w:r>
          </w:p>
        </w:tc>
        <w:tc>
          <w:tcPr>
            <w:tcW w:w="1452" w:type="dxa"/>
            <w:shd w:val="clear" w:color="auto" w:fill="auto"/>
            <w:noWrap/>
            <w:vAlign w:val="center"/>
          </w:tcPr>
          <w:p w14:paraId="6CC037D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2A14CBA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10片</w:t>
            </w:r>
          </w:p>
        </w:tc>
        <w:tc>
          <w:tcPr>
            <w:tcW w:w="708" w:type="dxa"/>
            <w:shd w:val="clear" w:color="auto" w:fill="auto"/>
            <w:vAlign w:val="center"/>
          </w:tcPr>
          <w:p w14:paraId="31F4FD3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5D4E0E0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35</w:t>
            </w:r>
          </w:p>
        </w:tc>
        <w:tc>
          <w:tcPr>
            <w:tcW w:w="1021" w:type="dxa"/>
            <w:shd w:val="clear" w:color="auto" w:fill="auto"/>
            <w:vAlign w:val="center"/>
          </w:tcPr>
          <w:p w14:paraId="2AD9002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6B50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08B58FB1">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17</w:t>
            </w:r>
          </w:p>
        </w:tc>
        <w:tc>
          <w:tcPr>
            <w:tcW w:w="2821" w:type="dxa"/>
            <w:shd w:val="clear" w:color="auto" w:fill="auto"/>
            <w:vAlign w:val="center"/>
          </w:tcPr>
          <w:p w14:paraId="0302115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万古霉素溶液</w:t>
            </w:r>
          </w:p>
        </w:tc>
        <w:tc>
          <w:tcPr>
            <w:tcW w:w="2087" w:type="dxa"/>
            <w:shd w:val="clear" w:color="auto" w:fill="auto"/>
            <w:vAlign w:val="center"/>
          </w:tcPr>
          <w:p w14:paraId="2C95062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青岛高科技工业园海博生物技术有限公司</w:t>
            </w:r>
          </w:p>
        </w:tc>
        <w:tc>
          <w:tcPr>
            <w:tcW w:w="1452" w:type="dxa"/>
            <w:shd w:val="clear" w:color="auto" w:fill="auto"/>
            <w:noWrap/>
            <w:vAlign w:val="center"/>
          </w:tcPr>
          <w:p w14:paraId="786831F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无</w:t>
            </w:r>
          </w:p>
        </w:tc>
        <w:tc>
          <w:tcPr>
            <w:tcW w:w="1284" w:type="dxa"/>
            <w:shd w:val="clear" w:color="auto" w:fill="auto"/>
            <w:noWrap/>
            <w:vAlign w:val="center"/>
          </w:tcPr>
          <w:p w14:paraId="4D179F1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1mg*5支</w:t>
            </w:r>
          </w:p>
        </w:tc>
        <w:tc>
          <w:tcPr>
            <w:tcW w:w="708" w:type="dxa"/>
            <w:shd w:val="clear" w:color="auto" w:fill="auto"/>
            <w:vAlign w:val="center"/>
          </w:tcPr>
          <w:p w14:paraId="45FE1AED">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7B8FB52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35</w:t>
            </w:r>
          </w:p>
        </w:tc>
        <w:tc>
          <w:tcPr>
            <w:tcW w:w="1021" w:type="dxa"/>
            <w:shd w:val="clear" w:color="auto" w:fill="auto"/>
            <w:vAlign w:val="center"/>
          </w:tcPr>
          <w:p w14:paraId="4E5CF00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19A8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652DB528">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18</w:t>
            </w:r>
          </w:p>
        </w:tc>
        <w:tc>
          <w:tcPr>
            <w:tcW w:w="2821" w:type="dxa"/>
            <w:shd w:val="clear" w:color="auto" w:fill="auto"/>
            <w:vAlign w:val="center"/>
          </w:tcPr>
          <w:p w14:paraId="302D9B8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营养琼脂平板</w:t>
            </w:r>
          </w:p>
        </w:tc>
        <w:tc>
          <w:tcPr>
            <w:tcW w:w="2087" w:type="dxa"/>
            <w:shd w:val="clear" w:color="auto" w:fill="auto"/>
            <w:vAlign w:val="center"/>
          </w:tcPr>
          <w:p w14:paraId="54E8DD0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成都瑞琦科技实业股份有限公司</w:t>
            </w:r>
          </w:p>
        </w:tc>
        <w:tc>
          <w:tcPr>
            <w:tcW w:w="1452" w:type="dxa"/>
            <w:shd w:val="clear" w:color="auto" w:fill="auto"/>
            <w:noWrap/>
            <w:vAlign w:val="center"/>
          </w:tcPr>
          <w:p w14:paraId="74980DA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川蓉械备20140047号</w:t>
            </w:r>
          </w:p>
        </w:tc>
        <w:tc>
          <w:tcPr>
            <w:tcW w:w="1284" w:type="dxa"/>
            <w:shd w:val="clear" w:color="auto" w:fill="auto"/>
            <w:noWrap/>
            <w:vAlign w:val="center"/>
          </w:tcPr>
          <w:p w14:paraId="02F852D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90mm</w:t>
            </w:r>
          </w:p>
        </w:tc>
        <w:tc>
          <w:tcPr>
            <w:tcW w:w="708" w:type="dxa"/>
            <w:shd w:val="clear" w:color="auto" w:fill="auto"/>
            <w:vAlign w:val="center"/>
          </w:tcPr>
          <w:p w14:paraId="64C3A2E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个</w:t>
            </w:r>
          </w:p>
        </w:tc>
        <w:tc>
          <w:tcPr>
            <w:tcW w:w="1021" w:type="dxa"/>
            <w:shd w:val="clear" w:color="auto" w:fill="auto"/>
            <w:vAlign w:val="center"/>
          </w:tcPr>
          <w:p w14:paraId="74C23D3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2.79</w:t>
            </w:r>
          </w:p>
        </w:tc>
        <w:tc>
          <w:tcPr>
            <w:tcW w:w="1021" w:type="dxa"/>
            <w:shd w:val="clear" w:color="auto" w:fill="auto"/>
            <w:vAlign w:val="center"/>
          </w:tcPr>
          <w:p w14:paraId="75BFA70C">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165</w:t>
            </w:r>
          </w:p>
        </w:tc>
      </w:tr>
      <w:tr w14:paraId="1692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06CA9811">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19</w:t>
            </w:r>
          </w:p>
        </w:tc>
        <w:tc>
          <w:tcPr>
            <w:tcW w:w="2821" w:type="dxa"/>
            <w:shd w:val="clear" w:color="auto" w:fill="auto"/>
            <w:vAlign w:val="center"/>
          </w:tcPr>
          <w:p w14:paraId="53F0533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营养肉汤增菌液</w:t>
            </w:r>
          </w:p>
        </w:tc>
        <w:tc>
          <w:tcPr>
            <w:tcW w:w="2087" w:type="dxa"/>
            <w:shd w:val="clear" w:color="auto" w:fill="auto"/>
            <w:vAlign w:val="center"/>
          </w:tcPr>
          <w:p w14:paraId="0D421C3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成都瑞琦科技实业股份有限公司</w:t>
            </w:r>
          </w:p>
        </w:tc>
        <w:tc>
          <w:tcPr>
            <w:tcW w:w="1452" w:type="dxa"/>
            <w:shd w:val="clear" w:color="auto" w:fill="auto"/>
            <w:noWrap/>
            <w:vAlign w:val="center"/>
          </w:tcPr>
          <w:p w14:paraId="78EF224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川蓉械备20140049号</w:t>
            </w:r>
          </w:p>
        </w:tc>
        <w:tc>
          <w:tcPr>
            <w:tcW w:w="1284" w:type="dxa"/>
            <w:shd w:val="clear" w:color="auto" w:fill="auto"/>
            <w:noWrap/>
            <w:vAlign w:val="center"/>
          </w:tcPr>
          <w:p w14:paraId="0BD4FBA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10ml</w:t>
            </w:r>
          </w:p>
        </w:tc>
        <w:tc>
          <w:tcPr>
            <w:tcW w:w="708" w:type="dxa"/>
            <w:shd w:val="clear" w:color="auto" w:fill="auto"/>
            <w:vAlign w:val="center"/>
          </w:tcPr>
          <w:p w14:paraId="2238FA7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支</w:t>
            </w:r>
          </w:p>
        </w:tc>
        <w:tc>
          <w:tcPr>
            <w:tcW w:w="1021" w:type="dxa"/>
            <w:shd w:val="clear" w:color="auto" w:fill="auto"/>
            <w:vAlign w:val="center"/>
          </w:tcPr>
          <w:p w14:paraId="57F036D9">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3.5</w:t>
            </w:r>
          </w:p>
        </w:tc>
        <w:tc>
          <w:tcPr>
            <w:tcW w:w="1021" w:type="dxa"/>
            <w:shd w:val="clear" w:color="auto" w:fill="auto"/>
            <w:vAlign w:val="center"/>
          </w:tcPr>
          <w:p w14:paraId="609E2C2F">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40</w:t>
            </w:r>
          </w:p>
        </w:tc>
      </w:tr>
      <w:tr w14:paraId="5E06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0F7EB003">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20</w:t>
            </w:r>
          </w:p>
        </w:tc>
        <w:tc>
          <w:tcPr>
            <w:tcW w:w="2821" w:type="dxa"/>
            <w:shd w:val="clear" w:color="auto" w:fill="auto"/>
            <w:vAlign w:val="center"/>
          </w:tcPr>
          <w:p w14:paraId="0ABDA2C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3A3897F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4528523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1DF2D1A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氨苄西林20片/瓶</w:t>
            </w:r>
          </w:p>
        </w:tc>
        <w:tc>
          <w:tcPr>
            <w:tcW w:w="708" w:type="dxa"/>
            <w:shd w:val="clear" w:color="auto" w:fill="auto"/>
            <w:vAlign w:val="center"/>
          </w:tcPr>
          <w:p w14:paraId="4F14487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0C965A09">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1021" w:type="dxa"/>
            <w:shd w:val="clear" w:color="auto" w:fill="auto"/>
            <w:vAlign w:val="center"/>
          </w:tcPr>
          <w:p w14:paraId="0322B31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20</w:t>
            </w:r>
          </w:p>
        </w:tc>
      </w:tr>
      <w:tr w14:paraId="3116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1CA2C999">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21</w:t>
            </w:r>
          </w:p>
        </w:tc>
        <w:tc>
          <w:tcPr>
            <w:tcW w:w="2821" w:type="dxa"/>
            <w:shd w:val="clear" w:color="auto" w:fill="auto"/>
            <w:vAlign w:val="center"/>
          </w:tcPr>
          <w:p w14:paraId="5D20E1B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5C862E3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011AF56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6EC0723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阿莫西林/克拉维酸20片/瓶</w:t>
            </w:r>
          </w:p>
        </w:tc>
        <w:tc>
          <w:tcPr>
            <w:tcW w:w="708" w:type="dxa"/>
            <w:shd w:val="clear" w:color="auto" w:fill="auto"/>
            <w:vAlign w:val="center"/>
          </w:tcPr>
          <w:p w14:paraId="7744BAC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1BC31F9B">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35</w:t>
            </w:r>
          </w:p>
        </w:tc>
        <w:tc>
          <w:tcPr>
            <w:tcW w:w="1021" w:type="dxa"/>
            <w:shd w:val="clear" w:color="auto" w:fill="auto"/>
            <w:vAlign w:val="center"/>
          </w:tcPr>
          <w:p w14:paraId="1F7A921A">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20</w:t>
            </w:r>
          </w:p>
        </w:tc>
      </w:tr>
      <w:tr w14:paraId="492A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6612E4B4">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22</w:t>
            </w:r>
          </w:p>
        </w:tc>
        <w:tc>
          <w:tcPr>
            <w:tcW w:w="2821" w:type="dxa"/>
            <w:shd w:val="clear" w:color="auto" w:fill="auto"/>
            <w:vAlign w:val="center"/>
          </w:tcPr>
          <w:p w14:paraId="6971829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1D44F2B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70E0388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30A1BE0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氨曲南20片/瓶</w:t>
            </w:r>
          </w:p>
        </w:tc>
        <w:tc>
          <w:tcPr>
            <w:tcW w:w="708" w:type="dxa"/>
            <w:shd w:val="clear" w:color="auto" w:fill="auto"/>
            <w:vAlign w:val="center"/>
          </w:tcPr>
          <w:p w14:paraId="3D77C5AD">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2249E14A">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15</w:t>
            </w:r>
          </w:p>
        </w:tc>
        <w:tc>
          <w:tcPr>
            <w:tcW w:w="1021" w:type="dxa"/>
            <w:shd w:val="clear" w:color="auto" w:fill="auto"/>
            <w:vAlign w:val="center"/>
          </w:tcPr>
          <w:p w14:paraId="7B716D9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6E4C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0F4117BC">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23</w:t>
            </w:r>
          </w:p>
        </w:tc>
        <w:tc>
          <w:tcPr>
            <w:tcW w:w="2821" w:type="dxa"/>
            <w:shd w:val="clear" w:color="auto" w:fill="auto"/>
            <w:vAlign w:val="center"/>
          </w:tcPr>
          <w:p w14:paraId="1E5B37B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499E624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21A3EA9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5804088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头孢唑啉20片/瓶</w:t>
            </w:r>
          </w:p>
        </w:tc>
        <w:tc>
          <w:tcPr>
            <w:tcW w:w="708" w:type="dxa"/>
            <w:shd w:val="clear" w:color="auto" w:fill="auto"/>
            <w:vAlign w:val="center"/>
          </w:tcPr>
          <w:p w14:paraId="3303E19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0FED3EC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1021" w:type="dxa"/>
            <w:shd w:val="clear" w:color="auto" w:fill="auto"/>
            <w:vAlign w:val="center"/>
          </w:tcPr>
          <w:p w14:paraId="02D51869">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196D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33AA8C78">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24</w:t>
            </w:r>
          </w:p>
        </w:tc>
        <w:tc>
          <w:tcPr>
            <w:tcW w:w="2821" w:type="dxa"/>
            <w:shd w:val="clear" w:color="auto" w:fill="auto"/>
            <w:vAlign w:val="center"/>
          </w:tcPr>
          <w:p w14:paraId="5B839CB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601D7DE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0042401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792FCE1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头孢呋辛20片/瓶</w:t>
            </w:r>
          </w:p>
        </w:tc>
        <w:tc>
          <w:tcPr>
            <w:tcW w:w="708" w:type="dxa"/>
            <w:shd w:val="clear" w:color="auto" w:fill="auto"/>
            <w:vAlign w:val="center"/>
          </w:tcPr>
          <w:p w14:paraId="5A003E06">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6B487D3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12</w:t>
            </w:r>
          </w:p>
        </w:tc>
        <w:tc>
          <w:tcPr>
            <w:tcW w:w="1021" w:type="dxa"/>
            <w:shd w:val="clear" w:color="auto" w:fill="auto"/>
            <w:vAlign w:val="center"/>
          </w:tcPr>
          <w:p w14:paraId="686A491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602D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039B5FF">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25</w:t>
            </w:r>
          </w:p>
        </w:tc>
        <w:tc>
          <w:tcPr>
            <w:tcW w:w="2821" w:type="dxa"/>
            <w:shd w:val="clear" w:color="auto" w:fill="auto"/>
            <w:vAlign w:val="center"/>
          </w:tcPr>
          <w:p w14:paraId="79A6FCA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0540B3E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1D3BED0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1FE61C9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头孢西丁20片/瓶</w:t>
            </w:r>
          </w:p>
        </w:tc>
        <w:tc>
          <w:tcPr>
            <w:tcW w:w="708" w:type="dxa"/>
            <w:shd w:val="clear" w:color="auto" w:fill="auto"/>
            <w:vAlign w:val="center"/>
          </w:tcPr>
          <w:p w14:paraId="0C9D265B">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63C9A5F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25</w:t>
            </w:r>
          </w:p>
        </w:tc>
        <w:tc>
          <w:tcPr>
            <w:tcW w:w="1021" w:type="dxa"/>
            <w:shd w:val="clear" w:color="auto" w:fill="auto"/>
            <w:vAlign w:val="center"/>
          </w:tcPr>
          <w:p w14:paraId="2795010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6D6D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BBD81F2">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26</w:t>
            </w:r>
          </w:p>
        </w:tc>
        <w:tc>
          <w:tcPr>
            <w:tcW w:w="2821" w:type="dxa"/>
            <w:shd w:val="clear" w:color="auto" w:fill="auto"/>
            <w:vAlign w:val="center"/>
          </w:tcPr>
          <w:p w14:paraId="5C4A439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0AB2522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2CAEDC0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0970D18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头孢哌酮20片/瓶</w:t>
            </w:r>
          </w:p>
        </w:tc>
        <w:tc>
          <w:tcPr>
            <w:tcW w:w="708" w:type="dxa"/>
            <w:shd w:val="clear" w:color="auto" w:fill="auto"/>
            <w:vAlign w:val="center"/>
          </w:tcPr>
          <w:p w14:paraId="7E8612D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28B9D8E6">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12</w:t>
            </w:r>
          </w:p>
        </w:tc>
        <w:tc>
          <w:tcPr>
            <w:tcW w:w="1021" w:type="dxa"/>
            <w:shd w:val="clear" w:color="auto" w:fill="auto"/>
            <w:vAlign w:val="center"/>
          </w:tcPr>
          <w:p w14:paraId="1457C9B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196E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68E3A8A1">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27</w:t>
            </w:r>
          </w:p>
        </w:tc>
        <w:tc>
          <w:tcPr>
            <w:tcW w:w="2821" w:type="dxa"/>
            <w:shd w:val="clear" w:color="auto" w:fill="auto"/>
            <w:vAlign w:val="center"/>
          </w:tcPr>
          <w:p w14:paraId="6FDB31F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20289C9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33356FA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26561FE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头孢噻肟20片/瓶</w:t>
            </w:r>
          </w:p>
        </w:tc>
        <w:tc>
          <w:tcPr>
            <w:tcW w:w="708" w:type="dxa"/>
            <w:shd w:val="clear" w:color="auto" w:fill="auto"/>
            <w:vAlign w:val="center"/>
          </w:tcPr>
          <w:p w14:paraId="10A70E4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509CDFC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12</w:t>
            </w:r>
          </w:p>
        </w:tc>
        <w:tc>
          <w:tcPr>
            <w:tcW w:w="1021" w:type="dxa"/>
            <w:shd w:val="clear" w:color="auto" w:fill="auto"/>
            <w:vAlign w:val="center"/>
          </w:tcPr>
          <w:p w14:paraId="46F7269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1F0C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7A4EBD9D">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28</w:t>
            </w:r>
          </w:p>
        </w:tc>
        <w:tc>
          <w:tcPr>
            <w:tcW w:w="2821" w:type="dxa"/>
            <w:shd w:val="clear" w:color="auto" w:fill="auto"/>
            <w:vAlign w:val="center"/>
          </w:tcPr>
          <w:p w14:paraId="2633230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29C0820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7AECC2C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4AB49B6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头孢他啶20片/瓶</w:t>
            </w:r>
          </w:p>
        </w:tc>
        <w:tc>
          <w:tcPr>
            <w:tcW w:w="708" w:type="dxa"/>
            <w:shd w:val="clear" w:color="auto" w:fill="auto"/>
            <w:vAlign w:val="center"/>
          </w:tcPr>
          <w:p w14:paraId="5807A9A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318B400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12</w:t>
            </w:r>
          </w:p>
        </w:tc>
        <w:tc>
          <w:tcPr>
            <w:tcW w:w="1021" w:type="dxa"/>
            <w:shd w:val="clear" w:color="auto" w:fill="auto"/>
            <w:vAlign w:val="center"/>
          </w:tcPr>
          <w:p w14:paraId="31F71B4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6BEE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3DDEF3D">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29</w:t>
            </w:r>
          </w:p>
        </w:tc>
        <w:tc>
          <w:tcPr>
            <w:tcW w:w="2821" w:type="dxa"/>
            <w:shd w:val="clear" w:color="auto" w:fill="auto"/>
            <w:vAlign w:val="center"/>
          </w:tcPr>
          <w:p w14:paraId="3925A94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452AF9F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4DC1E5D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4CDF55B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头孢曲松20片/瓶</w:t>
            </w:r>
          </w:p>
        </w:tc>
        <w:tc>
          <w:tcPr>
            <w:tcW w:w="708" w:type="dxa"/>
            <w:shd w:val="clear" w:color="auto" w:fill="auto"/>
            <w:vAlign w:val="center"/>
          </w:tcPr>
          <w:p w14:paraId="0B1B0B5A">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43F2E8E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12</w:t>
            </w:r>
          </w:p>
        </w:tc>
        <w:tc>
          <w:tcPr>
            <w:tcW w:w="1021" w:type="dxa"/>
            <w:shd w:val="clear" w:color="auto" w:fill="auto"/>
            <w:vAlign w:val="center"/>
          </w:tcPr>
          <w:p w14:paraId="6F0D20A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0803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B449C3C">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30</w:t>
            </w:r>
          </w:p>
        </w:tc>
        <w:tc>
          <w:tcPr>
            <w:tcW w:w="2821" w:type="dxa"/>
            <w:shd w:val="clear" w:color="auto" w:fill="auto"/>
            <w:vAlign w:val="center"/>
          </w:tcPr>
          <w:p w14:paraId="481535F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2304FD0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0A5D877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491F621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头孢吡肟20片/瓶</w:t>
            </w:r>
          </w:p>
        </w:tc>
        <w:tc>
          <w:tcPr>
            <w:tcW w:w="708" w:type="dxa"/>
            <w:shd w:val="clear" w:color="auto" w:fill="auto"/>
            <w:vAlign w:val="center"/>
          </w:tcPr>
          <w:p w14:paraId="7B6A5DA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281476A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20</w:t>
            </w:r>
          </w:p>
        </w:tc>
        <w:tc>
          <w:tcPr>
            <w:tcW w:w="1021" w:type="dxa"/>
            <w:shd w:val="clear" w:color="auto" w:fill="auto"/>
            <w:vAlign w:val="center"/>
          </w:tcPr>
          <w:p w14:paraId="4081A08F">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5A76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4086533">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31</w:t>
            </w:r>
          </w:p>
        </w:tc>
        <w:tc>
          <w:tcPr>
            <w:tcW w:w="2821" w:type="dxa"/>
            <w:shd w:val="clear" w:color="auto" w:fill="auto"/>
            <w:vAlign w:val="center"/>
          </w:tcPr>
          <w:p w14:paraId="78707B5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4E75C43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2F0B1E1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77D3D70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环丙沙星20片/瓶</w:t>
            </w:r>
          </w:p>
        </w:tc>
        <w:tc>
          <w:tcPr>
            <w:tcW w:w="708" w:type="dxa"/>
            <w:shd w:val="clear" w:color="auto" w:fill="auto"/>
            <w:vAlign w:val="center"/>
          </w:tcPr>
          <w:p w14:paraId="5B89177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2B083FDC">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15</w:t>
            </w:r>
          </w:p>
        </w:tc>
        <w:tc>
          <w:tcPr>
            <w:tcW w:w="1021" w:type="dxa"/>
            <w:shd w:val="clear" w:color="auto" w:fill="auto"/>
            <w:vAlign w:val="center"/>
          </w:tcPr>
          <w:p w14:paraId="2B586C7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3A38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EE06C6C">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32</w:t>
            </w:r>
          </w:p>
        </w:tc>
        <w:tc>
          <w:tcPr>
            <w:tcW w:w="2821" w:type="dxa"/>
            <w:shd w:val="clear" w:color="auto" w:fill="auto"/>
            <w:vAlign w:val="center"/>
          </w:tcPr>
          <w:p w14:paraId="0E50CA0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7AC8339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5CC9ABF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00C08C4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左氧氟沙星20片/瓶</w:t>
            </w:r>
          </w:p>
        </w:tc>
        <w:tc>
          <w:tcPr>
            <w:tcW w:w="708" w:type="dxa"/>
            <w:shd w:val="clear" w:color="auto" w:fill="auto"/>
            <w:vAlign w:val="center"/>
          </w:tcPr>
          <w:p w14:paraId="35A3746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40BDF01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12</w:t>
            </w:r>
          </w:p>
        </w:tc>
        <w:tc>
          <w:tcPr>
            <w:tcW w:w="1021" w:type="dxa"/>
            <w:shd w:val="clear" w:color="auto" w:fill="auto"/>
            <w:vAlign w:val="center"/>
          </w:tcPr>
          <w:p w14:paraId="3F5BD9EB">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5588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5635A864">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33</w:t>
            </w:r>
          </w:p>
        </w:tc>
        <w:tc>
          <w:tcPr>
            <w:tcW w:w="2821" w:type="dxa"/>
            <w:shd w:val="clear" w:color="auto" w:fill="auto"/>
            <w:vAlign w:val="center"/>
          </w:tcPr>
          <w:p w14:paraId="1D803B4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696BBEC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7FD9915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1535C38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庆大霉素20片/瓶</w:t>
            </w:r>
          </w:p>
        </w:tc>
        <w:tc>
          <w:tcPr>
            <w:tcW w:w="708" w:type="dxa"/>
            <w:shd w:val="clear" w:color="auto" w:fill="auto"/>
            <w:vAlign w:val="center"/>
          </w:tcPr>
          <w:p w14:paraId="36D77DD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256106B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1021" w:type="dxa"/>
            <w:shd w:val="clear" w:color="auto" w:fill="auto"/>
            <w:vAlign w:val="center"/>
          </w:tcPr>
          <w:p w14:paraId="4554C416">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1271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01FFBA36">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34</w:t>
            </w:r>
          </w:p>
        </w:tc>
        <w:tc>
          <w:tcPr>
            <w:tcW w:w="2821" w:type="dxa"/>
            <w:shd w:val="clear" w:color="auto" w:fill="auto"/>
            <w:vAlign w:val="center"/>
          </w:tcPr>
          <w:p w14:paraId="59ADF3B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42A557F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1886F44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1D79809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阿米卡星20片/瓶</w:t>
            </w:r>
          </w:p>
        </w:tc>
        <w:tc>
          <w:tcPr>
            <w:tcW w:w="708" w:type="dxa"/>
            <w:shd w:val="clear" w:color="auto" w:fill="auto"/>
            <w:vAlign w:val="center"/>
          </w:tcPr>
          <w:p w14:paraId="1840F74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70DC11E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1021" w:type="dxa"/>
            <w:shd w:val="clear" w:color="auto" w:fill="auto"/>
            <w:vAlign w:val="center"/>
          </w:tcPr>
          <w:p w14:paraId="3BB76F7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4E42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605D6078">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35</w:t>
            </w:r>
          </w:p>
        </w:tc>
        <w:tc>
          <w:tcPr>
            <w:tcW w:w="2821" w:type="dxa"/>
            <w:shd w:val="clear" w:color="auto" w:fill="auto"/>
            <w:vAlign w:val="center"/>
          </w:tcPr>
          <w:p w14:paraId="0007F1A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50436E3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5A2C613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5A98FBD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亚胺培南20片/瓶</w:t>
            </w:r>
          </w:p>
        </w:tc>
        <w:tc>
          <w:tcPr>
            <w:tcW w:w="708" w:type="dxa"/>
            <w:shd w:val="clear" w:color="auto" w:fill="auto"/>
            <w:vAlign w:val="center"/>
          </w:tcPr>
          <w:p w14:paraId="6F039FE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215985B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25</w:t>
            </w:r>
          </w:p>
        </w:tc>
        <w:tc>
          <w:tcPr>
            <w:tcW w:w="1021" w:type="dxa"/>
            <w:shd w:val="clear" w:color="auto" w:fill="auto"/>
            <w:vAlign w:val="center"/>
          </w:tcPr>
          <w:p w14:paraId="0FBEDEBA">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4866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69167C4">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36</w:t>
            </w:r>
          </w:p>
        </w:tc>
        <w:tc>
          <w:tcPr>
            <w:tcW w:w="2821" w:type="dxa"/>
            <w:shd w:val="clear" w:color="auto" w:fill="auto"/>
            <w:vAlign w:val="center"/>
          </w:tcPr>
          <w:p w14:paraId="4A6ACDA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245CBFB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734E500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28DF666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复方新诺明20片/瓶</w:t>
            </w:r>
          </w:p>
        </w:tc>
        <w:tc>
          <w:tcPr>
            <w:tcW w:w="708" w:type="dxa"/>
            <w:shd w:val="clear" w:color="auto" w:fill="auto"/>
            <w:vAlign w:val="center"/>
          </w:tcPr>
          <w:p w14:paraId="1548A27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233EBF5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1021" w:type="dxa"/>
            <w:shd w:val="clear" w:color="auto" w:fill="auto"/>
            <w:vAlign w:val="center"/>
          </w:tcPr>
          <w:p w14:paraId="7930F79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0DE0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742902A">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37</w:t>
            </w:r>
          </w:p>
        </w:tc>
        <w:tc>
          <w:tcPr>
            <w:tcW w:w="2821" w:type="dxa"/>
            <w:shd w:val="clear" w:color="auto" w:fill="auto"/>
            <w:vAlign w:val="center"/>
          </w:tcPr>
          <w:p w14:paraId="25B0E81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3141FDF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3C36E7C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2DEE0AB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美罗培南20片/瓶</w:t>
            </w:r>
          </w:p>
        </w:tc>
        <w:tc>
          <w:tcPr>
            <w:tcW w:w="708" w:type="dxa"/>
            <w:shd w:val="clear" w:color="auto" w:fill="auto"/>
            <w:vAlign w:val="center"/>
          </w:tcPr>
          <w:p w14:paraId="545B806B">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6AF70D6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25</w:t>
            </w:r>
          </w:p>
        </w:tc>
        <w:tc>
          <w:tcPr>
            <w:tcW w:w="1021" w:type="dxa"/>
            <w:shd w:val="clear" w:color="auto" w:fill="auto"/>
            <w:vAlign w:val="center"/>
          </w:tcPr>
          <w:p w14:paraId="5A476B4A">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3E57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54DC10F8">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38</w:t>
            </w:r>
          </w:p>
        </w:tc>
        <w:tc>
          <w:tcPr>
            <w:tcW w:w="2821" w:type="dxa"/>
            <w:shd w:val="clear" w:color="auto" w:fill="auto"/>
            <w:vAlign w:val="center"/>
          </w:tcPr>
          <w:p w14:paraId="03638FC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1406365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4293B1B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1F39CB2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哌拉西林/他唑巴坦20片/瓶</w:t>
            </w:r>
          </w:p>
        </w:tc>
        <w:tc>
          <w:tcPr>
            <w:tcW w:w="708" w:type="dxa"/>
            <w:shd w:val="clear" w:color="auto" w:fill="auto"/>
            <w:vAlign w:val="center"/>
          </w:tcPr>
          <w:p w14:paraId="255C6B7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2EED7069">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20</w:t>
            </w:r>
          </w:p>
        </w:tc>
        <w:tc>
          <w:tcPr>
            <w:tcW w:w="1021" w:type="dxa"/>
            <w:shd w:val="clear" w:color="auto" w:fill="auto"/>
            <w:vAlign w:val="center"/>
          </w:tcPr>
          <w:p w14:paraId="13DD625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2A20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36C8C7A6">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39</w:t>
            </w:r>
          </w:p>
        </w:tc>
        <w:tc>
          <w:tcPr>
            <w:tcW w:w="2821" w:type="dxa"/>
            <w:shd w:val="clear" w:color="auto" w:fill="auto"/>
            <w:vAlign w:val="center"/>
          </w:tcPr>
          <w:p w14:paraId="3D1E0C0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0375CFD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7CEC3BB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11F2152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氨苄西林/舒巴坦20片/瓶</w:t>
            </w:r>
          </w:p>
        </w:tc>
        <w:tc>
          <w:tcPr>
            <w:tcW w:w="708" w:type="dxa"/>
            <w:shd w:val="clear" w:color="auto" w:fill="auto"/>
            <w:vAlign w:val="center"/>
          </w:tcPr>
          <w:p w14:paraId="05DCF8F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0708748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15</w:t>
            </w:r>
          </w:p>
        </w:tc>
        <w:tc>
          <w:tcPr>
            <w:tcW w:w="1021" w:type="dxa"/>
            <w:shd w:val="clear" w:color="auto" w:fill="auto"/>
            <w:vAlign w:val="center"/>
          </w:tcPr>
          <w:p w14:paraId="1F155D6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4E00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72D22F7">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40</w:t>
            </w:r>
          </w:p>
        </w:tc>
        <w:tc>
          <w:tcPr>
            <w:tcW w:w="2821" w:type="dxa"/>
            <w:shd w:val="clear" w:color="auto" w:fill="auto"/>
            <w:vAlign w:val="center"/>
          </w:tcPr>
          <w:p w14:paraId="6FB78F2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5A5916F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1584260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5F9F080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阿奇霉素20片/瓶</w:t>
            </w:r>
          </w:p>
        </w:tc>
        <w:tc>
          <w:tcPr>
            <w:tcW w:w="708" w:type="dxa"/>
            <w:shd w:val="clear" w:color="auto" w:fill="auto"/>
            <w:vAlign w:val="center"/>
          </w:tcPr>
          <w:p w14:paraId="48D430E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5372865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25</w:t>
            </w:r>
          </w:p>
        </w:tc>
        <w:tc>
          <w:tcPr>
            <w:tcW w:w="1021" w:type="dxa"/>
            <w:shd w:val="clear" w:color="auto" w:fill="auto"/>
            <w:vAlign w:val="center"/>
          </w:tcPr>
          <w:p w14:paraId="4304555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5A1A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64899311">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41</w:t>
            </w:r>
          </w:p>
        </w:tc>
        <w:tc>
          <w:tcPr>
            <w:tcW w:w="2821" w:type="dxa"/>
            <w:shd w:val="clear" w:color="auto" w:fill="auto"/>
            <w:vAlign w:val="center"/>
          </w:tcPr>
          <w:p w14:paraId="013FDDF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2B99AA2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1D32204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084BB01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氯霉素20片/瓶</w:t>
            </w:r>
          </w:p>
        </w:tc>
        <w:tc>
          <w:tcPr>
            <w:tcW w:w="708" w:type="dxa"/>
            <w:shd w:val="clear" w:color="auto" w:fill="auto"/>
            <w:vAlign w:val="center"/>
          </w:tcPr>
          <w:p w14:paraId="605FBAD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56DE53ED">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1021" w:type="dxa"/>
            <w:shd w:val="clear" w:color="auto" w:fill="auto"/>
            <w:vAlign w:val="center"/>
          </w:tcPr>
          <w:p w14:paraId="5F20C09D">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3922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303047C0">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42</w:t>
            </w:r>
          </w:p>
        </w:tc>
        <w:tc>
          <w:tcPr>
            <w:tcW w:w="2821" w:type="dxa"/>
            <w:shd w:val="clear" w:color="auto" w:fill="auto"/>
            <w:vAlign w:val="center"/>
          </w:tcPr>
          <w:p w14:paraId="3926AC6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22BC9AD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307EC0C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5D6FC23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克林霉素20片/瓶</w:t>
            </w:r>
          </w:p>
        </w:tc>
        <w:tc>
          <w:tcPr>
            <w:tcW w:w="708" w:type="dxa"/>
            <w:shd w:val="clear" w:color="auto" w:fill="auto"/>
            <w:vAlign w:val="center"/>
          </w:tcPr>
          <w:p w14:paraId="3BEE576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13F2B22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12</w:t>
            </w:r>
          </w:p>
        </w:tc>
        <w:tc>
          <w:tcPr>
            <w:tcW w:w="1021" w:type="dxa"/>
            <w:shd w:val="clear" w:color="auto" w:fill="auto"/>
            <w:vAlign w:val="center"/>
          </w:tcPr>
          <w:p w14:paraId="7A0A2C3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4A82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66C59C8A">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43</w:t>
            </w:r>
          </w:p>
        </w:tc>
        <w:tc>
          <w:tcPr>
            <w:tcW w:w="2821" w:type="dxa"/>
            <w:shd w:val="clear" w:color="auto" w:fill="auto"/>
            <w:vAlign w:val="center"/>
          </w:tcPr>
          <w:p w14:paraId="6CDC48D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7B6B1D8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0B02B24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46AC98C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红霉素20片/瓶</w:t>
            </w:r>
          </w:p>
        </w:tc>
        <w:tc>
          <w:tcPr>
            <w:tcW w:w="708" w:type="dxa"/>
            <w:shd w:val="clear" w:color="auto" w:fill="auto"/>
            <w:vAlign w:val="center"/>
          </w:tcPr>
          <w:p w14:paraId="610277C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1F4B1B9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1021" w:type="dxa"/>
            <w:shd w:val="clear" w:color="auto" w:fill="auto"/>
            <w:vAlign w:val="center"/>
          </w:tcPr>
          <w:p w14:paraId="639A7B9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0636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D4A3D2A">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44</w:t>
            </w:r>
          </w:p>
        </w:tc>
        <w:tc>
          <w:tcPr>
            <w:tcW w:w="2821" w:type="dxa"/>
            <w:shd w:val="clear" w:color="auto" w:fill="auto"/>
            <w:vAlign w:val="center"/>
          </w:tcPr>
          <w:p w14:paraId="3E29F06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6EE4BD7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72F7DA0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4C49CDF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苯唑西林20片/瓶</w:t>
            </w:r>
          </w:p>
        </w:tc>
        <w:tc>
          <w:tcPr>
            <w:tcW w:w="708" w:type="dxa"/>
            <w:shd w:val="clear" w:color="auto" w:fill="auto"/>
            <w:vAlign w:val="center"/>
          </w:tcPr>
          <w:p w14:paraId="1C3419DF">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648B7BA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1021" w:type="dxa"/>
            <w:shd w:val="clear" w:color="auto" w:fill="auto"/>
            <w:vAlign w:val="center"/>
          </w:tcPr>
          <w:p w14:paraId="1EDB0E3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r>
      <w:tr w14:paraId="2E05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3441D5F2">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45</w:t>
            </w:r>
          </w:p>
        </w:tc>
        <w:tc>
          <w:tcPr>
            <w:tcW w:w="2821" w:type="dxa"/>
            <w:shd w:val="clear" w:color="auto" w:fill="auto"/>
            <w:vAlign w:val="center"/>
          </w:tcPr>
          <w:p w14:paraId="7F0B946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56D36A6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093C16C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6F2F0BB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Style w:val="26"/>
                <w:color w:val="auto"/>
                <w:lang w:val="en-US" w:eastAsia="zh-CN" w:bidi="ar"/>
              </w:rPr>
              <w:t>青霉素</w:t>
            </w:r>
            <w:r>
              <w:rPr>
                <w:rStyle w:val="27"/>
                <w:rFonts w:eastAsia="宋体"/>
                <w:color w:val="auto"/>
                <w:lang w:val="en-US" w:eastAsia="zh-CN" w:bidi="ar"/>
              </w:rPr>
              <w:t>g20</w:t>
            </w:r>
            <w:r>
              <w:rPr>
                <w:rStyle w:val="26"/>
                <w:color w:val="auto"/>
                <w:lang w:val="en-US" w:eastAsia="zh-CN" w:bidi="ar"/>
              </w:rPr>
              <w:t>片</w:t>
            </w:r>
            <w:r>
              <w:rPr>
                <w:rStyle w:val="27"/>
                <w:rFonts w:eastAsia="宋体"/>
                <w:color w:val="auto"/>
                <w:lang w:val="en-US" w:eastAsia="zh-CN" w:bidi="ar"/>
              </w:rPr>
              <w:t>/</w:t>
            </w:r>
            <w:r>
              <w:rPr>
                <w:rStyle w:val="26"/>
                <w:color w:val="auto"/>
                <w:lang w:val="en-US" w:eastAsia="zh-CN" w:bidi="ar"/>
              </w:rPr>
              <w:t>瓶</w:t>
            </w:r>
          </w:p>
        </w:tc>
        <w:tc>
          <w:tcPr>
            <w:tcW w:w="708" w:type="dxa"/>
            <w:shd w:val="clear" w:color="auto" w:fill="auto"/>
            <w:vAlign w:val="center"/>
          </w:tcPr>
          <w:p w14:paraId="73AF174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52C1A76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1021" w:type="dxa"/>
            <w:shd w:val="clear" w:color="auto" w:fill="auto"/>
            <w:vAlign w:val="center"/>
          </w:tcPr>
          <w:p w14:paraId="50C529C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20</w:t>
            </w:r>
          </w:p>
        </w:tc>
      </w:tr>
      <w:tr w14:paraId="047A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52907522">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46</w:t>
            </w:r>
          </w:p>
        </w:tc>
        <w:tc>
          <w:tcPr>
            <w:tcW w:w="2821" w:type="dxa"/>
            <w:shd w:val="clear" w:color="auto" w:fill="auto"/>
            <w:vAlign w:val="center"/>
          </w:tcPr>
          <w:p w14:paraId="1AD9601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微生物药敏试纸(扩散法（K-B法）)</w:t>
            </w:r>
          </w:p>
        </w:tc>
        <w:tc>
          <w:tcPr>
            <w:tcW w:w="2087" w:type="dxa"/>
            <w:shd w:val="clear" w:color="auto" w:fill="auto"/>
            <w:vAlign w:val="center"/>
          </w:tcPr>
          <w:p w14:paraId="498B8B9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6BD8B40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浙械注准20152400139</w:t>
            </w:r>
          </w:p>
        </w:tc>
        <w:tc>
          <w:tcPr>
            <w:tcW w:w="1284" w:type="dxa"/>
            <w:shd w:val="clear" w:color="auto" w:fill="auto"/>
            <w:noWrap/>
            <w:vAlign w:val="center"/>
          </w:tcPr>
          <w:p w14:paraId="63FED3D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奥扑托新20片/瓶</w:t>
            </w:r>
          </w:p>
        </w:tc>
        <w:tc>
          <w:tcPr>
            <w:tcW w:w="708" w:type="dxa"/>
            <w:shd w:val="clear" w:color="auto" w:fill="auto"/>
            <w:vAlign w:val="center"/>
          </w:tcPr>
          <w:p w14:paraId="7B96560B">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瓶</w:t>
            </w:r>
          </w:p>
        </w:tc>
        <w:tc>
          <w:tcPr>
            <w:tcW w:w="1021" w:type="dxa"/>
            <w:shd w:val="clear" w:color="auto" w:fill="auto"/>
            <w:vAlign w:val="center"/>
          </w:tcPr>
          <w:p w14:paraId="7A8034F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12</w:t>
            </w:r>
          </w:p>
        </w:tc>
        <w:tc>
          <w:tcPr>
            <w:tcW w:w="1021" w:type="dxa"/>
            <w:shd w:val="clear" w:color="auto" w:fill="auto"/>
            <w:vAlign w:val="center"/>
          </w:tcPr>
          <w:p w14:paraId="744A11E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20</w:t>
            </w:r>
          </w:p>
        </w:tc>
      </w:tr>
      <w:tr w14:paraId="3D71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7FE48E0">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47</w:t>
            </w:r>
          </w:p>
        </w:tc>
        <w:tc>
          <w:tcPr>
            <w:tcW w:w="2821" w:type="dxa"/>
            <w:shd w:val="clear" w:color="auto" w:fill="auto"/>
            <w:vAlign w:val="center"/>
          </w:tcPr>
          <w:p w14:paraId="7518516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环丙沙星药敏试条（E试验法）</w:t>
            </w:r>
          </w:p>
        </w:tc>
        <w:tc>
          <w:tcPr>
            <w:tcW w:w="2087" w:type="dxa"/>
            <w:shd w:val="clear" w:color="auto" w:fill="auto"/>
            <w:vAlign w:val="center"/>
          </w:tcPr>
          <w:p w14:paraId="24E4574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351C836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62138F6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48D253DD">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5FA32AA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07499B88">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5</w:t>
            </w:r>
          </w:p>
        </w:tc>
      </w:tr>
      <w:tr w14:paraId="383B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5ED69979">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48</w:t>
            </w:r>
          </w:p>
        </w:tc>
        <w:tc>
          <w:tcPr>
            <w:tcW w:w="2821" w:type="dxa"/>
            <w:shd w:val="clear" w:color="auto" w:fill="auto"/>
            <w:vAlign w:val="center"/>
          </w:tcPr>
          <w:p w14:paraId="51ABE8F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左氧氟沙星药敏试条（E试验法）</w:t>
            </w:r>
          </w:p>
        </w:tc>
        <w:tc>
          <w:tcPr>
            <w:tcW w:w="2087" w:type="dxa"/>
            <w:shd w:val="clear" w:color="auto" w:fill="auto"/>
            <w:vAlign w:val="center"/>
          </w:tcPr>
          <w:p w14:paraId="345D551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38F112B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5595ED2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1E460E2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4A5E148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040F2319">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5</w:t>
            </w:r>
          </w:p>
        </w:tc>
      </w:tr>
      <w:tr w14:paraId="79B3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BCE2060">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49</w:t>
            </w:r>
          </w:p>
        </w:tc>
        <w:tc>
          <w:tcPr>
            <w:tcW w:w="2821" w:type="dxa"/>
            <w:shd w:val="clear" w:color="auto" w:fill="auto"/>
            <w:vAlign w:val="center"/>
          </w:tcPr>
          <w:p w14:paraId="2CB0417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阿莫西林/棒酸药敏试条（E试验法）</w:t>
            </w:r>
          </w:p>
        </w:tc>
        <w:tc>
          <w:tcPr>
            <w:tcW w:w="2087" w:type="dxa"/>
            <w:shd w:val="clear" w:color="auto" w:fill="auto"/>
            <w:vAlign w:val="center"/>
          </w:tcPr>
          <w:p w14:paraId="525E723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22A0B0C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1E436FF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0D4F906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296D6D7A">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5021A85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5</w:t>
            </w:r>
          </w:p>
        </w:tc>
      </w:tr>
      <w:tr w14:paraId="1D60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3C0774B">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50</w:t>
            </w:r>
          </w:p>
        </w:tc>
        <w:tc>
          <w:tcPr>
            <w:tcW w:w="2821" w:type="dxa"/>
            <w:shd w:val="clear" w:color="auto" w:fill="auto"/>
            <w:vAlign w:val="center"/>
          </w:tcPr>
          <w:p w14:paraId="7BC30B0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头孢哌酮/舒巴坦药敏试条（E试验法）</w:t>
            </w:r>
          </w:p>
        </w:tc>
        <w:tc>
          <w:tcPr>
            <w:tcW w:w="2087" w:type="dxa"/>
            <w:shd w:val="clear" w:color="auto" w:fill="auto"/>
            <w:vAlign w:val="center"/>
          </w:tcPr>
          <w:p w14:paraId="515B5C3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53A5D18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573CFF6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4AADA3D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4B5B227B">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542A619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5</w:t>
            </w:r>
          </w:p>
        </w:tc>
      </w:tr>
      <w:tr w14:paraId="3FF4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453375F">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51</w:t>
            </w:r>
          </w:p>
        </w:tc>
        <w:tc>
          <w:tcPr>
            <w:tcW w:w="2821" w:type="dxa"/>
            <w:shd w:val="clear" w:color="auto" w:fill="auto"/>
            <w:vAlign w:val="center"/>
          </w:tcPr>
          <w:p w14:paraId="64112ED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头孢唑林药敏试条（E试验法）</w:t>
            </w:r>
          </w:p>
        </w:tc>
        <w:tc>
          <w:tcPr>
            <w:tcW w:w="2087" w:type="dxa"/>
            <w:shd w:val="clear" w:color="auto" w:fill="auto"/>
            <w:vAlign w:val="center"/>
          </w:tcPr>
          <w:p w14:paraId="5063B60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2C4DE69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0CA7CA6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38FC7E2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097D34A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3E3831A6">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4</w:t>
            </w:r>
          </w:p>
        </w:tc>
      </w:tr>
      <w:tr w14:paraId="4190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79CF9F83">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52</w:t>
            </w:r>
          </w:p>
        </w:tc>
        <w:tc>
          <w:tcPr>
            <w:tcW w:w="2821" w:type="dxa"/>
            <w:shd w:val="clear" w:color="auto" w:fill="auto"/>
            <w:vAlign w:val="center"/>
          </w:tcPr>
          <w:p w14:paraId="1A1AE3B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哌拉西林/他唑巴坦药敏试条（E试验法）</w:t>
            </w:r>
          </w:p>
        </w:tc>
        <w:tc>
          <w:tcPr>
            <w:tcW w:w="2087" w:type="dxa"/>
            <w:shd w:val="clear" w:color="auto" w:fill="auto"/>
            <w:vAlign w:val="center"/>
          </w:tcPr>
          <w:p w14:paraId="4597989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0C7DBB9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48C23CB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213E0689">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26CD562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320</w:t>
            </w:r>
          </w:p>
        </w:tc>
        <w:tc>
          <w:tcPr>
            <w:tcW w:w="1021" w:type="dxa"/>
            <w:shd w:val="clear" w:color="auto" w:fill="auto"/>
            <w:vAlign w:val="center"/>
          </w:tcPr>
          <w:p w14:paraId="6769237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05EF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60B9B0E6">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53</w:t>
            </w:r>
          </w:p>
        </w:tc>
        <w:tc>
          <w:tcPr>
            <w:tcW w:w="2821" w:type="dxa"/>
            <w:shd w:val="clear" w:color="auto" w:fill="auto"/>
            <w:vAlign w:val="center"/>
          </w:tcPr>
          <w:p w14:paraId="15B39B6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亚胺培南药敏试条（E试验法）</w:t>
            </w:r>
          </w:p>
        </w:tc>
        <w:tc>
          <w:tcPr>
            <w:tcW w:w="2087" w:type="dxa"/>
            <w:shd w:val="clear" w:color="auto" w:fill="auto"/>
            <w:vAlign w:val="center"/>
          </w:tcPr>
          <w:p w14:paraId="6690605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34238DF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054ADDF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2F756A7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6B52F70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79EE92B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6F9B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1175A3FA">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54</w:t>
            </w:r>
          </w:p>
        </w:tc>
        <w:tc>
          <w:tcPr>
            <w:tcW w:w="2821" w:type="dxa"/>
            <w:shd w:val="clear" w:color="auto" w:fill="auto"/>
            <w:vAlign w:val="center"/>
          </w:tcPr>
          <w:p w14:paraId="54ED563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美罗培南药敏试条（E试验法）</w:t>
            </w:r>
          </w:p>
        </w:tc>
        <w:tc>
          <w:tcPr>
            <w:tcW w:w="2087" w:type="dxa"/>
            <w:shd w:val="clear" w:color="auto" w:fill="auto"/>
            <w:vAlign w:val="center"/>
          </w:tcPr>
          <w:p w14:paraId="1E97E38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774D7A6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30477BC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33FFED30">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11E6201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125E8C53">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68DB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EBD8399">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55</w:t>
            </w:r>
          </w:p>
        </w:tc>
        <w:tc>
          <w:tcPr>
            <w:tcW w:w="2821" w:type="dxa"/>
            <w:shd w:val="clear" w:color="auto" w:fill="auto"/>
            <w:vAlign w:val="center"/>
          </w:tcPr>
          <w:p w14:paraId="367FC0B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米诺环素药敏试条（E试验法）</w:t>
            </w:r>
          </w:p>
        </w:tc>
        <w:tc>
          <w:tcPr>
            <w:tcW w:w="2087" w:type="dxa"/>
            <w:shd w:val="clear" w:color="auto" w:fill="auto"/>
            <w:vAlign w:val="center"/>
          </w:tcPr>
          <w:p w14:paraId="71B014A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26F21AA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6AA7BCC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0618B549">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03BFB2D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320</w:t>
            </w:r>
          </w:p>
        </w:tc>
        <w:tc>
          <w:tcPr>
            <w:tcW w:w="1021" w:type="dxa"/>
            <w:shd w:val="clear" w:color="auto" w:fill="auto"/>
            <w:vAlign w:val="center"/>
          </w:tcPr>
          <w:p w14:paraId="0833F2C9">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3F30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661A7AB7">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56</w:t>
            </w:r>
          </w:p>
        </w:tc>
        <w:tc>
          <w:tcPr>
            <w:tcW w:w="2821" w:type="dxa"/>
            <w:shd w:val="clear" w:color="auto" w:fill="auto"/>
            <w:vAlign w:val="center"/>
          </w:tcPr>
          <w:p w14:paraId="407AB50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头孢他啶药敏试条（E试验法）</w:t>
            </w:r>
          </w:p>
        </w:tc>
        <w:tc>
          <w:tcPr>
            <w:tcW w:w="2087" w:type="dxa"/>
            <w:shd w:val="clear" w:color="auto" w:fill="auto"/>
            <w:vAlign w:val="center"/>
          </w:tcPr>
          <w:p w14:paraId="60D8CFF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0978DE9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5D0DD46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4B310A2D">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7F0BDC16">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1F41F056">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17CE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4C47FAE6">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57</w:t>
            </w:r>
          </w:p>
        </w:tc>
        <w:tc>
          <w:tcPr>
            <w:tcW w:w="2821" w:type="dxa"/>
            <w:shd w:val="clear" w:color="auto" w:fill="auto"/>
            <w:vAlign w:val="center"/>
          </w:tcPr>
          <w:p w14:paraId="42D6668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青霉素g药敏试条（E试验法）</w:t>
            </w:r>
          </w:p>
        </w:tc>
        <w:tc>
          <w:tcPr>
            <w:tcW w:w="2087" w:type="dxa"/>
            <w:shd w:val="clear" w:color="auto" w:fill="auto"/>
            <w:vAlign w:val="center"/>
          </w:tcPr>
          <w:p w14:paraId="01C5F64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0516ADF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0A92A17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72073EEF">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65534155">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7E36A42F">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5C3F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1848C8A">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58</w:t>
            </w:r>
          </w:p>
        </w:tc>
        <w:tc>
          <w:tcPr>
            <w:tcW w:w="2821" w:type="dxa"/>
            <w:shd w:val="clear" w:color="auto" w:fill="auto"/>
            <w:vAlign w:val="center"/>
          </w:tcPr>
          <w:p w14:paraId="7A175D6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头孢他啶/阿维巴坦药敏试条（E试验法）</w:t>
            </w:r>
          </w:p>
        </w:tc>
        <w:tc>
          <w:tcPr>
            <w:tcW w:w="2087" w:type="dxa"/>
            <w:shd w:val="clear" w:color="auto" w:fill="auto"/>
            <w:vAlign w:val="center"/>
          </w:tcPr>
          <w:p w14:paraId="72E6B01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746DC0A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浙械注准20152400399</w:t>
            </w:r>
          </w:p>
        </w:tc>
        <w:tc>
          <w:tcPr>
            <w:tcW w:w="1284" w:type="dxa"/>
            <w:shd w:val="clear" w:color="auto" w:fill="auto"/>
            <w:noWrap/>
            <w:vAlign w:val="center"/>
          </w:tcPr>
          <w:p w14:paraId="7143E5F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189B754D">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0E7820F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500</w:t>
            </w:r>
          </w:p>
        </w:tc>
        <w:tc>
          <w:tcPr>
            <w:tcW w:w="1021" w:type="dxa"/>
            <w:shd w:val="clear" w:color="auto" w:fill="auto"/>
            <w:vAlign w:val="center"/>
          </w:tcPr>
          <w:p w14:paraId="2035109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18E8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6DE4429F">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59</w:t>
            </w:r>
          </w:p>
        </w:tc>
        <w:tc>
          <w:tcPr>
            <w:tcW w:w="2821" w:type="dxa"/>
            <w:shd w:val="clear" w:color="auto" w:fill="auto"/>
            <w:vAlign w:val="center"/>
          </w:tcPr>
          <w:p w14:paraId="17D130E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头孢曲松药敏试条（E试验法）</w:t>
            </w:r>
          </w:p>
        </w:tc>
        <w:tc>
          <w:tcPr>
            <w:tcW w:w="2087" w:type="dxa"/>
            <w:shd w:val="clear" w:color="auto" w:fill="auto"/>
            <w:vAlign w:val="center"/>
          </w:tcPr>
          <w:p w14:paraId="323269F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6F0D8EF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浙械注准20152400299</w:t>
            </w:r>
          </w:p>
        </w:tc>
        <w:tc>
          <w:tcPr>
            <w:tcW w:w="1284" w:type="dxa"/>
            <w:shd w:val="clear" w:color="auto" w:fill="auto"/>
            <w:noWrap/>
            <w:vAlign w:val="center"/>
          </w:tcPr>
          <w:p w14:paraId="5461ED2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028BC272">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3C856846">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4734DAC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18CC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2379CD5D">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60</w:t>
            </w:r>
          </w:p>
        </w:tc>
        <w:tc>
          <w:tcPr>
            <w:tcW w:w="2821" w:type="dxa"/>
            <w:shd w:val="clear" w:color="auto" w:fill="auto"/>
            <w:vAlign w:val="center"/>
          </w:tcPr>
          <w:p w14:paraId="128B377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万古霉素药敏试条（E试验法）</w:t>
            </w:r>
          </w:p>
        </w:tc>
        <w:tc>
          <w:tcPr>
            <w:tcW w:w="2087" w:type="dxa"/>
            <w:shd w:val="clear" w:color="auto" w:fill="auto"/>
            <w:vAlign w:val="center"/>
          </w:tcPr>
          <w:p w14:paraId="28F1F40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2A90705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浙械注准20152400298</w:t>
            </w:r>
          </w:p>
        </w:tc>
        <w:tc>
          <w:tcPr>
            <w:tcW w:w="1284" w:type="dxa"/>
            <w:shd w:val="clear" w:color="auto" w:fill="auto"/>
            <w:noWrap/>
            <w:vAlign w:val="center"/>
          </w:tcPr>
          <w:p w14:paraId="00DECA9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20条/盒</w:t>
            </w:r>
          </w:p>
        </w:tc>
        <w:tc>
          <w:tcPr>
            <w:tcW w:w="708" w:type="dxa"/>
            <w:shd w:val="clear" w:color="auto" w:fill="auto"/>
            <w:vAlign w:val="center"/>
          </w:tcPr>
          <w:p w14:paraId="138D4CD7">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15653AE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240</w:t>
            </w:r>
          </w:p>
        </w:tc>
        <w:tc>
          <w:tcPr>
            <w:tcW w:w="1021" w:type="dxa"/>
            <w:shd w:val="clear" w:color="auto" w:fill="auto"/>
            <w:vAlign w:val="center"/>
          </w:tcPr>
          <w:p w14:paraId="55DE26E9">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2</w:t>
            </w:r>
          </w:p>
        </w:tc>
      </w:tr>
      <w:tr w14:paraId="7A11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72E39B7D">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61</w:t>
            </w:r>
          </w:p>
        </w:tc>
        <w:tc>
          <w:tcPr>
            <w:tcW w:w="2821" w:type="dxa"/>
            <w:shd w:val="clear" w:color="auto" w:fill="auto"/>
            <w:vAlign w:val="center"/>
          </w:tcPr>
          <w:p w14:paraId="2E89315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替加环素药敏试剂(微量肉汤稀释法）</w:t>
            </w:r>
          </w:p>
        </w:tc>
        <w:tc>
          <w:tcPr>
            <w:tcW w:w="2087" w:type="dxa"/>
            <w:shd w:val="clear" w:color="auto" w:fill="auto"/>
            <w:vAlign w:val="center"/>
          </w:tcPr>
          <w:p w14:paraId="7120065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096C01F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浙械注准20182400423</w:t>
            </w:r>
          </w:p>
        </w:tc>
        <w:tc>
          <w:tcPr>
            <w:tcW w:w="1284" w:type="dxa"/>
            <w:shd w:val="clear" w:color="auto" w:fill="auto"/>
            <w:noWrap/>
            <w:vAlign w:val="center"/>
          </w:tcPr>
          <w:p w14:paraId="3A4F7AF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Style w:val="28"/>
                <w:color w:val="auto"/>
                <w:lang w:val="en-US" w:eastAsia="zh-CN" w:bidi="ar"/>
              </w:rPr>
              <w:t>11浓度*10条</w:t>
            </w:r>
          </w:p>
        </w:tc>
        <w:tc>
          <w:tcPr>
            <w:tcW w:w="708" w:type="dxa"/>
            <w:shd w:val="clear" w:color="auto" w:fill="auto"/>
            <w:vAlign w:val="center"/>
          </w:tcPr>
          <w:p w14:paraId="61B04F0F">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68C4B661">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140</w:t>
            </w:r>
          </w:p>
        </w:tc>
        <w:tc>
          <w:tcPr>
            <w:tcW w:w="1021" w:type="dxa"/>
            <w:shd w:val="clear" w:color="auto" w:fill="auto"/>
            <w:vAlign w:val="center"/>
          </w:tcPr>
          <w:p w14:paraId="4015CB64">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w:t>
            </w:r>
          </w:p>
        </w:tc>
      </w:tr>
      <w:tr w14:paraId="17A4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 w:type="dxa"/>
            <w:shd w:val="clear" w:color="auto" w:fill="auto"/>
            <w:noWrap/>
            <w:vAlign w:val="center"/>
          </w:tcPr>
          <w:p w14:paraId="3125F2FF">
            <w:pPr>
              <w:keepNext w:val="0"/>
              <w:keepLines w:val="0"/>
              <w:widowControl/>
              <w:suppressLineNumbers w:val="0"/>
              <w:jc w:val="center"/>
              <w:textAlignment w:val="center"/>
              <w:rPr>
                <w:rFonts w:hint="eastAsia" w:asciiTheme="minorEastAsia" w:hAnsiTheme="minorEastAsia" w:eastAsiaTheme="minorEastAsia" w:cstheme="minorEastAsia"/>
                <w:b/>
                <w:bCs/>
                <w:color w:val="auto"/>
                <w:kern w:val="0"/>
                <w:sz w:val="21"/>
                <w:szCs w:val="21"/>
                <w:lang w:val="en-US" w:eastAsia="zh-CN"/>
              </w:rPr>
            </w:pPr>
            <w:r>
              <w:rPr>
                <w:rFonts w:hint="eastAsia" w:ascii="宋体" w:hAnsi="宋体" w:eastAsia="宋体" w:cs="宋体"/>
                <w:b/>
                <w:bCs/>
                <w:i w:val="0"/>
                <w:iCs w:val="0"/>
                <w:color w:val="auto"/>
                <w:kern w:val="0"/>
                <w:sz w:val="22"/>
                <w:szCs w:val="22"/>
                <w:u w:val="none"/>
                <w:lang w:val="en-US" w:eastAsia="zh-CN" w:bidi="ar"/>
              </w:rPr>
              <w:t>62</w:t>
            </w:r>
          </w:p>
        </w:tc>
        <w:tc>
          <w:tcPr>
            <w:tcW w:w="2821" w:type="dxa"/>
            <w:shd w:val="clear" w:color="auto" w:fill="auto"/>
            <w:vAlign w:val="center"/>
          </w:tcPr>
          <w:p w14:paraId="1226617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多粘菌素B药敏试剂(微量肉汤稀释法）</w:t>
            </w:r>
          </w:p>
        </w:tc>
        <w:tc>
          <w:tcPr>
            <w:tcW w:w="2087" w:type="dxa"/>
            <w:shd w:val="clear" w:color="auto" w:fill="auto"/>
            <w:vAlign w:val="center"/>
          </w:tcPr>
          <w:p w14:paraId="4769E54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温州市康泰生物科技有限公司</w:t>
            </w:r>
          </w:p>
        </w:tc>
        <w:tc>
          <w:tcPr>
            <w:tcW w:w="1452" w:type="dxa"/>
            <w:shd w:val="clear" w:color="auto" w:fill="auto"/>
            <w:noWrap/>
            <w:vAlign w:val="center"/>
          </w:tcPr>
          <w:p w14:paraId="59D4A78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浙械注准20182400424</w:t>
            </w:r>
          </w:p>
        </w:tc>
        <w:tc>
          <w:tcPr>
            <w:tcW w:w="1284" w:type="dxa"/>
            <w:shd w:val="clear" w:color="auto" w:fill="auto"/>
            <w:noWrap/>
            <w:vAlign w:val="center"/>
          </w:tcPr>
          <w:p w14:paraId="138EAFB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11浓度*10条</w:t>
            </w:r>
          </w:p>
        </w:tc>
        <w:tc>
          <w:tcPr>
            <w:tcW w:w="708" w:type="dxa"/>
            <w:shd w:val="clear" w:color="auto" w:fill="auto"/>
            <w:vAlign w:val="center"/>
          </w:tcPr>
          <w:p w14:paraId="3D2DCE66">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盒</w:t>
            </w:r>
          </w:p>
        </w:tc>
        <w:tc>
          <w:tcPr>
            <w:tcW w:w="1021" w:type="dxa"/>
            <w:shd w:val="clear" w:color="auto" w:fill="auto"/>
            <w:vAlign w:val="center"/>
          </w:tcPr>
          <w:p w14:paraId="5047238F">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140</w:t>
            </w:r>
          </w:p>
        </w:tc>
        <w:tc>
          <w:tcPr>
            <w:tcW w:w="1021" w:type="dxa"/>
            <w:shd w:val="clear" w:color="auto" w:fill="auto"/>
            <w:vAlign w:val="center"/>
          </w:tcPr>
          <w:p w14:paraId="6348223E">
            <w:pPr>
              <w:keepNext w:val="0"/>
              <w:keepLines w:val="0"/>
              <w:widowControl/>
              <w:suppressLineNumbers w:val="0"/>
              <w:jc w:val="center"/>
              <w:textAlignment w:val="center"/>
              <w:rPr>
                <w:rFonts w:hint="eastAsia" w:asciiTheme="minorEastAsia" w:hAnsiTheme="minorEastAsia" w:cstheme="minorEastAsia"/>
                <w:color w:val="auto"/>
                <w:kern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1</w:t>
            </w:r>
          </w:p>
        </w:tc>
      </w:tr>
    </w:tbl>
    <w:p w14:paraId="5E232BC7">
      <w:pPr>
        <w:pStyle w:val="4"/>
        <w:numPr>
          <w:ilvl w:val="0"/>
          <w:numId w:val="0"/>
        </w:numPr>
        <w:ind w:leftChars="98"/>
        <w:rPr>
          <w:rFonts w:hint="default"/>
          <w:lang w:val="en-US" w:eastAsia="zh-CN"/>
        </w:rPr>
      </w:pPr>
    </w:p>
    <w:p w14:paraId="768081F6">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73D9153C">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14:paraId="20CADF1A">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14:paraId="1180293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7E97158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（4）其他：响应《试剂耗材采购合同》（附件8）约定内容。</w:t>
      </w:r>
    </w:p>
    <w:p w14:paraId="4352274A">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5E6166FE">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F2E7772">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137F3F49">
      <w:pPr>
        <w:rPr>
          <w:rFonts w:hint="eastAsia"/>
        </w:rPr>
      </w:pPr>
    </w:p>
    <w:p w14:paraId="0B026F3D">
      <w:pPr>
        <w:rPr>
          <w:rFonts w:hint="eastAsia"/>
        </w:rPr>
      </w:pPr>
    </w:p>
    <w:p w14:paraId="591CFF52">
      <w:pPr>
        <w:widowControl/>
        <w:jc w:val="left"/>
        <w:rPr>
          <w:rFonts w:hint="eastAsia" w:ascii="仿宋_GB2312" w:hAnsi="Segoe UI" w:eastAsia="仿宋_GB2312" w:cs="Segoe UI"/>
          <w:b/>
          <w:bCs/>
          <w:color w:val="000000" w:themeColor="text1"/>
          <w:kern w:val="0"/>
          <w:sz w:val="28"/>
          <w:szCs w:val="28"/>
        </w:rPr>
      </w:pPr>
    </w:p>
    <w:p w14:paraId="103F0490">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1EAF0C76">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2265C085">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05B4BEE">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5EEBB7BB">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44AD7D50">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09E99D45">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7B2ADEFC">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1EC59A8">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9B751D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752AA5C">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11097EB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2C7E787F">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514C92C9">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50E0E77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36385447">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314327D6">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42371D47">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1099450">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27420D84">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38FF0051">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3708B621">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7B6DACB3">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081C705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6D46DEA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6B47DD95">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1C4C80B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77724613">
      <w:pPr>
        <w:widowControl/>
        <w:shd w:val="clear" w:color="auto"/>
        <w:wordWrap w:val="0"/>
        <w:jc w:val="left"/>
        <w:rPr>
          <w:rFonts w:ascii="Segoe UI" w:hAnsi="Segoe UI" w:eastAsia="宋体" w:cs="Segoe UI"/>
          <w:color w:val="000000" w:themeColor="text1"/>
          <w:kern w:val="0"/>
          <w:sz w:val="18"/>
          <w:szCs w:val="18"/>
        </w:rPr>
      </w:pPr>
    </w:p>
    <w:p w14:paraId="0AF60F3E">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4D681B5D">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01C9C4DD">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155A9B9C">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605D1415">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62929DF9">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39E5EA96">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6792C05D">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55756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606FC7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B34C80">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1B2217E">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DAA4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6736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FD179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BAD9B5">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E35D91A">
            <w:pPr>
              <w:widowControl/>
              <w:shd w:val="clear"/>
              <w:wordWrap w:val="0"/>
              <w:jc w:val="center"/>
              <w:rPr>
                <w:rFonts w:ascii="仿宋_GB2312" w:hAnsi="Segoe UI" w:eastAsia="仿宋_GB2312" w:cs="Segoe UI"/>
                <w:color w:val="000000" w:themeColor="text1"/>
                <w:kern w:val="0"/>
                <w:sz w:val="24"/>
                <w:szCs w:val="24"/>
              </w:rPr>
            </w:pPr>
          </w:p>
          <w:p w14:paraId="00BB87B8">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2C528990">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14:paraId="37899AB0">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286FC3E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A16D2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2667E3A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C08A400">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6121A8C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69A54C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B34AC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5E92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2883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95246">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932E691">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45221DBC">
            <w:pPr>
              <w:widowControl/>
              <w:shd w:val="clear"/>
              <w:wordWrap w:val="0"/>
              <w:jc w:val="center"/>
              <w:rPr>
                <w:rFonts w:ascii="宋体" w:hAnsi="宋体" w:eastAsia="宋体" w:cs="Segoe UI"/>
                <w:color w:val="000000" w:themeColor="text1"/>
                <w:kern w:val="0"/>
                <w:sz w:val="24"/>
                <w:szCs w:val="24"/>
              </w:rPr>
            </w:pPr>
          </w:p>
        </w:tc>
      </w:tr>
      <w:tr w14:paraId="22F76FF0">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3FB1299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31BC3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78A35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A048E69">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44AA259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4209B0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C58E3C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7C7A3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6C3BB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B30213">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73DEA3AC">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4E4AEF0E">
            <w:pPr>
              <w:widowControl/>
              <w:shd w:val="clear"/>
              <w:wordWrap w:val="0"/>
              <w:jc w:val="center"/>
              <w:rPr>
                <w:rFonts w:ascii="宋体" w:hAnsi="宋体" w:eastAsia="宋体" w:cs="Segoe UI"/>
                <w:color w:val="000000" w:themeColor="text1"/>
                <w:kern w:val="0"/>
                <w:sz w:val="24"/>
                <w:szCs w:val="24"/>
              </w:rPr>
            </w:pPr>
          </w:p>
        </w:tc>
      </w:tr>
      <w:tr w14:paraId="7D24FEC2">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CDFB95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C108F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3F9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E464544">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54350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376819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8F236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BD17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83530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19D3C1">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617223FA">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DA7D5A6">
            <w:pPr>
              <w:widowControl/>
              <w:shd w:val="clear"/>
              <w:wordWrap w:val="0"/>
              <w:jc w:val="center"/>
              <w:rPr>
                <w:rFonts w:ascii="宋体" w:hAnsi="宋体" w:eastAsia="宋体" w:cs="Segoe UI"/>
                <w:color w:val="000000" w:themeColor="text1"/>
                <w:kern w:val="0"/>
                <w:sz w:val="24"/>
                <w:szCs w:val="24"/>
              </w:rPr>
            </w:pPr>
          </w:p>
        </w:tc>
      </w:tr>
      <w:tr w14:paraId="3DB77E20">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B3E8BEF">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5FCFC923">
      <w:pPr>
        <w:widowControl/>
        <w:shd w:val="clear" w:color="auto"/>
        <w:wordWrap w:val="0"/>
        <w:jc w:val="left"/>
        <w:rPr>
          <w:rFonts w:ascii="仿宋_GB2312" w:hAnsi="Segoe UI" w:eastAsia="仿宋_GB2312" w:cs="Segoe UI"/>
          <w:color w:val="000000" w:themeColor="text1"/>
          <w:kern w:val="0"/>
          <w:sz w:val="24"/>
          <w:szCs w:val="24"/>
        </w:rPr>
      </w:pPr>
    </w:p>
    <w:p w14:paraId="16C9ADC2">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52E348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6AD632F9">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15785E9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E00CD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553C7AC4">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C708FE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67A38A7E">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66161440">
      <w:pPr>
        <w:pStyle w:val="2"/>
        <w:rPr>
          <w:rFonts w:hint="eastAsia"/>
        </w:rPr>
      </w:pPr>
    </w:p>
    <w:p w14:paraId="2A8C4FDC">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DB22F27">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9BDBFE1">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7D637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D82377">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235A52">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0FCBC15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663D51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0A842">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E4A8E">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03CC99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09025">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4CD80">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1AAC878D">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40D62D8">
      <w:pPr>
        <w:widowControl/>
        <w:jc w:val="left"/>
        <w:rPr>
          <w:rFonts w:hint="eastAsia" w:ascii="仿宋_GB2312" w:hAnsi="Segoe UI" w:eastAsia="仿宋_GB2312" w:cs="Segoe UI"/>
          <w:color w:val="000000" w:themeColor="text1"/>
          <w:kern w:val="0"/>
          <w:sz w:val="22"/>
        </w:rPr>
      </w:pPr>
    </w:p>
    <w:p w14:paraId="1DD052C1">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7DE42502">
      <w:pPr>
        <w:widowControl/>
        <w:jc w:val="left"/>
        <w:rPr>
          <w:rFonts w:hint="eastAsia" w:ascii="仿宋_GB2312" w:hAnsi="Segoe UI" w:eastAsia="仿宋_GB2312" w:cs="Segoe UI"/>
          <w:color w:val="000000" w:themeColor="text1"/>
          <w:kern w:val="0"/>
          <w:sz w:val="22"/>
        </w:rPr>
      </w:pPr>
    </w:p>
    <w:p w14:paraId="3A86D7EC">
      <w:pPr>
        <w:widowControl/>
        <w:jc w:val="left"/>
        <w:rPr>
          <w:rFonts w:hint="eastAsia" w:ascii="仿宋_GB2312" w:hAnsi="Segoe UI" w:eastAsia="仿宋_GB2312" w:cs="Segoe UI"/>
          <w:color w:val="000000" w:themeColor="text1"/>
          <w:kern w:val="0"/>
          <w:sz w:val="22"/>
        </w:rPr>
      </w:pPr>
    </w:p>
    <w:p w14:paraId="00FAA6C9">
      <w:pPr>
        <w:widowControl/>
        <w:jc w:val="left"/>
        <w:rPr>
          <w:rFonts w:hint="eastAsia" w:ascii="仿宋_GB2312" w:hAnsi="Segoe UI" w:eastAsia="仿宋_GB2312" w:cs="Segoe UI"/>
          <w:color w:val="000000" w:themeColor="text1"/>
          <w:kern w:val="0"/>
          <w:sz w:val="22"/>
        </w:rPr>
      </w:pPr>
    </w:p>
    <w:p w14:paraId="252884FA">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A2BB47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6DCADCA3">
      <w:pPr>
        <w:pStyle w:val="3"/>
        <w:tabs>
          <w:tab w:val="left" w:pos="720"/>
        </w:tabs>
        <w:spacing w:line="400" w:lineRule="exact"/>
        <w:jc w:val="center"/>
        <w:rPr>
          <w:rFonts w:ascii="仿宋" w:hAnsi="仿宋" w:eastAsia="仿宋" w:cs="仿宋"/>
        </w:rPr>
      </w:pPr>
      <w:bookmarkStart w:id="2" w:name="_Toc15614"/>
      <w:bookmarkStart w:id="3" w:name="_Toc21676"/>
      <w:bookmarkStart w:id="4" w:name="_Toc9234"/>
      <w:bookmarkStart w:id="5" w:name="_Toc3414"/>
      <w:bookmarkStart w:id="6" w:name="_Toc21163"/>
      <w:r>
        <w:rPr>
          <w:rFonts w:hint="eastAsia" w:ascii="仿宋" w:hAnsi="仿宋" w:eastAsia="仿宋" w:cs="仿宋"/>
          <w:w w:val="95"/>
        </w:rPr>
        <w:t>承诺函</w:t>
      </w:r>
      <w:bookmarkEnd w:id="2"/>
      <w:bookmarkEnd w:id="3"/>
      <w:bookmarkEnd w:id="4"/>
      <w:bookmarkEnd w:id="5"/>
      <w:bookmarkEnd w:id="6"/>
    </w:p>
    <w:p w14:paraId="051A6072">
      <w:pPr>
        <w:spacing w:line="360" w:lineRule="auto"/>
        <w:outlineLvl w:val="1"/>
        <w:rPr>
          <w:rFonts w:hint="eastAsia" w:ascii="仿宋" w:hAnsi="仿宋" w:eastAsia="仿宋" w:cs="仿宋"/>
          <w:sz w:val="22"/>
        </w:rPr>
      </w:pPr>
      <w:bookmarkStart w:id="7" w:name="_Toc60"/>
      <w:bookmarkStart w:id="8" w:name="_Toc30494"/>
      <w:bookmarkStart w:id="9" w:name="_Toc11076"/>
      <w:bookmarkStart w:id="10" w:name="_Toc10689"/>
      <w:bookmarkStart w:id="11" w:name="_Toc12490"/>
      <w:bookmarkStart w:id="12" w:name="_Toc30275"/>
      <w:bookmarkStart w:id="13" w:name="_Toc5208"/>
      <w:bookmarkStart w:id="14" w:name="_Toc5499"/>
      <w:bookmarkStart w:id="15" w:name="_Toc14802"/>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22555E6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19115"/>
      <w:bookmarkStart w:id="17" w:name="_Toc30080"/>
      <w:bookmarkStart w:id="18" w:name="_Toc10183"/>
      <w:bookmarkStart w:id="19" w:name="_Toc7067"/>
      <w:bookmarkStart w:id="20" w:name="_Toc32214"/>
      <w:bookmarkStart w:id="21" w:name="_Toc18513"/>
      <w:bookmarkStart w:id="22" w:name="_Toc9131"/>
      <w:bookmarkStart w:id="23" w:name="_Toc8717"/>
      <w:bookmarkStart w:id="24" w:name="_Toc10948"/>
      <w:bookmarkStart w:id="25" w:name="_Toc3447"/>
      <w:bookmarkStart w:id="26" w:name="_Toc28103"/>
      <w:bookmarkStart w:id="27" w:name="_Toc26481"/>
      <w:bookmarkStart w:id="28" w:name="_Toc3912"/>
      <w:bookmarkStart w:id="29" w:name="_Toc3392"/>
      <w:bookmarkStart w:id="30" w:name="_Toc13021"/>
      <w:bookmarkStart w:id="31" w:name="_Toc3081"/>
      <w:bookmarkStart w:id="32" w:name="_Toc18879"/>
      <w:bookmarkStart w:id="33" w:name="_Toc30724"/>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1E320D72">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750B574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153956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0ACFBC5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665407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42DDC60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376147A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33CFA8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4CCE0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37EB1C1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2ED0BD9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20AA7CE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4EB973E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7933972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4D9CE5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76F4425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3C61F99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3B74B1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6A72FBD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36D362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311405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281A8A6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74DDACE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0BDEDC7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70B1430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B3730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57E2AF0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45DCCB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569ADC5A">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517F187E">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4B081EC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3AC86B2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38F80768">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C5D4F5">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82D6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DC1E39">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60754F">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0E37CB">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486DD0AF">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024DC2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FC33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C5B2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B3A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331C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6D7EC18">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5ADBC4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42EB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5B1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6A7A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9C0F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2A82063A">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8A886D">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9C4E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E59F07">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8550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EC7C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5F808E7">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AA75CC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FA2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FD561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498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E175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6B80F112">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3C9120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AFBC6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B6B5A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2575D">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1D894">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EC3473B">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54A9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E14E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720DB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53BC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B20D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436FD69E">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90D12A">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E46B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466A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536C2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43DD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E35EE4A">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74899ED">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DD5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895F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8702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D8BD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1091DF2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084D6AF">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5752C1A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3FEFE182">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73B1E3A4">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3A3B18C8">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15FF237F">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A7923E8">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35F5045D">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0B9297C9">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4C6A42B8">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5AC2CC1C">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B4EEB9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2E47A416">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05532213">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23558E23">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C471280">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3355BB60">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858D84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5D16B8B0">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363066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BB5D07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72B193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65152275">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5BD8EAD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686383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5EC11CB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6032D93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43AC29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0BD8141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76C564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253BC90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45213C9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73C9128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9B6759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27AB43F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2D85DD7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11581A77">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7502D222">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2F1D5C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E6526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01907C01">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09D7BE31">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432B60D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DBE0F08">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904BF06">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9D3C507">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00B99930">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17DD63E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0D2DB321">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3182EB05">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3553A568">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2DB9A1F5">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F1A49D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375D8917">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2006B16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250EE72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306E53F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772F26B5">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1117EE1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3BEDEE80">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36A1F17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1333218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827F4E4">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104028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2DC84B61">
      <w:pPr>
        <w:pStyle w:val="2"/>
        <w:ind w:firstLine="2810" w:firstLineChars="1000"/>
        <w:jc w:val="left"/>
        <w:rPr>
          <w:rFonts w:hint="eastAsia" w:ascii="仿宋_GB2312" w:hAnsi="仿宋_GB2312" w:eastAsia="仿宋_GB2312" w:cs="仿宋_GB2312"/>
          <w:b/>
          <w:bCs/>
          <w:sz w:val="28"/>
          <w:szCs w:val="28"/>
        </w:rPr>
      </w:pPr>
    </w:p>
    <w:p w14:paraId="6BD6EB40">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14A5B5B1">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26EDFE7">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13B9664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679A24A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0FADBBD0">
      <w:pPr>
        <w:pStyle w:val="2"/>
        <w:rPr>
          <w:rFonts w:hint="eastAsia"/>
          <w:lang w:val="en-US" w:eastAsia="zh-CN"/>
        </w:rPr>
      </w:pPr>
    </w:p>
    <w:p w14:paraId="0089CBAE">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5B528B3A">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695C36B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6956671C">
      <w:pPr>
        <w:spacing w:line="312" w:lineRule="auto"/>
        <w:rPr>
          <w:rFonts w:hint="eastAsia" w:ascii="宋体" w:hAnsi="宋体"/>
          <w:b/>
          <w:color w:val="auto"/>
          <w:sz w:val="24"/>
        </w:rPr>
      </w:pPr>
    </w:p>
    <w:p w14:paraId="4A37EC07">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4F5FC71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1270F1B6">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2238689">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7BAF89E4">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37F426A1">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3E173CFA">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44CB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5EEF12B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0814589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5009610B">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2D83E70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1163F370">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09356512">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24F4CECA">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6F758DF1">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5CE6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19A38EF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D90F2EA">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7F346CF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E7ED3BC">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A2D9BE5">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5BD3766">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D285E5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6DD5D096">
            <w:pPr>
              <w:spacing w:line="420" w:lineRule="exact"/>
              <w:jc w:val="left"/>
              <w:rPr>
                <w:rFonts w:hint="eastAsia" w:ascii="黑体" w:hAnsi="黑体" w:eastAsia="黑体"/>
                <w:color w:val="auto"/>
                <w:sz w:val="28"/>
                <w:szCs w:val="28"/>
                <w:vertAlign w:val="baseline"/>
              </w:rPr>
            </w:pPr>
          </w:p>
        </w:tc>
      </w:tr>
      <w:tr w14:paraId="4E21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6F375F2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10EB868B">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059B121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29B19728">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31F5BD17">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FEE22BF">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7C65FEE">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3E4A4BDB">
            <w:pPr>
              <w:spacing w:line="420" w:lineRule="exact"/>
              <w:jc w:val="left"/>
              <w:rPr>
                <w:rFonts w:hint="eastAsia" w:ascii="黑体" w:hAnsi="黑体" w:eastAsia="黑体"/>
                <w:color w:val="auto"/>
                <w:sz w:val="28"/>
                <w:szCs w:val="28"/>
                <w:vertAlign w:val="baseline"/>
              </w:rPr>
            </w:pPr>
          </w:p>
        </w:tc>
      </w:tr>
    </w:tbl>
    <w:p w14:paraId="3A5AA2B0">
      <w:pPr>
        <w:spacing w:line="420" w:lineRule="exact"/>
        <w:jc w:val="left"/>
        <w:rPr>
          <w:rFonts w:hint="eastAsia" w:ascii="黑体" w:hAnsi="黑体" w:eastAsia="黑体"/>
          <w:color w:val="auto"/>
          <w:sz w:val="28"/>
          <w:szCs w:val="28"/>
        </w:rPr>
      </w:pPr>
    </w:p>
    <w:p w14:paraId="4CD997A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3C38F725">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1631004A">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57E204B1">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1BFCD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34B09F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310F8F4C">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7F438DC7">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4F9D3FC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7B4B7E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74CADFE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340CDFD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1F29C17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17FDAB2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6D35A16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47D596C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517ABF6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1AD4456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21D5AFDF">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519FB0B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251E3A4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EA2D43A">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1CD4C55D">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7BDD66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728755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0915FA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3255201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47E0EBE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14A73BFE">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54B85865">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38A03BB2">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3BBD63B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0968DE8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0C09DC1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7D803FA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58E8B0D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3E4B761D">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3E427763">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90D06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2298516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5490C52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0EB44E7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2F09FBE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5B8B967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8488DE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0B40F24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1A63B8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68F0535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33C8556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04ABD026">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63605F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F78D514">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1E8331B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74E83EA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1DD95A1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6ADA644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4AD6BA9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0DC965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57E3723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5DE19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041793D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328D995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4E561A9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45BC1C9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56C9441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5622D930">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419E269">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101A347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6099BDE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7B435743">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5AAFB270">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317B2B35">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78374E10">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7E8429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6F286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77D1C19C">
      <w:pPr>
        <w:spacing w:line="420" w:lineRule="exact"/>
        <w:ind w:firstLine="562" w:firstLineChars="200"/>
        <w:rPr>
          <w:rFonts w:hint="eastAsia" w:ascii="仿宋" w:hAnsi="仿宋" w:eastAsia="仿宋"/>
          <w:color w:val="auto"/>
          <w:sz w:val="28"/>
          <w:szCs w:val="28"/>
        </w:rPr>
      </w:pPr>
    </w:p>
    <w:p w14:paraId="4AD27C18">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7069CE83">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1C6B6E48">
      <w:pPr>
        <w:spacing w:line="420" w:lineRule="exact"/>
        <w:rPr>
          <w:rFonts w:hint="eastAsia" w:ascii="仿宋" w:hAnsi="仿宋" w:eastAsia="仿宋"/>
          <w:color w:val="auto"/>
          <w:sz w:val="28"/>
          <w:szCs w:val="28"/>
        </w:rPr>
      </w:pPr>
    </w:p>
    <w:p w14:paraId="45D485C0">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13D8630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39D91B6A">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7FFE0DF5">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0C34B24D">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540803D7">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5BDD1928">
      <w:pPr>
        <w:tabs>
          <w:tab w:val="left" w:pos="5580"/>
        </w:tabs>
        <w:spacing w:line="420" w:lineRule="exact"/>
        <w:rPr>
          <w:rFonts w:ascii="仿宋" w:hAnsi="仿宋" w:eastAsia="仿宋"/>
          <w:color w:val="auto"/>
          <w:sz w:val="28"/>
          <w:szCs w:val="28"/>
        </w:rPr>
      </w:pPr>
    </w:p>
    <w:p w14:paraId="7E92ABDF">
      <w:pPr>
        <w:spacing w:line="312" w:lineRule="auto"/>
        <w:jc w:val="center"/>
        <w:rPr>
          <w:rFonts w:hint="eastAsia" w:ascii="黑体" w:hAnsi="黑体" w:eastAsia="黑体"/>
          <w:color w:val="auto"/>
          <w:sz w:val="44"/>
          <w:szCs w:val="44"/>
        </w:rPr>
      </w:pPr>
    </w:p>
    <w:p w14:paraId="458996FA">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35E1826A">
      <w:pPr>
        <w:spacing w:line="312" w:lineRule="auto"/>
        <w:jc w:val="center"/>
        <w:rPr>
          <w:rFonts w:ascii="黑体" w:hAnsi="黑体" w:eastAsia="黑体"/>
          <w:color w:val="auto"/>
          <w:sz w:val="44"/>
          <w:szCs w:val="44"/>
        </w:rPr>
      </w:pPr>
    </w:p>
    <w:p w14:paraId="5035E40A">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10B0833A">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6CA27E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76F40E0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68EF209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01A0530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6E7BD8C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41197EB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6B9CD6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690DEA1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6FF3BD6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4818588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8100983">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3AC980F5">
      <w:pPr>
        <w:spacing w:line="420" w:lineRule="exact"/>
        <w:rPr>
          <w:rFonts w:ascii="仿宋" w:hAnsi="仿宋" w:eastAsia="仿宋"/>
          <w:color w:val="auto"/>
          <w:sz w:val="28"/>
          <w:szCs w:val="28"/>
        </w:rPr>
      </w:pPr>
    </w:p>
    <w:p w14:paraId="2F056794">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23CB1C9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C52997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63F47F1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7060A982">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157BE358">
      <w:pPr>
        <w:spacing w:line="420" w:lineRule="exact"/>
        <w:ind w:firstLine="4220" w:firstLineChars="2000"/>
        <w:rPr>
          <w:rFonts w:ascii="微软雅黑" w:hAnsi="微软雅黑" w:eastAsia="微软雅黑"/>
          <w:color w:val="auto"/>
        </w:rPr>
      </w:pPr>
    </w:p>
    <w:p w14:paraId="68A799A6">
      <w:pPr>
        <w:spacing w:line="500" w:lineRule="exact"/>
        <w:rPr>
          <w:rFonts w:hint="eastAsia" w:ascii="黑体" w:hAnsi="黑体" w:eastAsia="黑体"/>
          <w:color w:val="auto"/>
          <w:sz w:val="28"/>
          <w:szCs w:val="28"/>
        </w:rPr>
      </w:pPr>
    </w:p>
    <w:p w14:paraId="57E0238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0FDA8091">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3C4EF3CC">
      <w:pPr>
        <w:spacing w:line="360" w:lineRule="exact"/>
        <w:ind w:firstLine="562" w:firstLineChars="200"/>
        <w:jc w:val="left"/>
        <w:rPr>
          <w:rFonts w:hint="eastAsia" w:ascii="仿宋" w:hAnsi="仿宋" w:eastAsia="仿宋"/>
          <w:color w:val="auto"/>
          <w:sz w:val="28"/>
          <w:szCs w:val="28"/>
        </w:rPr>
      </w:pPr>
    </w:p>
    <w:p w14:paraId="35A40B78">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662B52C9">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5E0A9E7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4FE837C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3CCDDA5E">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3E71BD11">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1A6225EB">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6F856EC8">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01F6D4B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690F36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2D23AAD0">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BEBA58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0F0F9A4D">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586B8F09">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71D77857">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7077C689">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6D2728E"/>
    <w:rsid w:val="07953CAB"/>
    <w:rsid w:val="07B925A7"/>
    <w:rsid w:val="08DA7948"/>
    <w:rsid w:val="098702CB"/>
    <w:rsid w:val="0A99264E"/>
    <w:rsid w:val="0B25319F"/>
    <w:rsid w:val="0BF815CE"/>
    <w:rsid w:val="0DBB7E7D"/>
    <w:rsid w:val="0E2B59F6"/>
    <w:rsid w:val="0E911C5D"/>
    <w:rsid w:val="10954EC2"/>
    <w:rsid w:val="12A81059"/>
    <w:rsid w:val="12F40DED"/>
    <w:rsid w:val="13485B4A"/>
    <w:rsid w:val="14456F80"/>
    <w:rsid w:val="167D53F7"/>
    <w:rsid w:val="18A53700"/>
    <w:rsid w:val="18B43DAF"/>
    <w:rsid w:val="195D2073"/>
    <w:rsid w:val="1A37043E"/>
    <w:rsid w:val="1C462F83"/>
    <w:rsid w:val="218B13A7"/>
    <w:rsid w:val="21AD4F92"/>
    <w:rsid w:val="221A6DCA"/>
    <w:rsid w:val="228C2840"/>
    <w:rsid w:val="22C42A0C"/>
    <w:rsid w:val="2306229A"/>
    <w:rsid w:val="240075DB"/>
    <w:rsid w:val="24D70A1B"/>
    <w:rsid w:val="25E642BC"/>
    <w:rsid w:val="2610660A"/>
    <w:rsid w:val="26B2270B"/>
    <w:rsid w:val="26D9225C"/>
    <w:rsid w:val="272816FC"/>
    <w:rsid w:val="28203DA9"/>
    <w:rsid w:val="2854251D"/>
    <w:rsid w:val="28BC0562"/>
    <w:rsid w:val="290E01EB"/>
    <w:rsid w:val="29191C6B"/>
    <w:rsid w:val="2A77788F"/>
    <w:rsid w:val="2C615D26"/>
    <w:rsid w:val="2C741D56"/>
    <w:rsid w:val="2E811DD5"/>
    <w:rsid w:val="2F5F73B3"/>
    <w:rsid w:val="30EB5768"/>
    <w:rsid w:val="32164CEA"/>
    <w:rsid w:val="347E4944"/>
    <w:rsid w:val="357C4381"/>
    <w:rsid w:val="364F4E7F"/>
    <w:rsid w:val="365344A5"/>
    <w:rsid w:val="38BB478A"/>
    <w:rsid w:val="396510AC"/>
    <w:rsid w:val="397101CC"/>
    <w:rsid w:val="3A4C28C6"/>
    <w:rsid w:val="3A9C7E51"/>
    <w:rsid w:val="3BA27AC6"/>
    <w:rsid w:val="3BD83F86"/>
    <w:rsid w:val="3ED3727D"/>
    <w:rsid w:val="3F567B2D"/>
    <w:rsid w:val="405F3E1B"/>
    <w:rsid w:val="41802179"/>
    <w:rsid w:val="41AF55EE"/>
    <w:rsid w:val="41EE0E8D"/>
    <w:rsid w:val="43721636"/>
    <w:rsid w:val="44CF2E4F"/>
    <w:rsid w:val="46121D7E"/>
    <w:rsid w:val="4669398D"/>
    <w:rsid w:val="48983A5D"/>
    <w:rsid w:val="4A9F427C"/>
    <w:rsid w:val="4AE36A9A"/>
    <w:rsid w:val="4B7A520A"/>
    <w:rsid w:val="4C5E41EC"/>
    <w:rsid w:val="4C9D5819"/>
    <w:rsid w:val="4EE10A0C"/>
    <w:rsid w:val="5198787C"/>
    <w:rsid w:val="51CB3FD0"/>
    <w:rsid w:val="53914C7E"/>
    <w:rsid w:val="548C0FC4"/>
    <w:rsid w:val="548D6A45"/>
    <w:rsid w:val="54974DD6"/>
    <w:rsid w:val="54A55367"/>
    <w:rsid w:val="5536063D"/>
    <w:rsid w:val="55F211D3"/>
    <w:rsid w:val="56183BA8"/>
    <w:rsid w:val="577B25E6"/>
    <w:rsid w:val="5C452678"/>
    <w:rsid w:val="5D2D064D"/>
    <w:rsid w:val="5DC03791"/>
    <w:rsid w:val="5FEC0FA4"/>
    <w:rsid w:val="60795DD8"/>
    <w:rsid w:val="61DB5EE7"/>
    <w:rsid w:val="62FA0171"/>
    <w:rsid w:val="637366D0"/>
    <w:rsid w:val="63E72E68"/>
    <w:rsid w:val="64E61819"/>
    <w:rsid w:val="64ED5044"/>
    <w:rsid w:val="656709A8"/>
    <w:rsid w:val="65C660EF"/>
    <w:rsid w:val="65DA011F"/>
    <w:rsid w:val="66D20681"/>
    <w:rsid w:val="672843F4"/>
    <w:rsid w:val="68172955"/>
    <w:rsid w:val="68A017BF"/>
    <w:rsid w:val="6A052BEC"/>
    <w:rsid w:val="6A1B1B87"/>
    <w:rsid w:val="6A38583D"/>
    <w:rsid w:val="6A717D4B"/>
    <w:rsid w:val="6C0F1984"/>
    <w:rsid w:val="6CDB1F80"/>
    <w:rsid w:val="6CF82393"/>
    <w:rsid w:val="701306BF"/>
    <w:rsid w:val="707E1032"/>
    <w:rsid w:val="710D63F2"/>
    <w:rsid w:val="716610EA"/>
    <w:rsid w:val="71D57369"/>
    <w:rsid w:val="745C42F1"/>
    <w:rsid w:val="75233D75"/>
    <w:rsid w:val="766B2655"/>
    <w:rsid w:val="76911AAD"/>
    <w:rsid w:val="77490A08"/>
    <w:rsid w:val="7776200D"/>
    <w:rsid w:val="78BA1DAC"/>
    <w:rsid w:val="799A6260"/>
    <w:rsid w:val="7A340545"/>
    <w:rsid w:val="7C0814C8"/>
    <w:rsid w:val="7C560E66"/>
    <w:rsid w:val="7CE30947"/>
    <w:rsid w:val="7D9F2E2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 w:type="character" w:customStyle="1" w:styleId="26">
    <w:name w:val="font51"/>
    <w:basedOn w:val="14"/>
    <w:uiPriority w:val="0"/>
    <w:rPr>
      <w:rFonts w:hint="eastAsia" w:ascii="宋体" w:hAnsi="宋体" w:eastAsia="宋体" w:cs="宋体"/>
      <w:color w:val="000000"/>
      <w:sz w:val="20"/>
      <w:szCs w:val="20"/>
      <w:u w:val="none"/>
    </w:rPr>
  </w:style>
  <w:style w:type="character" w:customStyle="1" w:styleId="27">
    <w:name w:val="font81"/>
    <w:basedOn w:val="14"/>
    <w:uiPriority w:val="0"/>
    <w:rPr>
      <w:rFonts w:ascii="Calibri" w:hAnsi="Calibri" w:cs="Calibri"/>
      <w:color w:val="000000"/>
      <w:sz w:val="20"/>
      <w:szCs w:val="20"/>
      <w:u w:val="none"/>
    </w:rPr>
  </w:style>
  <w:style w:type="character" w:customStyle="1" w:styleId="28">
    <w:name w:val="font6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5748</Words>
  <Characters>5953</Characters>
  <Lines>30</Lines>
  <Paragraphs>8</Paragraphs>
  <TotalTime>7</TotalTime>
  <ScaleCrop>false</ScaleCrop>
  <LinksUpToDate>false</LinksUpToDate>
  <CharactersWithSpaces>6287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lly</cp:lastModifiedBy>
  <dcterms:modified xsi:type="dcterms:W3CDTF">2025-03-31T06:23:41Z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E6981F7A20924F4DB8AA0919B817C916_12</vt:lpwstr>
  </property>
  <property fmtid="{D5CDD505-2E9C-101B-9397-08002B2CF9AE}" pid="4" name="KSOTemplateDocerSaveRecord">
    <vt:lpwstr>eyJoZGlkIjoiOGVjMTFjMDBhOGUxMjAwM2JlZDlhNjg0ZDI0MGIwZTYiLCJ1c2VySWQiOiIzMjg0MjM2NjQifQ==</vt:lpwstr>
  </property>
</Properties>
</file>